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7E304A" w14:paraId="73055160" w14:textId="77777777" w:rsidTr="001529EA">
        <w:trPr>
          <w:cantSplit/>
          <w:trHeight w:val="850"/>
          <w:jc w:val="right"/>
        </w:trPr>
        <w:tc>
          <w:tcPr>
            <w:tcW w:w="1550" w:type="dxa"/>
          </w:tcPr>
          <w:p w14:paraId="25484AA6" w14:textId="77777777" w:rsidR="00032E4E" w:rsidRDefault="00032E4E" w:rsidP="00023DA9">
            <w:pPr>
              <w:rPr>
                <w:rFonts w:ascii="Arial" w:hAnsi="Arial" w:cs="Arial"/>
                <w:b/>
                <w:noProof/>
                <w:sz w:val="27"/>
                <w:szCs w:val="27"/>
              </w:rPr>
            </w:pPr>
            <w:r w:rsidRPr="007E304A">
              <w:rPr>
                <w:rFonts w:ascii="Arial" w:hAnsi="Arial" w:cs="Arial"/>
                <w:b/>
                <w:noProof/>
                <w:sz w:val="27"/>
                <w:szCs w:val="27"/>
              </w:rPr>
              <w:t>NATIONS</w:t>
            </w:r>
          </w:p>
          <w:p w14:paraId="2C204163" w14:textId="61648883" w:rsidR="009C4B66" w:rsidRPr="007E304A" w:rsidRDefault="009C4B66" w:rsidP="00023DA9">
            <w:pPr>
              <w:rPr>
                <w:rFonts w:ascii="Univers" w:hAnsi="Univers"/>
                <w:b/>
                <w:noProof/>
                <w:sz w:val="27"/>
                <w:szCs w:val="27"/>
              </w:rPr>
            </w:pPr>
            <w:r>
              <w:rPr>
                <w:rFonts w:ascii="Arial" w:hAnsi="Arial" w:cs="Arial"/>
                <w:b/>
                <w:noProof/>
                <w:sz w:val="27"/>
                <w:szCs w:val="27"/>
              </w:rPr>
              <w:t>UNIES</w:t>
            </w:r>
          </w:p>
        </w:tc>
        <w:tc>
          <w:tcPr>
            <w:tcW w:w="4751" w:type="dxa"/>
          </w:tcPr>
          <w:p w14:paraId="6C792CCF" w14:textId="77777777" w:rsidR="00032E4E" w:rsidRPr="007E304A" w:rsidRDefault="00032E4E" w:rsidP="00023DA9">
            <w:pPr>
              <w:rPr>
                <w:rFonts w:ascii="Univers" w:hAnsi="Univers"/>
                <w:b/>
                <w:sz w:val="27"/>
                <w:szCs w:val="27"/>
              </w:rPr>
            </w:pPr>
          </w:p>
        </w:tc>
        <w:tc>
          <w:tcPr>
            <w:tcW w:w="3411" w:type="dxa"/>
          </w:tcPr>
          <w:p w14:paraId="7FB8E3BA" w14:textId="77777777" w:rsidR="00032E4E" w:rsidRPr="007E304A" w:rsidRDefault="00787688" w:rsidP="00023DA9">
            <w:pPr>
              <w:jc w:val="right"/>
              <w:rPr>
                <w:rFonts w:ascii="Arial" w:hAnsi="Arial" w:cs="Arial"/>
                <w:b/>
                <w:sz w:val="64"/>
                <w:szCs w:val="64"/>
              </w:rPr>
            </w:pPr>
            <w:r w:rsidRPr="007E304A">
              <w:rPr>
                <w:rFonts w:ascii="Arial" w:hAnsi="Arial" w:cs="Arial"/>
                <w:b/>
                <w:sz w:val="64"/>
                <w:szCs w:val="64"/>
              </w:rPr>
              <w:t>MC</w:t>
            </w:r>
          </w:p>
        </w:tc>
      </w:tr>
      <w:tr w:rsidR="00032E4E" w:rsidRPr="007E304A" w14:paraId="0DAFF7E0" w14:textId="77777777" w:rsidTr="001529EA">
        <w:trPr>
          <w:cantSplit/>
          <w:trHeight w:val="281"/>
          <w:jc w:val="right"/>
        </w:trPr>
        <w:tc>
          <w:tcPr>
            <w:tcW w:w="1550" w:type="dxa"/>
            <w:tcBorders>
              <w:bottom w:val="single" w:sz="4" w:space="0" w:color="auto"/>
            </w:tcBorders>
          </w:tcPr>
          <w:p w14:paraId="2E0FC4FD" w14:textId="77777777" w:rsidR="00032E4E" w:rsidRPr="007E304A" w:rsidRDefault="00032E4E" w:rsidP="00023DA9">
            <w:pPr>
              <w:rPr>
                <w:noProof/>
                <w:sz w:val="18"/>
                <w:szCs w:val="18"/>
              </w:rPr>
            </w:pPr>
          </w:p>
        </w:tc>
        <w:tc>
          <w:tcPr>
            <w:tcW w:w="4751" w:type="dxa"/>
            <w:tcBorders>
              <w:bottom w:val="single" w:sz="4" w:space="0" w:color="auto"/>
            </w:tcBorders>
          </w:tcPr>
          <w:p w14:paraId="2E04F427" w14:textId="77777777" w:rsidR="00032E4E" w:rsidRPr="007E304A" w:rsidRDefault="00032E4E" w:rsidP="00023DA9">
            <w:pPr>
              <w:rPr>
                <w:rFonts w:ascii="Univers" w:hAnsi="Univers"/>
                <w:b/>
                <w:sz w:val="18"/>
                <w:szCs w:val="18"/>
              </w:rPr>
            </w:pPr>
          </w:p>
        </w:tc>
        <w:tc>
          <w:tcPr>
            <w:tcW w:w="3411" w:type="dxa"/>
            <w:tcBorders>
              <w:bottom w:val="single" w:sz="4" w:space="0" w:color="auto"/>
            </w:tcBorders>
          </w:tcPr>
          <w:p w14:paraId="0F1758A2" w14:textId="08C83840" w:rsidR="00032E4E" w:rsidRPr="007E304A" w:rsidRDefault="00032E4E" w:rsidP="000F35D8">
            <w:pPr>
              <w:rPr>
                <w:noProof/>
                <w:sz w:val="18"/>
                <w:szCs w:val="18"/>
              </w:rPr>
            </w:pPr>
            <w:r w:rsidRPr="007E304A">
              <w:rPr>
                <w:b/>
                <w:bCs/>
                <w:sz w:val="28"/>
              </w:rPr>
              <w:t>UNEP</w:t>
            </w:r>
            <w:bookmarkStart w:id="0" w:name="OLE_LINK1"/>
            <w:bookmarkStart w:id="1" w:name="OLE_LINK2"/>
            <w:r w:rsidR="00787688" w:rsidRPr="007E304A">
              <w:rPr>
                <w:b/>
                <w:bCs/>
                <w:sz w:val="28"/>
              </w:rPr>
              <w:t>/</w:t>
            </w:r>
            <w:r w:rsidR="00787688" w:rsidRPr="007E304A">
              <w:t>MC</w:t>
            </w:r>
            <w:r w:rsidRPr="007E304A">
              <w:t>/</w:t>
            </w:r>
            <w:bookmarkEnd w:id="0"/>
            <w:bookmarkEnd w:id="1"/>
            <w:r w:rsidR="00787688" w:rsidRPr="007E304A">
              <w:t>COP.1</w:t>
            </w:r>
            <w:r w:rsidRPr="007E304A">
              <w:t>/</w:t>
            </w:r>
            <w:r w:rsidR="00951FA8" w:rsidRPr="007E304A">
              <w:t>14</w:t>
            </w:r>
          </w:p>
        </w:tc>
      </w:tr>
      <w:bookmarkStart w:id="2" w:name="_MON_1021710482"/>
      <w:bookmarkEnd w:id="2"/>
      <w:bookmarkStart w:id="3" w:name="_MON_1021710510"/>
      <w:bookmarkEnd w:id="3"/>
      <w:tr w:rsidR="00032E4E" w:rsidRPr="00A84D20" w14:paraId="35DC53D9" w14:textId="77777777" w:rsidTr="001529EA">
        <w:trPr>
          <w:cantSplit/>
          <w:trHeight w:val="2549"/>
          <w:jc w:val="right"/>
        </w:trPr>
        <w:tc>
          <w:tcPr>
            <w:tcW w:w="1550" w:type="dxa"/>
            <w:tcBorders>
              <w:top w:val="single" w:sz="4" w:space="0" w:color="auto"/>
              <w:bottom w:val="single" w:sz="24" w:space="0" w:color="auto"/>
            </w:tcBorders>
          </w:tcPr>
          <w:p w14:paraId="32C5089E" w14:textId="77777777" w:rsidR="00032E4E" w:rsidRPr="007E304A" w:rsidRDefault="00032E4E" w:rsidP="00023DA9">
            <w:pPr>
              <w:rPr>
                <w:noProof/>
              </w:rPr>
            </w:pPr>
            <w:r w:rsidRPr="00311F46">
              <w:rPr>
                <w:noProof/>
              </w:rPr>
              <w:object w:dxaOrig="1831" w:dyaOrig="1726" w14:anchorId="29FD9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567508057" r:id="rId9"/>
              </w:object>
            </w:r>
            <w:r w:rsidR="00011A16" w:rsidRPr="00311F46">
              <w:rPr>
                <w:noProof/>
                <w:lang w:val="en-US"/>
              </w:rPr>
              <w:drawing>
                <wp:inline distT="0" distB="0" distL="0" distR="0" wp14:anchorId="0090FE65" wp14:editId="557C09F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4BE870BC" w14:textId="4E6F81C8" w:rsidR="00032E4E" w:rsidRPr="005B7EE1" w:rsidRDefault="005B7EE1" w:rsidP="00023DA9">
            <w:pPr>
              <w:spacing w:before="1200"/>
              <w:rPr>
                <w:rFonts w:ascii="Arial" w:hAnsi="Arial" w:cs="Arial"/>
                <w:b/>
                <w:sz w:val="28"/>
                <w:lang w:val="fr-CH"/>
              </w:rPr>
            </w:pPr>
            <w:r w:rsidRPr="005B7EE1">
              <w:rPr>
                <w:rFonts w:ascii="Arial" w:hAnsi="Arial" w:cs="Arial"/>
                <w:b/>
                <w:sz w:val="32"/>
                <w:szCs w:val="32"/>
                <w:lang w:val="fr-CH"/>
              </w:rPr>
              <w:t>Programme</w:t>
            </w:r>
            <w:r w:rsidRPr="005B7EE1">
              <w:rPr>
                <w:rFonts w:ascii="Arial" w:hAnsi="Arial" w:cs="Arial"/>
                <w:b/>
                <w:sz w:val="32"/>
                <w:szCs w:val="32"/>
                <w:lang w:val="fr-CH"/>
              </w:rPr>
              <w:br/>
              <w:t>des Nations Unies</w:t>
            </w:r>
            <w:r w:rsidRPr="005B7EE1">
              <w:rPr>
                <w:rFonts w:ascii="Arial" w:hAnsi="Arial" w:cs="Arial"/>
                <w:b/>
                <w:sz w:val="32"/>
                <w:szCs w:val="32"/>
                <w:lang w:val="fr-CH"/>
              </w:rPr>
              <w:br/>
              <w:t>pour l’environnement</w:t>
            </w:r>
          </w:p>
        </w:tc>
        <w:tc>
          <w:tcPr>
            <w:tcW w:w="3411" w:type="dxa"/>
            <w:tcBorders>
              <w:top w:val="single" w:sz="4" w:space="0" w:color="auto"/>
              <w:bottom w:val="single" w:sz="24" w:space="0" w:color="auto"/>
            </w:tcBorders>
          </w:tcPr>
          <w:p w14:paraId="2F39C63F" w14:textId="49FD59A4" w:rsidR="00032E4E" w:rsidRPr="00EF601C" w:rsidRDefault="0061080B" w:rsidP="00787688">
            <w:pPr>
              <w:spacing w:before="120"/>
              <w:rPr>
                <w:lang w:val="fr-CH"/>
              </w:rPr>
            </w:pPr>
            <w:r>
              <w:rPr>
                <w:lang w:val="fr-CH"/>
              </w:rPr>
              <w:t>Distr. </w:t>
            </w:r>
            <w:r w:rsidR="00EF601C">
              <w:rPr>
                <w:lang w:val="fr-CH"/>
              </w:rPr>
              <w:t>gé</w:t>
            </w:r>
            <w:r w:rsidR="00A87B71">
              <w:rPr>
                <w:lang w:val="fr-CH"/>
              </w:rPr>
              <w:t>né</w:t>
            </w:r>
            <w:r w:rsidR="00032E4E" w:rsidRPr="00EF601C">
              <w:rPr>
                <w:lang w:val="fr-CH"/>
              </w:rPr>
              <w:t>ral</w:t>
            </w:r>
            <w:r w:rsidR="00A87B71">
              <w:rPr>
                <w:lang w:val="fr-CH"/>
              </w:rPr>
              <w:t>e</w:t>
            </w:r>
            <w:r w:rsidR="00032E4E" w:rsidRPr="00EF601C">
              <w:rPr>
                <w:lang w:val="fr-CH"/>
              </w:rPr>
              <w:br w:type="textWrapping" w:clear="all"/>
            </w:r>
            <w:r w:rsidR="00951FA8" w:rsidRPr="00EF601C">
              <w:rPr>
                <w:lang w:val="fr-CH"/>
              </w:rPr>
              <w:t xml:space="preserve">16 </w:t>
            </w:r>
            <w:r w:rsidR="00A87B71">
              <w:rPr>
                <w:lang w:val="fr-CH"/>
              </w:rPr>
              <w:t>août</w:t>
            </w:r>
            <w:r w:rsidR="006E549D" w:rsidRPr="00EF601C">
              <w:rPr>
                <w:lang w:val="fr-CH"/>
              </w:rPr>
              <w:t xml:space="preserve"> 2017</w:t>
            </w:r>
          </w:p>
          <w:p w14:paraId="56773295" w14:textId="31655C59" w:rsidR="00032E4E" w:rsidRPr="00EF601C" w:rsidRDefault="0061080B" w:rsidP="00A87B71">
            <w:pPr>
              <w:spacing w:before="240"/>
              <w:rPr>
                <w:lang w:val="fr-CH"/>
              </w:rPr>
            </w:pPr>
            <w:r>
              <w:rPr>
                <w:lang w:val="fr-CH"/>
              </w:rPr>
              <w:t>Français</w:t>
            </w:r>
            <w:r>
              <w:rPr>
                <w:lang w:val="fr-CH"/>
              </w:rPr>
              <w:br/>
            </w:r>
            <w:r w:rsidR="00032E4E" w:rsidRPr="00EF601C">
              <w:rPr>
                <w:lang w:val="fr-CH"/>
              </w:rPr>
              <w:t>Original</w:t>
            </w:r>
            <w:r w:rsidR="005B7EE1">
              <w:rPr>
                <w:lang w:val="fr-CH"/>
              </w:rPr>
              <w:t xml:space="preserve"> : </w:t>
            </w:r>
            <w:r w:rsidR="00A87B71">
              <w:rPr>
                <w:lang w:val="fr-CH"/>
              </w:rPr>
              <w:t>anglais</w:t>
            </w:r>
          </w:p>
        </w:tc>
      </w:tr>
    </w:tbl>
    <w:p w14:paraId="1FA9CE5E" w14:textId="12546934" w:rsidR="001529EA" w:rsidRDefault="001529EA" w:rsidP="00161024">
      <w:pPr>
        <w:pStyle w:val="AATitle"/>
        <w:keepNext w:val="0"/>
        <w:keepLines w:val="0"/>
        <w:outlineLvl w:val="0"/>
        <w:rPr>
          <w:lang w:val="fr-CH"/>
        </w:rPr>
      </w:pPr>
      <w:r w:rsidRPr="001529EA">
        <w:rPr>
          <w:lang w:val="fr-CH"/>
        </w:rPr>
        <w:t xml:space="preserve">Conférence des </w:t>
      </w:r>
      <w:r w:rsidR="00D83481">
        <w:rPr>
          <w:lang w:val="fr-CH"/>
        </w:rPr>
        <w:t xml:space="preserve">Parties </w:t>
      </w:r>
      <w:r w:rsidR="00D83481">
        <w:rPr>
          <w:lang w:val="fr-CH"/>
        </w:rPr>
        <w:br/>
        <w:t>à la Convention de </w:t>
      </w:r>
      <w:r w:rsidRPr="001529EA">
        <w:rPr>
          <w:lang w:val="fr-CH"/>
        </w:rPr>
        <w:t>Minamata sur le mercure</w:t>
      </w:r>
    </w:p>
    <w:p w14:paraId="7437784A" w14:textId="54A2B126" w:rsidR="00E976AB" w:rsidRPr="001529EA" w:rsidRDefault="001529EA" w:rsidP="00161024">
      <w:pPr>
        <w:pStyle w:val="AATitle"/>
        <w:keepNext w:val="0"/>
        <w:keepLines w:val="0"/>
        <w:outlineLvl w:val="0"/>
        <w:rPr>
          <w:lang w:val="fr-CH"/>
        </w:rPr>
      </w:pPr>
      <w:r>
        <w:rPr>
          <w:lang w:val="fr-CH"/>
        </w:rPr>
        <w:t>Première réunion</w:t>
      </w:r>
    </w:p>
    <w:p w14:paraId="0F0EA2E0" w14:textId="361E40A6" w:rsidR="00E976AB" w:rsidRPr="001529EA" w:rsidRDefault="0065146D" w:rsidP="00161024">
      <w:pPr>
        <w:pStyle w:val="AATitle"/>
        <w:outlineLvl w:val="0"/>
        <w:rPr>
          <w:b w:val="0"/>
          <w:lang w:val="fr-CH"/>
        </w:rPr>
      </w:pPr>
      <w:r w:rsidRPr="001529EA">
        <w:rPr>
          <w:b w:val="0"/>
          <w:lang w:val="fr-CH"/>
        </w:rPr>
        <w:t>Genève</w:t>
      </w:r>
      <w:r w:rsidR="00E976AB" w:rsidRPr="001529EA">
        <w:rPr>
          <w:b w:val="0"/>
          <w:lang w:val="fr-CH"/>
        </w:rPr>
        <w:t xml:space="preserve">, </w:t>
      </w:r>
      <w:r w:rsidR="0061080B">
        <w:rPr>
          <w:b w:val="0"/>
          <w:lang w:val="fr-CH"/>
        </w:rPr>
        <w:t>24–29 </w:t>
      </w:r>
      <w:r w:rsidRPr="001529EA">
        <w:rPr>
          <w:b w:val="0"/>
          <w:lang w:val="fr-CH"/>
        </w:rPr>
        <w:t>septemb</w:t>
      </w:r>
      <w:r w:rsidR="00325D38" w:rsidRPr="001529EA">
        <w:rPr>
          <w:b w:val="0"/>
          <w:lang w:val="fr-CH"/>
        </w:rPr>
        <w:t>r</w:t>
      </w:r>
      <w:r w:rsidRPr="001529EA">
        <w:rPr>
          <w:b w:val="0"/>
          <w:lang w:val="fr-CH"/>
        </w:rPr>
        <w:t>e</w:t>
      </w:r>
      <w:r w:rsidR="00325D38" w:rsidRPr="001529EA">
        <w:rPr>
          <w:b w:val="0"/>
          <w:lang w:val="fr-CH"/>
        </w:rPr>
        <w:t xml:space="preserve"> </w:t>
      </w:r>
      <w:r w:rsidR="00787688" w:rsidRPr="001529EA">
        <w:rPr>
          <w:b w:val="0"/>
          <w:lang w:val="fr-CH"/>
        </w:rPr>
        <w:t>2017</w:t>
      </w:r>
    </w:p>
    <w:p w14:paraId="227B424A" w14:textId="00E3AAB7" w:rsidR="0041238C" w:rsidRPr="001529EA" w:rsidRDefault="0061080B" w:rsidP="0041238C">
      <w:pPr>
        <w:pStyle w:val="AATitle"/>
        <w:keepNext w:val="0"/>
        <w:keepLines w:val="0"/>
        <w:rPr>
          <w:b w:val="0"/>
          <w:lang w:val="fr-CH"/>
        </w:rPr>
      </w:pPr>
      <w:r>
        <w:rPr>
          <w:b w:val="0"/>
          <w:lang w:val="fr-CH"/>
        </w:rPr>
        <w:t>Point 5 </w:t>
      </w:r>
      <w:r w:rsidR="0041238C" w:rsidRPr="001529EA">
        <w:rPr>
          <w:b w:val="0"/>
          <w:lang w:val="fr-CH"/>
        </w:rPr>
        <w:t>b)</w:t>
      </w:r>
      <w:r>
        <w:rPr>
          <w:b w:val="0"/>
          <w:lang w:val="fr-CH"/>
        </w:rPr>
        <w:t> </w:t>
      </w:r>
      <w:r w:rsidR="0041238C" w:rsidRPr="001529EA">
        <w:rPr>
          <w:b w:val="0"/>
          <w:lang w:val="fr-CH"/>
        </w:rPr>
        <w:t xml:space="preserve">i) </w:t>
      </w:r>
      <w:r w:rsidR="001529EA" w:rsidRPr="001529EA">
        <w:rPr>
          <w:b w:val="0"/>
          <w:lang w:val="fr-CH"/>
        </w:rPr>
        <w:t>de l’ordre du jour provisoire</w:t>
      </w:r>
      <w:r w:rsidR="0041238C" w:rsidRPr="001529EA">
        <w:rPr>
          <w:b w:val="0"/>
          <w:lang w:val="fr-CH"/>
        </w:rPr>
        <w:footnoteReference w:customMarkFollows="1" w:id="1"/>
        <w:t>*</w:t>
      </w:r>
    </w:p>
    <w:p w14:paraId="6DAAD870" w14:textId="17933727" w:rsidR="0041238C" w:rsidRPr="00654183" w:rsidRDefault="00654183" w:rsidP="0041238C">
      <w:pPr>
        <w:pStyle w:val="AATitle2"/>
        <w:rPr>
          <w:lang w:val="fr-CH"/>
        </w:rPr>
      </w:pPr>
      <w:r w:rsidRPr="00654183">
        <w:rPr>
          <w:lang w:val="fr-CH"/>
        </w:rPr>
        <w:t>Questions appelant un</w:t>
      </w:r>
      <w:r w:rsidR="00D83481">
        <w:rPr>
          <w:lang w:val="fr-CH"/>
        </w:rPr>
        <w:t>e décision de la Conférence des </w:t>
      </w:r>
      <w:r w:rsidRPr="00654183">
        <w:rPr>
          <w:lang w:val="fr-CH"/>
        </w:rPr>
        <w:t>Parties à sa première réunion</w:t>
      </w:r>
      <w:r w:rsidR="00381BBA">
        <w:rPr>
          <w:lang w:val="fr-CH"/>
        </w:rPr>
        <w:t> </w:t>
      </w:r>
      <w:r w:rsidRPr="00654183">
        <w:rPr>
          <w:lang w:val="fr-CH"/>
        </w:rPr>
        <w:t>: questions soulevées par la Conférence de plénipotentiaires</w:t>
      </w:r>
      <w:r w:rsidR="0065146D">
        <w:rPr>
          <w:lang w:val="fr-CH"/>
        </w:rPr>
        <w:t> :</w:t>
      </w:r>
      <w:r w:rsidRPr="00654183">
        <w:rPr>
          <w:lang w:val="fr-CH"/>
        </w:rPr>
        <w:t xml:space="preserve"> </w:t>
      </w:r>
      <w:r w:rsidR="0065146D">
        <w:rPr>
          <w:lang w:val="fr-CH"/>
        </w:rPr>
        <w:t>d</w:t>
      </w:r>
      <w:r w:rsidR="0065146D" w:rsidRPr="0065146D">
        <w:rPr>
          <w:lang w:val="fr-CH"/>
        </w:rPr>
        <w:t>ispositions relatives aux fonctions</w:t>
      </w:r>
      <w:r w:rsidR="00D83481">
        <w:rPr>
          <w:lang w:val="fr-CH"/>
        </w:rPr>
        <w:t xml:space="preserve"> du secrétariat permanent de la </w:t>
      </w:r>
      <w:r w:rsidR="0065146D" w:rsidRPr="0065146D">
        <w:rPr>
          <w:lang w:val="fr-CH"/>
        </w:rPr>
        <w:t>Convention de Minamata</w:t>
      </w:r>
    </w:p>
    <w:p w14:paraId="3FA1BC8E" w14:textId="79A58546" w:rsidR="00B2319B" w:rsidRPr="00B2319B" w:rsidRDefault="00B2319B" w:rsidP="00B2319B">
      <w:pPr>
        <w:pStyle w:val="BBTitle"/>
        <w:rPr>
          <w:lang w:val="fr-CH"/>
        </w:rPr>
      </w:pPr>
      <w:r>
        <w:rPr>
          <w:lang w:val="fr-CH"/>
        </w:rPr>
        <w:t xml:space="preserve">Version </w:t>
      </w:r>
      <w:r w:rsidRPr="00B2319B">
        <w:rPr>
          <w:lang w:val="fr-CH"/>
        </w:rPr>
        <w:t xml:space="preserve">révisée du rapport sur les propositions relatives </w:t>
      </w:r>
      <w:r w:rsidR="00D83481">
        <w:rPr>
          <w:lang w:val="fr-CH"/>
        </w:rPr>
        <w:br/>
      </w:r>
      <w:r w:rsidRPr="00B2319B">
        <w:rPr>
          <w:lang w:val="fr-CH"/>
        </w:rPr>
        <w:t xml:space="preserve">à la manière dont le Directeur exécutif du Programme </w:t>
      </w:r>
      <w:r w:rsidR="00D83481">
        <w:rPr>
          <w:lang w:val="fr-CH"/>
        </w:rPr>
        <w:br/>
      </w:r>
      <w:r w:rsidRPr="00B2319B">
        <w:rPr>
          <w:lang w:val="fr-CH"/>
        </w:rPr>
        <w:t>des Nations Unies pour l’environnement exercera</w:t>
      </w:r>
      <w:r>
        <w:rPr>
          <w:lang w:val="fr-CH"/>
        </w:rPr>
        <w:t>it</w:t>
      </w:r>
      <w:r w:rsidRPr="00B2319B">
        <w:rPr>
          <w:lang w:val="fr-CH"/>
        </w:rPr>
        <w:t xml:space="preserve"> </w:t>
      </w:r>
      <w:r w:rsidR="00D83481">
        <w:rPr>
          <w:lang w:val="fr-CH"/>
        </w:rPr>
        <w:br/>
      </w:r>
      <w:r w:rsidRPr="00B2319B">
        <w:rPr>
          <w:lang w:val="fr-CH"/>
        </w:rPr>
        <w:t xml:space="preserve">les fonctions du secrétariat permanent de la Convention </w:t>
      </w:r>
      <w:r w:rsidR="00D83481">
        <w:rPr>
          <w:lang w:val="fr-CH"/>
        </w:rPr>
        <w:br/>
      </w:r>
      <w:r w:rsidRPr="00B2319B">
        <w:rPr>
          <w:lang w:val="fr-CH"/>
        </w:rPr>
        <w:t>de Minamata sur le mercure</w:t>
      </w:r>
    </w:p>
    <w:p w14:paraId="423B7FF5" w14:textId="550AFCF6" w:rsidR="0041238C" w:rsidRPr="007E304A" w:rsidRDefault="0041238C" w:rsidP="00161024">
      <w:pPr>
        <w:pStyle w:val="CH2"/>
        <w:outlineLvl w:val="0"/>
      </w:pPr>
      <w:r w:rsidRPr="00B2319B">
        <w:rPr>
          <w:lang w:val="fr-CH"/>
        </w:rPr>
        <w:tab/>
      </w:r>
      <w:r w:rsidRPr="00B2319B">
        <w:rPr>
          <w:lang w:val="fr-CH"/>
        </w:rPr>
        <w:tab/>
      </w:r>
      <w:r w:rsidR="0051712D">
        <w:t>Note du secré</w:t>
      </w:r>
      <w:r w:rsidRPr="007E304A">
        <w:t>tariat</w:t>
      </w:r>
    </w:p>
    <w:p w14:paraId="297454DD" w14:textId="01106D70" w:rsidR="00566CAE" w:rsidRDefault="00096328" w:rsidP="000F4FD2">
      <w:pPr>
        <w:pStyle w:val="Normalnumber"/>
        <w:numPr>
          <w:ilvl w:val="0"/>
          <w:numId w:val="94"/>
        </w:numPr>
        <w:tabs>
          <w:tab w:val="clear" w:pos="2497"/>
          <w:tab w:val="num" w:pos="1134"/>
        </w:tabs>
        <w:ind w:left="1247"/>
        <w:rPr>
          <w:lang w:val="fr-CH"/>
        </w:rPr>
      </w:pPr>
      <w:r w:rsidRPr="000858E6">
        <w:rPr>
          <w:lang w:val="fr-FR"/>
        </w:rPr>
        <w:t>Au paragraphe 9 de la résolution sur les dispositions financières pour la période intérimaire, adoptée dans l’Acte final de la Conférence de plénipotentiaires relative à la Convention de Minamata sur le mercure, tenue à Kumamoto (Japon), les 10 et 11 octobre 2013</w:t>
      </w:r>
      <w:r w:rsidR="00BF1A22">
        <w:rPr>
          <w:lang w:val="fr-FR"/>
        </w:rPr>
        <w:t xml:space="preserve"> </w:t>
      </w:r>
      <w:r w:rsidR="00A1161B" w:rsidRPr="00243232">
        <w:rPr>
          <w:lang w:val="fr-CH"/>
        </w:rPr>
        <w:t>(UNEP(DTIE)/Hg/CONF/4, annex</w:t>
      </w:r>
      <w:r w:rsidR="00A1161B">
        <w:rPr>
          <w:lang w:val="fr-CH"/>
        </w:rPr>
        <w:t>e</w:t>
      </w:r>
      <w:r w:rsidR="005C1027">
        <w:rPr>
          <w:lang w:val="fr-CH"/>
        </w:rPr>
        <w:t> </w:t>
      </w:r>
      <w:r w:rsidR="00A1161B" w:rsidRPr="00243232">
        <w:rPr>
          <w:lang w:val="fr-CH"/>
        </w:rPr>
        <w:t>I)</w:t>
      </w:r>
      <w:r w:rsidR="00A1161B">
        <w:rPr>
          <w:lang w:val="fr-CH"/>
        </w:rPr>
        <w:t xml:space="preserve">, le Directeur exécutif </w:t>
      </w:r>
      <w:r w:rsidR="00BE4077" w:rsidRPr="00BE4077">
        <w:rPr>
          <w:lang w:val="fr-CH"/>
        </w:rPr>
        <w:t>du Programme des Nations Unies pour l’environnement</w:t>
      </w:r>
      <w:r w:rsidR="00BE4077">
        <w:rPr>
          <w:lang w:val="fr-CH"/>
        </w:rPr>
        <w:t xml:space="preserve"> (PNUE) est prié de présenter</w:t>
      </w:r>
      <w:r w:rsidR="00907DFF">
        <w:rPr>
          <w:lang w:val="fr-CH"/>
        </w:rPr>
        <w:t>, et le C</w:t>
      </w:r>
      <w:r w:rsidR="00F44453">
        <w:rPr>
          <w:lang w:val="fr-CH"/>
        </w:rPr>
        <w:t xml:space="preserve">omité </w:t>
      </w:r>
      <w:r w:rsidR="00907DFF">
        <w:rPr>
          <w:lang w:val="fr-CH"/>
        </w:rPr>
        <w:t xml:space="preserve">de négociation intergouvernemental </w:t>
      </w:r>
      <w:r w:rsidR="006007E0">
        <w:rPr>
          <w:lang w:val="fr-CH"/>
        </w:rPr>
        <w:t xml:space="preserve">chargé </w:t>
      </w:r>
      <w:r w:rsidR="00F44453">
        <w:rPr>
          <w:lang w:val="fr-CH"/>
        </w:rPr>
        <w:t>d</w:t>
      </w:r>
      <w:r w:rsidR="00966298">
        <w:rPr>
          <w:lang w:val="fr-CH"/>
        </w:rPr>
        <w:t>’</w:t>
      </w:r>
      <w:r w:rsidR="006007E0">
        <w:rPr>
          <w:lang w:val="fr-CH"/>
        </w:rPr>
        <w:t>élaborer</w:t>
      </w:r>
      <w:r w:rsidR="00966298">
        <w:rPr>
          <w:lang w:val="fr-CH"/>
        </w:rPr>
        <w:t xml:space="preserve"> un instrument international juridiquement contraignant sur le mercure</w:t>
      </w:r>
      <w:r w:rsidR="006007E0">
        <w:rPr>
          <w:lang w:val="fr-CH"/>
        </w:rPr>
        <w:t xml:space="preserve"> d’examiner, </w:t>
      </w:r>
      <w:r w:rsidR="00E43D9E">
        <w:rPr>
          <w:lang w:val="fr-CH"/>
        </w:rPr>
        <w:t xml:space="preserve">avant la première réunion de la Conférence des Parties, un rapport sur les propositions concernant la manière dont les fonctions du secrétariat </w:t>
      </w:r>
      <w:r w:rsidR="00907DFF">
        <w:rPr>
          <w:lang w:val="fr-CH"/>
        </w:rPr>
        <w:t xml:space="preserve">permanent de la Convention </w:t>
      </w:r>
      <w:r w:rsidR="00E43D9E">
        <w:rPr>
          <w:lang w:val="fr-CH"/>
        </w:rPr>
        <w:t>seraient accomplies</w:t>
      </w:r>
      <w:r w:rsidR="00296C2D">
        <w:rPr>
          <w:lang w:val="fr-CH"/>
        </w:rPr>
        <w:t>, y compris une analyse des options se penchant, e</w:t>
      </w:r>
      <w:r w:rsidR="00E10ECE">
        <w:rPr>
          <w:lang w:val="fr-CH"/>
        </w:rPr>
        <w:t>ntre autres, sur l’efficacité, l</w:t>
      </w:r>
      <w:r w:rsidR="00296C2D">
        <w:rPr>
          <w:lang w:val="fr-CH"/>
        </w:rPr>
        <w:t>es coûts et avantages, les différentes possibilités d’implantation pour le secrétariat, le fusionnement du secrétariat avec celui de la Convention de Bâle sur le contrôle des mouvement</w:t>
      </w:r>
      <w:r w:rsidR="00B0443A">
        <w:rPr>
          <w:lang w:val="fr-CH"/>
        </w:rPr>
        <w:t xml:space="preserve">s transfrontières de déchets dangereux et de leur élimination, de la Convention de Rotterdam sur la procédure </w:t>
      </w:r>
      <w:r w:rsidR="00907DFF">
        <w:rPr>
          <w:lang w:val="fr-CH"/>
        </w:rPr>
        <w:t>d</w:t>
      </w:r>
      <w:r w:rsidR="00B0443A">
        <w:rPr>
          <w:lang w:val="fr-CH"/>
        </w:rPr>
        <w:t xml:space="preserve">e consentement préalable en connaissance de cause applicable à certains produits chimiques et pesticides dangereux qui font l’objet d’un commerce international et de la Convention de Stockholm sur les polluants organiques persistants, et </w:t>
      </w:r>
      <w:r w:rsidR="00907DFF">
        <w:rPr>
          <w:lang w:val="fr-CH"/>
        </w:rPr>
        <w:t>l’utilisation</w:t>
      </w:r>
      <w:r w:rsidR="00B0443A">
        <w:rPr>
          <w:lang w:val="fr-CH"/>
        </w:rPr>
        <w:t xml:space="preserve"> du secrétariat provisoire. </w:t>
      </w:r>
    </w:p>
    <w:p w14:paraId="54552C8D" w14:textId="0EB58ADC" w:rsidR="000D699E" w:rsidRDefault="002661C2" w:rsidP="000F4FD2">
      <w:pPr>
        <w:pStyle w:val="Normalnumber"/>
        <w:numPr>
          <w:ilvl w:val="0"/>
          <w:numId w:val="94"/>
        </w:numPr>
        <w:tabs>
          <w:tab w:val="clear" w:pos="2497"/>
          <w:tab w:val="num" w:pos="1134"/>
        </w:tabs>
        <w:ind w:left="1247"/>
        <w:rPr>
          <w:lang w:val="fr-CH"/>
        </w:rPr>
      </w:pPr>
      <w:r w:rsidRPr="008B519B">
        <w:rPr>
          <w:lang w:val="fr-CH"/>
        </w:rPr>
        <w:t>Conformément à la demande que lui a adressée</w:t>
      </w:r>
      <w:r w:rsidR="003B3A67" w:rsidRPr="008B519B">
        <w:rPr>
          <w:lang w:val="fr-CH"/>
        </w:rPr>
        <w:t xml:space="preserve"> la Conférence de plénipotentiaires, le Dir</w:t>
      </w:r>
      <w:r w:rsidR="000D699E" w:rsidRPr="008B519B">
        <w:rPr>
          <w:lang w:val="fr-CH"/>
        </w:rPr>
        <w:t xml:space="preserve">ecteur exécutif du PNUE, </w:t>
      </w:r>
      <w:r w:rsidR="00095D8B" w:rsidRPr="008B519B">
        <w:rPr>
          <w:lang w:val="fr-CH"/>
        </w:rPr>
        <w:t>par l’intermédiaire</w:t>
      </w:r>
      <w:r w:rsidR="003B3A67" w:rsidRPr="008B519B">
        <w:rPr>
          <w:lang w:val="fr-CH"/>
        </w:rPr>
        <w:t xml:space="preserve"> du </w:t>
      </w:r>
      <w:r w:rsidR="00D97427" w:rsidRPr="008B519B">
        <w:rPr>
          <w:lang w:val="fr-CH"/>
        </w:rPr>
        <w:t>secré</w:t>
      </w:r>
      <w:r w:rsidR="003B3A67" w:rsidRPr="008B519B">
        <w:rPr>
          <w:lang w:val="fr-CH"/>
        </w:rPr>
        <w:t xml:space="preserve">tariat </w:t>
      </w:r>
      <w:r w:rsidR="00095D8B" w:rsidRPr="008B519B">
        <w:rPr>
          <w:lang w:val="fr-CH"/>
        </w:rPr>
        <w:t xml:space="preserve">provisoire de la Convention de Minamata et en consultation avec </w:t>
      </w:r>
      <w:r w:rsidR="00F50FF3">
        <w:rPr>
          <w:lang w:val="fr-CH"/>
        </w:rPr>
        <w:t>le s</w:t>
      </w:r>
      <w:r w:rsidRPr="008B519B">
        <w:rPr>
          <w:lang w:val="fr-CH"/>
        </w:rPr>
        <w:t xml:space="preserve">ecrétariat des conventions de Bâle, de Rotterdam et de Stockholm, </w:t>
      </w:r>
      <w:r w:rsidR="000D699E" w:rsidRPr="008B519B">
        <w:rPr>
          <w:lang w:val="fr-CH"/>
        </w:rPr>
        <w:t>a établi, pour examen par le Comité de négociation intergouvernemental à sa septième session, un rapport sur les propositions concernant la manière dont il exercera</w:t>
      </w:r>
      <w:r w:rsidR="008B519B" w:rsidRPr="008B519B">
        <w:rPr>
          <w:lang w:val="fr-CH"/>
        </w:rPr>
        <w:t>it</w:t>
      </w:r>
      <w:r w:rsidR="000D699E" w:rsidRPr="008B519B">
        <w:rPr>
          <w:lang w:val="fr-CH"/>
        </w:rPr>
        <w:t xml:space="preserve"> les fonctions du secrétariat permanent de la Convention</w:t>
      </w:r>
      <w:r w:rsidR="008B519B" w:rsidRPr="008B519B">
        <w:rPr>
          <w:lang w:val="fr-CH"/>
        </w:rPr>
        <w:t xml:space="preserve"> de Minamata</w:t>
      </w:r>
      <w:r w:rsidR="000D699E" w:rsidRPr="008B519B">
        <w:rPr>
          <w:lang w:val="fr-CH"/>
        </w:rPr>
        <w:t>.</w:t>
      </w:r>
    </w:p>
    <w:p w14:paraId="5AA266C6" w14:textId="55CCCDD9" w:rsidR="00CF351F" w:rsidRPr="0077654D" w:rsidRDefault="009A410C" w:rsidP="000F4FD2">
      <w:pPr>
        <w:pStyle w:val="Normalnumber"/>
        <w:numPr>
          <w:ilvl w:val="0"/>
          <w:numId w:val="94"/>
        </w:numPr>
        <w:tabs>
          <w:tab w:val="clear" w:pos="2497"/>
          <w:tab w:val="num" w:pos="1134"/>
        </w:tabs>
        <w:ind w:left="1247"/>
        <w:rPr>
          <w:lang w:val="fr-CH"/>
        </w:rPr>
      </w:pPr>
      <w:r w:rsidRPr="0077654D">
        <w:rPr>
          <w:lang w:val="fr-FR"/>
        </w:rPr>
        <w:lastRenderedPageBreak/>
        <w:t>À sa sixième session, tenue à Bangkok du 3 au 7 novembre 2014, le Comité de négociation intergouvernemental a demandé au secrétariat provisoire d’inviter les États intéressés à présenter des propositions concernant l’accueil</w:t>
      </w:r>
      <w:r w:rsidR="00F50FF3">
        <w:rPr>
          <w:lang w:val="fr-FR"/>
        </w:rPr>
        <w:t xml:space="preserve"> du </w:t>
      </w:r>
      <w:r w:rsidR="0035087C">
        <w:rPr>
          <w:lang w:val="fr-FR"/>
        </w:rPr>
        <w:t>s</w:t>
      </w:r>
      <w:r w:rsidR="00837FB8" w:rsidRPr="0077654D">
        <w:rPr>
          <w:lang w:val="fr-FR"/>
        </w:rPr>
        <w:t>ecrétariat permanent de la Convention de Minamata et de compiler et analyser toutes les propositions afin que le Comité le</w:t>
      </w:r>
      <w:r w:rsidR="00DC69D5" w:rsidRPr="0077654D">
        <w:rPr>
          <w:lang w:val="fr-FR"/>
        </w:rPr>
        <w:t xml:space="preserve">s examine à sa septième session. En juin 2015, une offre a été reçue du Gouvernement suisse </w:t>
      </w:r>
      <w:r w:rsidR="00DE77B4" w:rsidRPr="0077654D">
        <w:rPr>
          <w:lang w:val="fr-FR"/>
        </w:rPr>
        <w:t>qui proposait</w:t>
      </w:r>
      <w:r w:rsidR="00F50FF3">
        <w:rPr>
          <w:lang w:val="fr-FR"/>
        </w:rPr>
        <w:t xml:space="preserve"> d’accueillir physiquement le s</w:t>
      </w:r>
      <w:r w:rsidR="00DC69D5" w:rsidRPr="0077654D">
        <w:rPr>
          <w:lang w:val="fr-FR"/>
        </w:rPr>
        <w:t>ecrétariat à Genève</w:t>
      </w:r>
      <w:r w:rsidR="0085588F" w:rsidRPr="0077654D">
        <w:rPr>
          <w:lang w:val="fr-FR"/>
        </w:rPr>
        <w:t xml:space="preserve"> et de fournir un sou</w:t>
      </w:r>
      <w:r w:rsidR="00F105E0">
        <w:rPr>
          <w:lang w:val="fr-FR"/>
        </w:rPr>
        <w:t xml:space="preserve">tien financier à la Convention </w:t>
      </w:r>
      <w:r w:rsidR="0085588F" w:rsidRPr="0077654D">
        <w:rPr>
          <w:lang w:val="fr-FR"/>
        </w:rPr>
        <w:t>de Minamata sur le mercure</w:t>
      </w:r>
      <w:r w:rsidR="00370DEE">
        <w:rPr>
          <w:lang w:val="fr-FR"/>
        </w:rPr>
        <w:t xml:space="preserve"> au cas où son</w:t>
      </w:r>
      <w:r w:rsidR="00615F7E" w:rsidRPr="0077654D">
        <w:rPr>
          <w:lang w:val="fr-FR"/>
        </w:rPr>
        <w:t xml:space="preserve"> secrétariat</w:t>
      </w:r>
      <w:r w:rsidR="00F50FF3">
        <w:rPr>
          <w:lang w:val="fr-FR"/>
        </w:rPr>
        <w:t xml:space="preserve"> </w:t>
      </w:r>
      <w:r w:rsidR="00370DEE">
        <w:rPr>
          <w:lang w:val="fr-FR"/>
        </w:rPr>
        <w:t xml:space="preserve">permanent </w:t>
      </w:r>
      <w:r w:rsidR="00F50FF3">
        <w:rPr>
          <w:lang w:val="fr-FR"/>
        </w:rPr>
        <w:t xml:space="preserve">serait entièrement intégré au </w:t>
      </w:r>
      <w:r w:rsidR="0035087C">
        <w:rPr>
          <w:lang w:val="fr-FR"/>
        </w:rPr>
        <w:t>s</w:t>
      </w:r>
      <w:r w:rsidR="00615F7E" w:rsidRPr="0077654D">
        <w:rPr>
          <w:lang w:val="fr-FR"/>
        </w:rPr>
        <w:t xml:space="preserve">ecrétariat des conventions de Bâle, de Rotterdam et de Stockholm. </w:t>
      </w:r>
    </w:p>
    <w:p w14:paraId="5BD4AD3B" w14:textId="77C57CC0" w:rsidR="0041238C" w:rsidRPr="00882BBA" w:rsidRDefault="00882BBA" w:rsidP="000F4FD2">
      <w:pPr>
        <w:pStyle w:val="Normalnumber"/>
        <w:numPr>
          <w:ilvl w:val="0"/>
          <w:numId w:val="94"/>
        </w:numPr>
        <w:tabs>
          <w:tab w:val="clear" w:pos="2497"/>
          <w:tab w:val="num" w:pos="1134"/>
        </w:tabs>
        <w:ind w:left="1247"/>
        <w:rPr>
          <w:lang w:val="fr-CH"/>
        </w:rPr>
      </w:pPr>
      <w:r w:rsidRPr="00882BBA">
        <w:rPr>
          <w:lang w:val="fr-CH"/>
        </w:rPr>
        <w:t>À sa septième</w:t>
      </w:r>
      <w:r w:rsidR="0041238C" w:rsidRPr="00882BBA">
        <w:rPr>
          <w:lang w:val="fr-CH"/>
        </w:rPr>
        <w:t xml:space="preserve"> session, </w:t>
      </w:r>
      <w:r w:rsidRPr="00882BBA">
        <w:rPr>
          <w:lang w:val="fr-CH"/>
        </w:rPr>
        <w:t>le Comité de négociation intergouvernemental était saisi des</w:t>
      </w:r>
      <w:r w:rsidR="00783909">
        <w:rPr>
          <w:lang w:val="fr-CH"/>
        </w:rPr>
        <w:t xml:space="preserve"> documents suivants pour examen </w:t>
      </w:r>
      <w:r w:rsidRPr="00882BBA">
        <w:rPr>
          <w:lang w:val="fr-CH"/>
        </w:rPr>
        <w:t xml:space="preserve">: </w:t>
      </w:r>
    </w:p>
    <w:p w14:paraId="46B0C73D" w14:textId="06BE7704" w:rsidR="00D03DE8" w:rsidRPr="001C33FA" w:rsidRDefault="00382005" w:rsidP="0053776D">
      <w:pPr>
        <w:pStyle w:val="Normalnumber"/>
        <w:numPr>
          <w:ilvl w:val="1"/>
          <w:numId w:val="94"/>
        </w:numPr>
        <w:tabs>
          <w:tab w:val="clear" w:pos="2497"/>
          <w:tab w:val="num" w:pos="1276"/>
        </w:tabs>
        <w:ind w:left="1276"/>
        <w:rPr>
          <w:rFonts w:eastAsia="MS Mincho"/>
          <w:b/>
          <w:lang w:val="fr-FR"/>
        </w:rPr>
      </w:pPr>
      <w:r>
        <w:rPr>
          <w:lang w:val="fr-CH"/>
        </w:rPr>
        <w:t>Le rapport sur les propositions relatives à la manière dont le Directeur exécutif du PNUE exercera</w:t>
      </w:r>
      <w:r w:rsidR="00E4529B">
        <w:rPr>
          <w:lang w:val="fr-CH"/>
        </w:rPr>
        <w:t>it</w:t>
      </w:r>
      <w:r>
        <w:rPr>
          <w:lang w:val="fr-CH"/>
        </w:rPr>
        <w:t xml:space="preserve"> les fonctions du secrétariat permanent de la Convention de Minamata sur le mercure</w:t>
      </w:r>
      <w:r w:rsidR="003F5CB5">
        <w:rPr>
          <w:lang w:val="fr-CH"/>
        </w:rPr>
        <w:t xml:space="preserve"> </w:t>
      </w:r>
      <w:r w:rsidR="003F5CB5" w:rsidRPr="003F5CB5">
        <w:rPr>
          <w:lang w:val="fr-CH"/>
        </w:rPr>
        <w:t>(UNEP(DTIE)/Hg/INC.7/15),</w:t>
      </w:r>
      <w:r w:rsidR="003F5CB5">
        <w:rPr>
          <w:lang w:val="fr-CH"/>
        </w:rPr>
        <w:t xml:space="preserve"> qui comprend une analyse des options </w:t>
      </w:r>
      <w:r w:rsidR="007E1064">
        <w:rPr>
          <w:lang w:val="fr-CH"/>
        </w:rPr>
        <w:t>se penchant, e</w:t>
      </w:r>
      <w:r w:rsidR="0053776D">
        <w:rPr>
          <w:lang w:val="fr-CH"/>
        </w:rPr>
        <w:t>ntre autres, sur l’efficacité, l</w:t>
      </w:r>
      <w:r w:rsidR="007E1064">
        <w:rPr>
          <w:lang w:val="fr-CH"/>
        </w:rPr>
        <w:t xml:space="preserve">es coûts et avantages, les différentes possibilités d’implantation pour le secrétariat, le fusionnement du secrétariat avec celui </w:t>
      </w:r>
      <w:r w:rsidR="007A1853">
        <w:rPr>
          <w:lang w:val="fr-CH"/>
        </w:rPr>
        <w:t>des conventions</w:t>
      </w:r>
      <w:r w:rsidR="007E1064">
        <w:rPr>
          <w:lang w:val="fr-CH"/>
        </w:rPr>
        <w:t xml:space="preserve"> de Bâle</w:t>
      </w:r>
      <w:r w:rsidR="000D54E2">
        <w:rPr>
          <w:lang w:val="fr-CH"/>
        </w:rPr>
        <w:t xml:space="preserve">, </w:t>
      </w:r>
      <w:r w:rsidR="007E1064">
        <w:rPr>
          <w:lang w:val="fr-CH"/>
        </w:rPr>
        <w:t xml:space="preserve">de Rotterdam </w:t>
      </w:r>
      <w:r w:rsidR="007A1853">
        <w:rPr>
          <w:lang w:val="fr-CH"/>
        </w:rPr>
        <w:t xml:space="preserve">et </w:t>
      </w:r>
      <w:r w:rsidR="007E1064">
        <w:rPr>
          <w:lang w:val="fr-CH"/>
        </w:rPr>
        <w:t>de Stockholm, et le parti à tirer du secrétariat provisoire.</w:t>
      </w:r>
      <w:r w:rsidR="00FF7FEA">
        <w:rPr>
          <w:lang w:val="fr-CH"/>
        </w:rPr>
        <w:t xml:space="preserve"> Le rapport contient les options suivantes pour le secrétariat permanent de la Convention de Minamata :</w:t>
      </w:r>
      <w:r w:rsidR="00D03DE8">
        <w:rPr>
          <w:lang w:val="fr-CH"/>
        </w:rPr>
        <w:t xml:space="preserve"> option 1 </w:t>
      </w:r>
      <w:r w:rsidR="00FF7FEA">
        <w:rPr>
          <w:lang w:val="fr-CH"/>
        </w:rPr>
        <w:t xml:space="preserve">a) : </w:t>
      </w:r>
      <w:r w:rsidR="00D03DE8">
        <w:rPr>
          <w:rFonts w:eastAsia="MS Mincho"/>
          <w:lang w:val="fr-CH"/>
        </w:rPr>
        <w:t>un f</w:t>
      </w:r>
      <w:r w:rsidR="007A1853" w:rsidRPr="00D03DE8">
        <w:rPr>
          <w:rFonts w:eastAsia="MS Mincho"/>
          <w:lang w:val="fr-CH"/>
        </w:rPr>
        <w:t>usionnement avec la structure actuelle du secrét</w:t>
      </w:r>
      <w:r w:rsidR="00D03DE8" w:rsidRPr="00D03DE8">
        <w:rPr>
          <w:rFonts w:eastAsia="MS Mincho"/>
          <w:lang w:val="fr-CH"/>
        </w:rPr>
        <w:t xml:space="preserve">ariat des conventions de Bâle, </w:t>
      </w:r>
      <w:r w:rsidR="007A1853" w:rsidRPr="00D03DE8">
        <w:rPr>
          <w:rFonts w:eastAsia="MS Mincho"/>
          <w:lang w:val="fr-CH"/>
        </w:rPr>
        <w:t>de Rotterdam et de Stockholm</w:t>
      </w:r>
      <w:r w:rsidR="00D03DE8">
        <w:rPr>
          <w:rFonts w:eastAsia="MS Mincho"/>
          <w:lang w:val="fr-CH"/>
        </w:rPr>
        <w:t xml:space="preserve"> (lieu d’implantation : Genève); option 1 b) :</w:t>
      </w:r>
      <w:r w:rsidR="00D03DE8" w:rsidRPr="00D03DE8">
        <w:rPr>
          <w:rFonts w:eastAsia="MS Mincho"/>
          <w:b/>
          <w:lang w:val="fr-FR"/>
        </w:rPr>
        <w:t xml:space="preserve"> </w:t>
      </w:r>
      <w:r w:rsidR="00D03DE8">
        <w:rPr>
          <w:rFonts w:eastAsia="MS Mincho"/>
          <w:lang w:val="fr-FR"/>
        </w:rPr>
        <w:t>un f</w:t>
      </w:r>
      <w:r w:rsidR="00D03DE8" w:rsidRPr="00D03DE8">
        <w:rPr>
          <w:rFonts w:eastAsia="MS Mincho"/>
          <w:lang w:val="fr-FR"/>
        </w:rPr>
        <w:t>usionnement avec le secrétariat des conventions de Bâle, de Rotterdam et de Stockholm par la création</w:t>
      </w:r>
      <w:r w:rsidR="0035087C">
        <w:rPr>
          <w:rFonts w:eastAsia="MS Mincho"/>
          <w:lang w:val="fr-FR"/>
        </w:rPr>
        <w:t>,</w:t>
      </w:r>
      <w:r w:rsidR="00D03DE8" w:rsidRPr="00D03DE8">
        <w:rPr>
          <w:rFonts w:eastAsia="MS Mincho"/>
          <w:lang w:val="fr-FR"/>
        </w:rPr>
        <w:t xml:space="preserve"> au cours de la période intérimaire</w:t>
      </w:r>
      <w:r w:rsidR="0035087C">
        <w:rPr>
          <w:rFonts w:eastAsia="MS Mincho"/>
          <w:lang w:val="fr-FR"/>
        </w:rPr>
        <w:t>,</w:t>
      </w:r>
      <w:r w:rsidR="00D03DE8" w:rsidRPr="00D03DE8">
        <w:rPr>
          <w:rFonts w:eastAsia="MS Mincho"/>
          <w:lang w:val="fr-FR"/>
        </w:rPr>
        <w:t xml:space="preserve"> d’un quatrième service au sein de </w:t>
      </w:r>
      <w:r w:rsidR="00783909">
        <w:rPr>
          <w:rFonts w:eastAsia="MS Mincho"/>
          <w:lang w:val="fr-FR"/>
        </w:rPr>
        <w:br/>
      </w:r>
      <w:r w:rsidR="00D03DE8" w:rsidRPr="00D03DE8">
        <w:rPr>
          <w:rFonts w:eastAsia="MS Mincho"/>
          <w:lang w:val="fr-FR"/>
        </w:rPr>
        <w:t>celui-ci</w:t>
      </w:r>
      <w:r w:rsidR="00C23E00">
        <w:rPr>
          <w:rFonts w:eastAsia="MS Mincho"/>
          <w:lang w:val="fr-FR"/>
        </w:rPr>
        <w:t xml:space="preserve"> (lieu d’implantation : Genève); et option 2 :</w:t>
      </w:r>
      <w:r w:rsidR="003B5D8A">
        <w:rPr>
          <w:rFonts w:eastAsia="MS Mincho"/>
          <w:lang w:val="fr-FR"/>
        </w:rPr>
        <w:t xml:space="preserve"> l’utilisation du secrétariat provisoire (lieu d’implantation : à déterminer </w:t>
      </w:r>
      <w:r w:rsidR="00CB67CB">
        <w:rPr>
          <w:rFonts w:eastAsia="MS Mincho"/>
          <w:lang w:val="fr-FR"/>
        </w:rPr>
        <w:t xml:space="preserve">après analyse des lieux d’affectation </w:t>
      </w:r>
      <w:r w:rsidR="00222898">
        <w:rPr>
          <w:rFonts w:eastAsia="MS Mincho"/>
          <w:lang w:val="fr-FR"/>
        </w:rPr>
        <w:t>du PNUE</w:t>
      </w:r>
      <w:r w:rsidR="00CB67CB">
        <w:rPr>
          <w:rFonts w:eastAsia="MS Mincho"/>
          <w:lang w:val="fr-FR"/>
        </w:rPr>
        <w:t> </w:t>
      </w:r>
      <w:r w:rsidR="00222898">
        <w:rPr>
          <w:rFonts w:eastAsia="MS Mincho"/>
          <w:lang w:val="fr-FR"/>
        </w:rPr>
        <w:t>suivants </w:t>
      </w:r>
      <w:r w:rsidR="00CB67CB">
        <w:rPr>
          <w:rFonts w:eastAsia="MS Mincho"/>
          <w:lang w:val="fr-FR"/>
        </w:rPr>
        <w:t xml:space="preserve">: </w:t>
      </w:r>
      <w:r w:rsidR="00022456">
        <w:rPr>
          <w:lang w:val="fr-CH"/>
        </w:rPr>
        <w:t>Bangkok; Genève;</w:t>
      </w:r>
      <w:r w:rsidR="00CB67CB">
        <w:rPr>
          <w:lang w:val="fr-CH"/>
        </w:rPr>
        <w:t xml:space="preserve"> Nairobi</w:t>
      </w:r>
      <w:r w:rsidR="00022456">
        <w:rPr>
          <w:lang w:val="fr-CH"/>
        </w:rPr>
        <w:t>;</w:t>
      </w:r>
      <w:r w:rsidR="00CB67CB">
        <w:rPr>
          <w:lang w:val="fr-CH"/>
        </w:rPr>
        <w:t xml:space="preserve"> Osaka</w:t>
      </w:r>
      <w:r w:rsidR="00022456">
        <w:rPr>
          <w:lang w:val="fr-CH"/>
        </w:rPr>
        <w:t xml:space="preserve"> (Japon);</w:t>
      </w:r>
      <w:r w:rsidR="00CB67CB">
        <w:rPr>
          <w:lang w:val="fr-CH"/>
        </w:rPr>
        <w:t xml:space="preserve"> Vienne</w:t>
      </w:r>
      <w:r w:rsidR="00022456">
        <w:rPr>
          <w:lang w:val="fr-CH"/>
        </w:rPr>
        <w:t>;</w:t>
      </w:r>
      <w:r w:rsidR="00CB67CB">
        <w:rPr>
          <w:lang w:val="fr-CH"/>
        </w:rPr>
        <w:t xml:space="preserve"> </w:t>
      </w:r>
      <w:r w:rsidR="00CB67CB" w:rsidRPr="00CB67CB">
        <w:rPr>
          <w:lang w:val="fr-CH"/>
        </w:rPr>
        <w:t>Washington</w:t>
      </w:r>
      <w:r w:rsidR="00FB763F">
        <w:rPr>
          <w:lang w:val="fr-CH"/>
        </w:rPr>
        <w:t>)</w:t>
      </w:r>
      <w:r w:rsidR="00B36199">
        <w:rPr>
          <w:lang w:val="fr-CH"/>
        </w:rPr>
        <w:t>.</w:t>
      </w:r>
    </w:p>
    <w:p w14:paraId="3F472A11" w14:textId="4AF92D5D" w:rsidR="00DD6A7C" w:rsidRPr="004602EF" w:rsidRDefault="00DD6A7C" w:rsidP="0041238C">
      <w:pPr>
        <w:pStyle w:val="Normalnumber"/>
        <w:numPr>
          <w:ilvl w:val="1"/>
          <w:numId w:val="94"/>
        </w:numPr>
        <w:ind w:left="1247" w:firstLine="624"/>
        <w:rPr>
          <w:lang w:val="fr-CH"/>
        </w:rPr>
      </w:pPr>
      <w:r w:rsidRPr="004602EF">
        <w:rPr>
          <w:lang w:val="fr-CH"/>
        </w:rPr>
        <w:t>Une offre</w:t>
      </w:r>
      <w:r w:rsidR="004602EF" w:rsidRPr="004602EF">
        <w:rPr>
          <w:lang w:val="fr-CH"/>
        </w:rPr>
        <w:t xml:space="preserve"> du Gouvernement </w:t>
      </w:r>
      <w:r w:rsidR="00405003">
        <w:rPr>
          <w:lang w:val="fr-CH"/>
        </w:rPr>
        <w:t>s</w:t>
      </w:r>
      <w:r w:rsidR="004602EF" w:rsidRPr="004602EF">
        <w:rPr>
          <w:lang w:val="fr-CH"/>
        </w:rPr>
        <w:t xml:space="preserve">uisse pour l’accueil du </w:t>
      </w:r>
      <w:r w:rsidR="00C61A6E">
        <w:rPr>
          <w:lang w:val="fr-CH"/>
        </w:rPr>
        <w:t>secré</w:t>
      </w:r>
      <w:r w:rsidR="004602EF" w:rsidRPr="004602EF">
        <w:rPr>
          <w:lang w:val="fr-CH"/>
        </w:rPr>
        <w:t>tariat permanent de la Convention de Minamata sur le mercure à Genève</w:t>
      </w:r>
      <w:r w:rsidR="00C61A6E">
        <w:rPr>
          <w:lang w:val="fr-CH"/>
        </w:rPr>
        <w:t xml:space="preserve"> </w:t>
      </w:r>
      <w:r w:rsidR="00C61A6E" w:rsidRPr="00C61A6E">
        <w:rPr>
          <w:lang w:val="fr-CH"/>
        </w:rPr>
        <w:t>(UNEP(DTIE)/Hg/INC.7/INF/5),</w:t>
      </w:r>
      <w:r w:rsidR="005E4CB4">
        <w:rPr>
          <w:lang w:val="fr-CH"/>
        </w:rPr>
        <w:t xml:space="preserve"> reçue en juin </w:t>
      </w:r>
      <w:r w:rsidR="00C61A6E">
        <w:rPr>
          <w:lang w:val="fr-CH"/>
        </w:rPr>
        <w:t>2015.</w:t>
      </w:r>
    </w:p>
    <w:p w14:paraId="22DE9158" w14:textId="596EA4E6" w:rsidR="004602EF" w:rsidRPr="00C61A6E" w:rsidRDefault="00216CC0" w:rsidP="0041238C">
      <w:pPr>
        <w:pStyle w:val="Normalnumber"/>
        <w:numPr>
          <w:ilvl w:val="1"/>
          <w:numId w:val="94"/>
        </w:numPr>
        <w:ind w:left="1247" w:firstLine="624"/>
        <w:rPr>
          <w:lang w:val="fr-CH"/>
        </w:rPr>
      </w:pPr>
      <w:r>
        <w:rPr>
          <w:lang w:val="fr-CH"/>
        </w:rPr>
        <w:t xml:space="preserve">Une analyse des offres concernant l’accueil du secrétariat permanent de la Convention de Minamata sur le mercure </w:t>
      </w:r>
      <w:r w:rsidR="007E5DF0" w:rsidRPr="007E5DF0">
        <w:rPr>
          <w:lang w:val="fr-CH"/>
        </w:rPr>
        <w:t>(UNEP(DTIE)/Hg/INC.7/16)</w:t>
      </w:r>
      <w:r w:rsidR="00CA258F">
        <w:rPr>
          <w:lang w:val="fr-CH"/>
        </w:rPr>
        <w:t xml:space="preserve"> effectuée par le secrétariat provisoire à la demande de la Conférence de plénipotentiaires. </w:t>
      </w:r>
    </w:p>
    <w:p w14:paraId="77600A16" w14:textId="2CEDCC42" w:rsidR="007305F7" w:rsidRPr="00E4529B" w:rsidRDefault="000C6467" w:rsidP="000F4FD2">
      <w:pPr>
        <w:pStyle w:val="Normalnumber"/>
        <w:numPr>
          <w:ilvl w:val="0"/>
          <w:numId w:val="94"/>
        </w:numPr>
        <w:tabs>
          <w:tab w:val="clear" w:pos="2497"/>
          <w:tab w:val="num" w:pos="1134"/>
        </w:tabs>
        <w:ind w:left="1247"/>
        <w:rPr>
          <w:lang w:val="fr-CH"/>
        </w:rPr>
      </w:pPr>
      <w:r>
        <w:rPr>
          <w:lang w:val="fr-CH"/>
        </w:rPr>
        <w:t>À la suite des d</w:t>
      </w:r>
      <w:r w:rsidR="009D18FD">
        <w:rPr>
          <w:lang w:val="fr-CH"/>
        </w:rPr>
        <w:t>iscussion</w:t>
      </w:r>
      <w:r>
        <w:rPr>
          <w:lang w:val="fr-CH"/>
        </w:rPr>
        <w:t>s qui ont eu lieu</w:t>
      </w:r>
      <w:r w:rsidR="00E4529B" w:rsidRPr="00E4529B">
        <w:rPr>
          <w:lang w:val="fr-CH"/>
        </w:rPr>
        <w:t xml:space="preserve"> à la septième session, </w:t>
      </w:r>
      <w:r w:rsidR="00022456">
        <w:rPr>
          <w:lang w:val="fr-CH"/>
        </w:rPr>
        <w:t>le C</w:t>
      </w:r>
      <w:r w:rsidR="00E4529B">
        <w:rPr>
          <w:lang w:val="fr-CH"/>
        </w:rPr>
        <w:t xml:space="preserve">omité est convenu que le rapport sur les propositions relatives à la manière dont le Directeur exécutif du PNUE exercerait </w:t>
      </w:r>
      <w:r w:rsidR="00242910">
        <w:rPr>
          <w:lang w:val="fr-CH"/>
        </w:rPr>
        <w:t>les fonctions du secrétariat permanent devait être révisé</w:t>
      </w:r>
      <w:r w:rsidR="009D18FD">
        <w:rPr>
          <w:lang w:val="fr-CH"/>
        </w:rPr>
        <w:t xml:space="preserve"> à la lumière de ces débats</w:t>
      </w:r>
      <w:r w:rsidR="00242910">
        <w:rPr>
          <w:lang w:val="fr-CH"/>
        </w:rPr>
        <w:t xml:space="preserve">. </w:t>
      </w:r>
      <w:r w:rsidR="009D18FD">
        <w:rPr>
          <w:lang w:val="fr-CH"/>
        </w:rPr>
        <w:t xml:space="preserve">Le rapport révisé permettrait de </w:t>
      </w:r>
      <w:r w:rsidR="009F63B2">
        <w:rPr>
          <w:lang w:val="fr-CH"/>
        </w:rPr>
        <w:t>déterminer</w:t>
      </w:r>
      <w:r w:rsidR="00932665">
        <w:rPr>
          <w:lang w:val="fr-CH"/>
        </w:rPr>
        <w:t xml:space="preserve"> </w:t>
      </w:r>
      <w:r w:rsidR="008A3923">
        <w:rPr>
          <w:lang w:val="fr-CH"/>
        </w:rPr>
        <w:t>la façon dont</w:t>
      </w:r>
      <w:r w:rsidR="00BA6940">
        <w:rPr>
          <w:lang w:val="fr-CH"/>
        </w:rPr>
        <w:t xml:space="preserve"> la</w:t>
      </w:r>
      <w:r w:rsidR="00EC1744">
        <w:rPr>
          <w:lang w:val="fr-CH"/>
        </w:rPr>
        <w:t xml:space="preserve"> </w:t>
      </w:r>
      <w:r w:rsidR="00B21A9B">
        <w:rPr>
          <w:lang w:val="fr-CH"/>
        </w:rPr>
        <w:t>visibilité politique</w:t>
      </w:r>
      <w:r w:rsidR="00BA6940">
        <w:rPr>
          <w:lang w:val="fr-CH"/>
        </w:rPr>
        <w:t xml:space="preserve"> requise</w:t>
      </w:r>
      <w:r w:rsidR="00B21A9B">
        <w:rPr>
          <w:lang w:val="fr-CH"/>
        </w:rPr>
        <w:t xml:space="preserve"> et </w:t>
      </w:r>
      <w:r w:rsidR="00BA6940">
        <w:rPr>
          <w:lang w:val="fr-CH"/>
        </w:rPr>
        <w:t>le</w:t>
      </w:r>
      <w:r w:rsidR="00932665">
        <w:rPr>
          <w:lang w:val="fr-CH"/>
        </w:rPr>
        <w:t xml:space="preserve"> </w:t>
      </w:r>
      <w:r w:rsidR="000C73E1">
        <w:rPr>
          <w:lang w:val="fr-CH"/>
        </w:rPr>
        <w:t>temps de travail</w:t>
      </w:r>
      <w:r w:rsidR="00EC1744">
        <w:rPr>
          <w:lang w:val="fr-CH"/>
        </w:rPr>
        <w:t xml:space="preserve"> stratégique,</w:t>
      </w:r>
      <w:r w:rsidR="00D5579C">
        <w:rPr>
          <w:lang w:val="fr-CH"/>
        </w:rPr>
        <w:t xml:space="preserve"> pratique</w:t>
      </w:r>
      <w:r w:rsidR="00EC1744">
        <w:rPr>
          <w:lang w:val="fr-CH"/>
        </w:rPr>
        <w:t xml:space="preserve"> et technique</w:t>
      </w:r>
      <w:r w:rsidR="00E65FED">
        <w:rPr>
          <w:lang w:val="fr-CH"/>
        </w:rPr>
        <w:t xml:space="preserve"> </w:t>
      </w:r>
      <w:r w:rsidR="0035087C">
        <w:rPr>
          <w:lang w:val="fr-CH"/>
        </w:rPr>
        <w:t>du personnel serai</w:t>
      </w:r>
      <w:r w:rsidR="00EC1744">
        <w:rPr>
          <w:lang w:val="fr-CH"/>
        </w:rPr>
        <w:t xml:space="preserve">t </w:t>
      </w:r>
      <w:r w:rsidR="007159C4">
        <w:rPr>
          <w:lang w:val="fr-CH"/>
        </w:rPr>
        <w:t>attribué</w:t>
      </w:r>
      <w:r w:rsidR="000C73E1">
        <w:rPr>
          <w:lang w:val="fr-CH"/>
        </w:rPr>
        <w:t xml:space="preserve"> </w:t>
      </w:r>
      <w:r w:rsidR="00E65FED">
        <w:rPr>
          <w:lang w:val="fr-CH"/>
        </w:rPr>
        <w:t>à la nouvelle Convention de Minamata.</w:t>
      </w:r>
      <w:r w:rsidR="00980796">
        <w:rPr>
          <w:lang w:val="fr-CH"/>
        </w:rPr>
        <w:t xml:space="preserve"> Le </w:t>
      </w:r>
      <w:r w:rsidR="00022456">
        <w:rPr>
          <w:lang w:val="fr-CH"/>
        </w:rPr>
        <w:t>C</w:t>
      </w:r>
      <w:r w:rsidR="00866CC7">
        <w:rPr>
          <w:lang w:val="fr-CH"/>
        </w:rPr>
        <w:t xml:space="preserve">omité a également demandé à recevoir des informations complémentaires sur les coûts </w:t>
      </w:r>
      <w:r w:rsidR="00CA665B">
        <w:rPr>
          <w:lang w:val="fr-CH"/>
        </w:rPr>
        <w:t xml:space="preserve">totaux de fonctionnement d’un secrétariat permanent dans chacun des lieux d’implantation </w:t>
      </w:r>
      <w:r w:rsidR="00D2551A">
        <w:rPr>
          <w:lang w:val="fr-CH"/>
        </w:rPr>
        <w:t>envisag</w:t>
      </w:r>
      <w:r w:rsidR="00CA665B">
        <w:rPr>
          <w:lang w:val="fr-CH"/>
        </w:rPr>
        <w:t xml:space="preserve">és, y compris les </w:t>
      </w:r>
      <w:r w:rsidR="00CE40A6">
        <w:rPr>
          <w:lang w:val="fr-CH"/>
        </w:rPr>
        <w:t xml:space="preserve">frais d’organisation des réunions et </w:t>
      </w:r>
      <w:r w:rsidR="003847EC">
        <w:rPr>
          <w:lang w:val="fr-CH"/>
        </w:rPr>
        <w:t xml:space="preserve">les frais de voyage pour le personnel qui devrait participer </w:t>
      </w:r>
      <w:r w:rsidR="00435E4C">
        <w:rPr>
          <w:lang w:val="fr-CH"/>
        </w:rPr>
        <w:t xml:space="preserve">à Genève </w:t>
      </w:r>
      <w:r w:rsidR="003847EC">
        <w:rPr>
          <w:lang w:val="fr-CH"/>
        </w:rPr>
        <w:t>aux réunions clés</w:t>
      </w:r>
      <w:r w:rsidR="00435E4C">
        <w:rPr>
          <w:lang w:val="fr-CH"/>
        </w:rPr>
        <w:t xml:space="preserve"> sur les produits chimiques et les déchets</w:t>
      </w:r>
      <w:r w:rsidR="003847EC">
        <w:rPr>
          <w:lang w:val="fr-CH"/>
        </w:rPr>
        <w:t xml:space="preserve"> si </w:t>
      </w:r>
      <w:r w:rsidR="00CC49B2">
        <w:rPr>
          <w:lang w:val="fr-CH"/>
        </w:rPr>
        <w:t>le secrétariat permanent devait être implanté</w:t>
      </w:r>
      <w:r w:rsidR="003847EC">
        <w:rPr>
          <w:lang w:val="fr-CH"/>
        </w:rPr>
        <w:t xml:space="preserve"> ailleurs.</w:t>
      </w:r>
    </w:p>
    <w:p w14:paraId="4E0EFD2C" w14:textId="376F667E" w:rsidR="00405003" w:rsidRPr="00405003" w:rsidRDefault="00405003" w:rsidP="00907196">
      <w:pPr>
        <w:pStyle w:val="Normalnumber"/>
        <w:numPr>
          <w:ilvl w:val="0"/>
          <w:numId w:val="94"/>
        </w:numPr>
        <w:tabs>
          <w:tab w:val="clear" w:pos="2497"/>
          <w:tab w:val="num" w:pos="1134"/>
        </w:tabs>
        <w:ind w:left="1247"/>
        <w:rPr>
          <w:lang w:val="fr-CH"/>
        </w:rPr>
      </w:pPr>
      <w:r>
        <w:rPr>
          <w:lang w:val="fr-CH"/>
        </w:rPr>
        <w:t>Après</w:t>
      </w:r>
      <w:r w:rsidRPr="00405003">
        <w:rPr>
          <w:lang w:val="fr-CH"/>
        </w:rPr>
        <w:t xml:space="preserve"> discussion sur l’offre </w:t>
      </w:r>
      <w:r>
        <w:rPr>
          <w:lang w:val="fr-CH"/>
        </w:rPr>
        <w:t xml:space="preserve">du Gouvernement suisse </w:t>
      </w:r>
      <w:r w:rsidR="00ED0D4F">
        <w:rPr>
          <w:lang w:val="fr-CH"/>
        </w:rPr>
        <w:t>d’accueillir le</w:t>
      </w:r>
      <w:r>
        <w:rPr>
          <w:lang w:val="fr-CH"/>
        </w:rPr>
        <w:t xml:space="preserve"> secrétariat permanent de la Conve</w:t>
      </w:r>
      <w:r w:rsidR="00022456">
        <w:rPr>
          <w:lang w:val="fr-CH"/>
        </w:rPr>
        <w:t>ntion de Minamata à Genève, le C</w:t>
      </w:r>
      <w:r>
        <w:rPr>
          <w:lang w:val="fr-CH"/>
        </w:rPr>
        <w:t>omité a également de</w:t>
      </w:r>
      <w:r w:rsidR="00ED0D4F">
        <w:rPr>
          <w:lang w:val="fr-CH"/>
        </w:rPr>
        <w:t xml:space="preserve">mandé au Gouvernement suisse d’en </w:t>
      </w:r>
      <w:r>
        <w:rPr>
          <w:lang w:val="fr-CH"/>
        </w:rPr>
        <w:t xml:space="preserve">préciser certains aspects, </w:t>
      </w:r>
      <w:r w:rsidR="003B6968">
        <w:rPr>
          <w:lang w:val="fr-CH"/>
        </w:rPr>
        <w:t>notamment les conditions s’y rattachant.</w:t>
      </w:r>
      <w:r>
        <w:rPr>
          <w:lang w:val="fr-CH"/>
        </w:rPr>
        <w:t xml:space="preserve"> </w:t>
      </w:r>
    </w:p>
    <w:p w14:paraId="50A90E98" w14:textId="730850E1" w:rsidR="003B6968" w:rsidRPr="003B6968" w:rsidRDefault="003B6968" w:rsidP="00907196">
      <w:pPr>
        <w:pStyle w:val="Normalnumber"/>
        <w:numPr>
          <w:ilvl w:val="0"/>
          <w:numId w:val="94"/>
        </w:numPr>
        <w:tabs>
          <w:tab w:val="clear" w:pos="2497"/>
          <w:tab w:val="num" w:pos="1134"/>
        </w:tabs>
        <w:ind w:left="1247"/>
        <w:rPr>
          <w:lang w:val="fr-CH"/>
        </w:rPr>
      </w:pPr>
      <w:r w:rsidRPr="003B6968">
        <w:rPr>
          <w:lang w:val="fr-CH"/>
        </w:rPr>
        <w:t xml:space="preserve">Le </w:t>
      </w:r>
      <w:r w:rsidR="00443A39">
        <w:rPr>
          <w:lang w:val="fr-CH"/>
        </w:rPr>
        <w:t xml:space="preserve">document </w:t>
      </w:r>
      <w:r w:rsidR="00820081">
        <w:rPr>
          <w:lang w:val="fr-CH"/>
        </w:rPr>
        <w:t>du</w:t>
      </w:r>
      <w:r w:rsidR="00600603">
        <w:rPr>
          <w:lang w:val="fr-CH"/>
        </w:rPr>
        <w:t xml:space="preserve"> Gouvernement suisse</w:t>
      </w:r>
      <w:r w:rsidR="00820081">
        <w:rPr>
          <w:lang w:val="fr-CH"/>
        </w:rPr>
        <w:t xml:space="preserve"> contenant des éclaircissements </w:t>
      </w:r>
      <w:r w:rsidR="00E61561">
        <w:rPr>
          <w:lang w:val="fr-CH"/>
        </w:rPr>
        <w:t>sur ce thème</w:t>
      </w:r>
      <w:r w:rsidR="00907196">
        <w:rPr>
          <w:lang w:val="fr-CH"/>
        </w:rPr>
        <w:t xml:space="preserve"> </w:t>
      </w:r>
      <w:r w:rsidR="00820081">
        <w:rPr>
          <w:lang w:val="fr-CH"/>
        </w:rPr>
        <w:t>a été reçu le 27 </w:t>
      </w:r>
      <w:r w:rsidR="00600603">
        <w:rPr>
          <w:lang w:val="fr-CH"/>
        </w:rPr>
        <w:t>juin 2017 (</w:t>
      </w:r>
      <w:r w:rsidR="00600603" w:rsidRPr="00600603">
        <w:rPr>
          <w:lang w:val="fr-CH"/>
        </w:rPr>
        <w:t>UNEP/MC/COP.1.INF/8</w:t>
      </w:r>
      <w:r w:rsidR="00907196">
        <w:rPr>
          <w:lang w:val="fr-CH"/>
        </w:rPr>
        <w:t>). U</w:t>
      </w:r>
      <w:r w:rsidR="00600603">
        <w:rPr>
          <w:lang w:val="fr-CH"/>
        </w:rPr>
        <w:t>ne analyse</w:t>
      </w:r>
      <w:r w:rsidR="00820081">
        <w:rPr>
          <w:lang w:val="fr-CH"/>
        </w:rPr>
        <w:t xml:space="preserve"> actualisée de cette offre</w:t>
      </w:r>
      <w:r w:rsidR="00600603">
        <w:rPr>
          <w:lang w:val="fr-CH"/>
        </w:rPr>
        <w:t xml:space="preserve"> figure dans le document</w:t>
      </w:r>
      <w:r w:rsidR="00E51DDD">
        <w:rPr>
          <w:lang w:val="fr-CH"/>
        </w:rPr>
        <w:t xml:space="preserve"> </w:t>
      </w:r>
      <w:r w:rsidR="00E51DDD" w:rsidRPr="00E51DDD">
        <w:rPr>
          <w:lang w:val="fr-CH"/>
        </w:rPr>
        <w:t>UNEP/MC/COP.1/28.</w:t>
      </w:r>
    </w:p>
    <w:p w14:paraId="28DB9E66" w14:textId="420439CC" w:rsidR="007D6E77" w:rsidRPr="007D6E77" w:rsidRDefault="007D6E77" w:rsidP="00907196">
      <w:pPr>
        <w:pStyle w:val="Normalnumber"/>
        <w:numPr>
          <w:ilvl w:val="0"/>
          <w:numId w:val="94"/>
        </w:numPr>
        <w:tabs>
          <w:tab w:val="clear" w:pos="2497"/>
          <w:tab w:val="num" w:pos="1134"/>
        </w:tabs>
        <w:ind w:left="1247"/>
        <w:rPr>
          <w:lang w:val="fr-CH"/>
        </w:rPr>
      </w:pPr>
      <w:r w:rsidRPr="007D6E77">
        <w:rPr>
          <w:lang w:val="fr-CH"/>
        </w:rPr>
        <w:t>Deux document</w:t>
      </w:r>
      <w:r w:rsidR="0047458D">
        <w:rPr>
          <w:lang w:val="fr-CH"/>
        </w:rPr>
        <w:t>s</w:t>
      </w:r>
      <w:r w:rsidRPr="007D6E77">
        <w:rPr>
          <w:lang w:val="fr-CH"/>
        </w:rPr>
        <w:t xml:space="preserve"> supplémentaires </w:t>
      </w:r>
      <w:r w:rsidR="00F163D4">
        <w:rPr>
          <w:lang w:val="fr-CH"/>
        </w:rPr>
        <w:t>se rapportent à</w:t>
      </w:r>
      <w:r w:rsidRPr="007D6E77">
        <w:rPr>
          <w:lang w:val="fr-CH"/>
        </w:rPr>
        <w:t xml:space="preserve"> </w:t>
      </w:r>
      <w:r w:rsidR="0047458D">
        <w:rPr>
          <w:lang w:val="fr-CH"/>
        </w:rPr>
        <w:t>la question</w:t>
      </w:r>
      <w:r>
        <w:rPr>
          <w:lang w:val="fr-CH"/>
        </w:rPr>
        <w:t xml:space="preserve"> du secrétariat permanent : </w:t>
      </w:r>
      <w:r w:rsidR="005F775E">
        <w:rPr>
          <w:lang w:val="fr-CH"/>
        </w:rPr>
        <w:t xml:space="preserve">le document </w:t>
      </w:r>
      <w:r w:rsidR="0047458D" w:rsidRPr="0047458D">
        <w:rPr>
          <w:lang w:val="fr-CH"/>
        </w:rPr>
        <w:t>UNEP/MC/COP.1/18</w:t>
      </w:r>
      <w:r w:rsidR="00022456">
        <w:rPr>
          <w:lang w:val="fr-CH"/>
        </w:rPr>
        <w:t>/Rev.1</w:t>
      </w:r>
      <w:r w:rsidR="005F775E">
        <w:rPr>
          <w:lang w:val="fr-CH"/>
        </w:rPr>
        <w:t>, qui</w:t>
      </w:r>
      <w:r w:rsidR="009F64E6">
        <w:rPr>
          <w:lang w:val="fr-CH"/>
        </w:rPr>
        <w:t xml:space="preserve"> contient un projet de décision sur l</w:t>
      </w:r>
      <w:r w:rsidR="00740F63">
        <w:rPr>
          <w:lang w:val="fr-CH"/>
        </w:rPr>
        <w:t xml:space="preserve">’emplacement permanent du secrétariat, à savoir Bangkok, Genève, Nairobi, </w:t>
      </w:r>
      <w:r w:rsidR="005F775E">
        <w:rPr>
          <w:lang w:val="fr-CH"/>
        </w:rPr>
        <w:t>Osaka, Vienne ou Washington</w:t>
      </w:r>
      <w:r w:rsidR="00740F63">
        <w:rPr>
          <w:lang w:val="fr-CH"/>
        </w:rPr>
        <w:t xml:space="preserve">, </w:t>
      </w:r>
      <w:r w:rsidR="005F775E">
        <w:rPr>
          <w:lang w:val="fr-CH"/>
        </w:rPr>
        <w:t xml:space="preserve">les six lieux d’implantation </w:t>
      </w:r>
      <w:r w:rsidR="00E61561">
        <w:rPr>
          <w:lang w:val="fr-CH"/>
        </w:rPr>
        <w:t>envisagé</w:t>
      </w:r>
      <w:r w:rsidR="005F775E">
        <w:rPr>
          <w:lang w:val="fr-CH"/>
        </w:rPr>
        <w:t xml:space="preserve">s dans le document </w:t>
      </w:r>
      <w:r w:rsidR="005F775E" w:rsidRPr="005F775E">
        <w:rPr>
          <w:lang w:val="fr-CH"/>
        </w:rPr>
        <w:t>UNEP(DTIE)/Hg/INC.7/15</w:t>
      </w:r>
      <w:r w:rsidR="005F775E">
        <w:rPr>
          <w:lang w:val="fr-CH"/>
        </w:rPr>
        <w:t>;</w:t>
      </w:r>
      <w:r w:rsidR="009B77AB">
        <w:rPr>
          <w:lang w:val="fr-CH"/>
        </w:rPr>
        <w:t xml:space="preserve"> et le document </w:t>
      </w:r>
      <w:r w:rsidR="009B77AB" w:rsidRPr="009B77AB">
        <w:rPr>
          <w:lang w:val="fr-CH"/>
        </w:rPr>
        <w:t>UNEP/MC/COP.1/21/Add.2</w:t>
      </w:r>
      <w:r w:rsidR="00E61561">
        <w:rPr>
          <w:lang w:val="fr-CH"/>
        </w:rPr>
        <w:t>,</w:t>
      </w:r>
      <w:r w:rsidR="00EE1D30">
        <w:rPr>
          <w:lang w:val="fr-CH"/>
        </w:rPr>
        <w:t xml:space="preserve"> qui fait partie du programme de travail et </w:t>
      </w:r>
      <w:r w:rsidR="0063768B">
        <w:rPr>
          <w:lang w:val="fr-CH"/>
        </w:rPr>
        <w:t>du</w:t>
      </w:r>
      <w:r w:rsidR="000D03E6">
        <w:rPr>
          <w:lang w:val="fr-CH"/>
        </w:rPr>
        <w:t xml:space="preserve"> budget pour l’exercice biennal</w:t>
      </w:r>
      <w:r w:rsidR="0063768B">
        <w:rPr>
          <w:lang w:val="fr-CH"/>
        </w:rPr>
        <w:t xml:space="preserve"> 2018-2019 et </w:t>
      </w:r>
      <w:r w:rsidR="00776922">
        <w:rPr>
          <w:lang w:val="fr-CH"/>
        </w:rPr>
        <w:t>indique</w:t>
      </w:r>
      <w:r w:rsidR="0063768B">
        <w:rPr>
          <w:lang w:val="fr-CH"/>
        </w:rPr>
        <w:t xml:space="preserve"> les ressources nécessaires aux dépenses de personnel requises pour </w:t>
      </w:r>
      <w:r w:rsidR="00776922">
        <w:rPr>
          <w:lang w:val="fr-CH"/>
        </w:rPr>
        <w:t xml:space="preserve">exercer les fonctions du secrétariat selon les différentes options proposées, ainsi que </w:t>
      </w:r>
      <w:r w:rsidR="009249B0">
        <w:rPr>
          <w:lang w:val="fr-CH"/>
        </w:rPr>
        <w:t xml:space="preserve">celles qui seraient à prévoir si un secrétariat </w:t>
      </w:r>
      <w:r w:rsidR="008D48D3">
        <w:rPr>
          <w:lang w:val="fr-CH"/>
        </w:rPr>
        <w:t>autonome</w:t>
      </w:r>
      <w:r w:rsidR="009249B0">
        <w:rPr>
          <w:lang w:val="fr-CH"/>
        </w:rPr>
        <w:t xml:space="preserve"> était implanté dans l’une des cinq autres villes retenues. </w:t>
      </w:r>
    </w:p>
    <w:p w14:paraId="7769E4FD" w14:textId="3A670AF4" w:rsidR="00080272" w:rsidRPr="00080272" w:rsidRDefault="00080272" w:rsidP="00907196">
      <w:pPr>
        <w:pStyle w:val="Normalnumber"/>
        <w:numPr>
          <w:ilvl w:val="0"/>
          <w:numId w:val="94"/>
        </w:numPr>
        <w:tabs>
          <w:tab w:val="clear" w:pos="2497"/>
          <w:tab w:val="num" w:pos="1134"/>
        </w:tabs>
        <w:ind w:left="1247"/>
        <w:rPr>
          <w:lang w:val="fr-CH"/>
        </w:rPr>
      </w:pPr>
      <w:r w:rsidRPr="00080272">
        <w:rPr>
          <w:lang w:val="fr-CH"/>
        </w:rPr>
        <w:t xml:space="preserve">Comme </w:t>
      </w:r>
      <w:r w:rsidR="00500136">
        <w:rPr>
          <w:lang w:val="fr-CH"/>
        </w:rPr>
        <w:t xml:space="preserve">l’a </w:t>
      </w:r>
      <w:r w:rsidR="00501A96">
        <w:rPr>
          <w:lang w:val="fr-CH"/>
        </w:rPr>
        <w:t>demandé le C</w:t>
      </w:r>
      <w:r w:rsidRPr="00080272">
        <w:rPr>
          <w:lang w:val="fr-CH"/>
        </w:rPr>
        <w:t xml:space="preserve">omité à sa septième session, l’annexe à la présente note </w:t>
      </w:r>
      <w:r w:rsidR="002D1462">
        <w:rPr>
          <w:lang w:val="fr-CH"/>
        </w:rPr>
        <w:t>contient la version révisée du</w:t>
      </w:r>
      <w:r w:rsidR="00500136">
        <w:rPr>
          <w:lang w:val="fr-CH"/>
        </w:rPr>
        <w:t xml:space="preserve"> rapport </w:t>
      </w:r>
      <w:r w:rsidR="002D1462">
        <w:rPr>
          <w:lang w:val="fr-CH"/>
        </w:rPr>
        <w:t>du Directeur exécutif sur les propositions relatives à la manière dont il exercerait les fonctions du secrétar</w:t>
      </w:r>
      <w:r w:rsidR="00BC1EA4">
        <w:rPr>
          <w:lang w:val="fr-CH"/>
        </w:rPr>
        <w:t>iat permanent de la Convention</w:t>
      </w:r>
      <w:r w:rsidR="00FE63D3">
        <w:rPr>
          <w:lang w:val="fr-CH"/>
        </w:rPr>
        <w:t>,</w:t>
      </w:r>
      <w:r w:rsidR="00BC1EA4">
        <w:rPr>
          <w:lang w:val="fr-CH"/>
        </w:rPr>
        <w:t xml:space="preserve"> en tenant compte des discussions qui ont eu lieu à la septième session du </w:t>
      </w:r>
      <w:r w:rsidR="00501A96">
        <w:rPr>
          <w:lang w:val="fr-CH"/>
        </w:rPr>
        <w:t>C</w:t>
      </w:r>
      <w:r w:rsidR="00BC1EA4">
        <w:rPr>
          <w:lang w:val="fr-CH"/>
        </w:rPr>
        <w:t xml:space="preserve">omité de négociation intergouvernemental </w:t>
      </w:r>
      <w:r w:rsidR="00FE63D3">
        <w:rPr>
          <w:lang w:val="fr-CH"/>
        </w:rPr>
        <w:t xml:space="preserve">et en répondant </w:t>
      </w:r>
      <w:r w:rsidR="00FE63D3">
        <w:rPr>
          <w:lang w:val="fr-CH"/>
        </w:rPr>
        <w:lastRenderedPageBreak/>
        <w:t>aux demandes visant à</w:t>
      </w:r>
      <w:r w:rsidR="002F74DD">
        <w:rPr>
          <w:lang w:val="fr-CH"/>
        </w:rPr>
        <w:t xml:space="preserve"> fournir des informations complémentaires sur certains points à la</w:t>
      </w:r>
      <w:r w:rsidR="00FF2FC3">
        <w:rPr>
          <w:lang w:val="fr-CH"/>
        </w:rPr>
        <w:t xml:space="preserve"> première </w:t>
      </w:r>
      <w:r w:rsidR="00CD13CA">
        <w:rPr>
          <w:lang w:val="fr-CH"/>
        </w:rPr>
        <w:t>réunion de la</w:t>
      </w:r>
      <w:r w:rsidR="002F74DD">
        <w:rPr>
          <w:lang w:val="fr-CH"/>
        </w:rPr>
        <w:t xml:space="preserve"> Conférence des Par</w:t>
      </w:r>
      <w:r w:rsidR="00CD13CA">
        <w:rPr>
          <w:lang w:val="fr-CH"/>
        </w:rPr>
        <w:t>ties à la Convention de Minamata</w:t>
      </w:r>
      <w:r w:rsidR="002F74DD">
        <w:rPr>
          <w:lang w:val="fr-CH"/>
        </w:rPr>
        <w:t xml:space="preserve">. </w:t>
      </w:r>
    </w:p>
    <w:p w14:paraId="0D351D2C" w14:textId="4CB6801C" w:rsidR="0011777E" w:rsidRPr="00BC1EA4" w:rsidRDefault="00FE63D3" w:rsidP="00907196">
      <w:pPr>
        <w:pStyle w:val="Normalnumber"/>
        <w:numPr>
          <w:ilvl w:val="0"/>
          <w:numId w:val="94"/>
        </w:numPr>
        <w:tabs>
          <w:tab w:val="clear" w:pos="2497"/>
          <w:tab w:val="num" w:pos="1134"/>
        </w:tabs>
        <w:ind w:left="1247"/>
        <w:rPr>
          <w:lang w:val="fr-CH"/>
        </w:rPr>
      </w:pPr>
      <w:r>
        <w:rPr>
          <w:lang w:val="fr-CH"/>
        </w:rPr>
        <w:t>Lorsqu’elle</w:t>
      </w:r>
      <w:r w:rsidR="0011777E" w:rsidRPr="00BC1EA4">
        <w:rPr>
          <w:lang w:val="fr-CH"/>
        </w:rPr>
        <w:t xml:space="preserve"> examinera les options proposées, la Conférence des Parties </w:t>
      </w:r>
      <w:r>
        <w:rPr>
          <w:lang w:val="fr-CH"/>
        </w:rPr>
        <w:t>souhaite</w:t>
      </w:r>
      <w:r w:rsidR="0011777E" w:rsidRPr="00BC1EA4">
        <w:rPr>
          <w:lang w:val="fr-CH"/>
        </w:rPr>
        <w:t>ra peut-être concilier les besoins et les ressources nécessaires pour que le secrétariat soit efficace dès le début de son entrée en fonction, en particulier au cours de la période située entre la première et la deuxième réunions de la Conférence des Parties, avec des possibilités de coopération et de collaboration à long terme.</w:t>
      </w:r>
    </w:p>
    <w:p w14:paraId="63462C65" w14:textId="6ECB770C" w:rsidR="0041238C" w:rsidRPr="00FE4A5D" w:rsidRDefault="00501A96" w:rsidP="00FE4A5D">
      <w:pPr>
        <w:pStyle w:val="CH2"/>
        <w:ind w:firstLine="0"/>
        <w:outlineLvl w:val="0"/>
        <w:rPr>
          <w:lang w:val="fr-CH"/>
        </w:rPr>
      </w:pPr>
      <w:r>
        <w:rPr>
          <w:lang w:val="fr-CH"/>
        </w:rPr>
        <w:t>Mesures que pourrai</w:t>
      </w:r>
      <w:r w:rsidR="00FE4A5D" w:rsidRPr="00FE4A5D">
        <w:rPr>
          <w:lang w:val="fr-CH"/>
        </w:rPr>
        <w:t>t prendre la Conférence des Parties</w:t>
      </w:r>
    </w:p>
    <w:p w14:paraId="31CE2E39" w14:textId="163913B7" w:rsidR="00B36199" w:rsidRDefault="00FE4A5D" w:rsidP="00907196">
      <w:pPr>
        <w:pStyle w:val="Normalnumber"/>
        <w:keepNext/>
        <w:keepLines/>
        <w:numPr>
          <w:ilvl w:val="0"/>
          <w:numId w:val="94"/>
        </w:numPr>
        <w:tabs>
          <w:tab w:val="clear" w:pos="2497"/>
          <w:tab w:val="num" w:pos="1134"/>
        </w:tabs>
        <w:ind w:left="1247"/>
        <w:rPr>
          <w:lang w:val="fr-CH"/>
        </w:rPr>
      </w:pPr>
      <w:r w:rsidRPr="00FE4A5D">
        <w:rPr>
          <w:lang w:val="fr-CH"/>
        </w:rPr>
        <w:t xml:space="preserve">La Conférence des Parties </w:t>
      </w:r>
      <w:r w:rsidR="00FE63D3">
        <w:rPr>
          <w:lang w:val="fr-CH"/>
        </w:rPr>
        <w:t>voudr</w:t>
      </w:r>
      <w:r w:rsidRPr="00FE4A5D">
        <w:rPr>
          <w:lang w:val="fr-CH"/>
        </w:rPr>
        <w:t>a peut-</w:t>
      </w:r>
      <w:r>
        <w:rPr>
          <w:lang w:val="fr-CH"/>
        </w:rPr>
        <w:t>être</w:t>
      </w:r>
      <w:r w:rsidR="00AF37DE">
        <w:rPr>
          <w:lang w:val="fr-CH"/>
        </w:rPr>
        <w:t xml:space="preserve"> examiner et analyser les différentes options proposées </w:t>
      </w:r>
      <w:r w:rsidR="00D909F3">
        <w:rPr>
          <w:lang w:val="fr-CH"/>
        </w:rPr>
        <w:t>pour l’exercice des fonctions du secrétariat, ainsi que celles envisagée</w:t>
      </w:r>
      <w:r w:rsidR="00501A96">
        <w:rPr>
          <w:lang w:val="fr-CH"/>
        </w:rPr>
        <w:t>s pour son lieu d’implantation</w:t>
      </w:r>
      <w:r w:rsidR="00D909F3">
        <w:rPr>
          <w:lang w:val="fr-CH"/>
        </w:rPr>
        <w:t xml:space="preserve">, comme indiqué dans la présente note ainsi que dans d’autres documents. </w:t>
      </w:r>
      <w:r w:rsidR="00F071C0">
        <w:rPr>
          <w:lang w:val="fr-CH"/>
        </w:rPr>
        <w:t>En bref, ces options sont les suivantes : option</w:t>
      </w:r>
      <w:r w:rsidR="00FF2FC3">
        <w:rPr>
          <w:lang w:val="fr-CH"/>
        </w:rPr>
        <w:t> </w:t>
      </w:r>
      <w:r w:rsidR="00F071C0">
        <w:rPr>
          <w:lang w:val="fr-CH"/>
        </w:rPr>
        <w:t>1 a) (fusion</w:t>
      </w:r>
      <w:r w:rsidR="00B36199">
        <w:rPr>
          <w:lang w:val="fr-CH"/>
        </w:rPr>
        <w:t>nement</w:t>
      </w:r>
      <w:r w:rsidR="00F071C0">
        <w:rPr>
          <w:lang w:val="fr-CH"/>
        </w:rPr>
        <w:t xml:space="preserve">) : </w:t>
      </w:r>
      <w:r w:rsidR="00FE63D3">
        <w:rPr>
          <w:lang w:val="fr-CH"/>
        </w:rPr>
        <w:t>incorporation d</w:t>
      </w:r>
      <w:r w:rsidR="00D01D77">
        <w:rPr>
          <w:lang w:val="fr-CH"/>
        </w:rPr>
        <w:t>es fonctions du</w:t>
      </w:r>
      <w:r w:rsidR="00B36199">
        <w:rPr>
          <w:lang w:val="fr-CH"/>
        </w:rPr>
        <w:t xml:space="preserve"> secrétariat de la Convention de Minamata</w:t>
      </w:r>
      <w:r w:rsidR="0031091E">
        <w:rPr>
          <w:lang w:val="fr-CH"/>
        </w:rPr>
        <w:t xml:space="preserve"> </w:t>
      </w:r>
      <w:r w:rsidR="00303649">
        <w:rPr>
          <w:lang w:val="fr-CH"/>
        </w:rPr>
        <w:t>dans</w:t>
      </w:r>
      <w:r w:rsidR="0031091E">
        <w:rPr>
          <w:lang w:val="fr-CH"/>
        </w:rPr>
        <w:t xml:space="preserve"> la structure actuelle </w:t>
      </w:r>
      <w:r w:rsidR="00685CE6">
        <w:rPr>
          <w:lang w:val="fr-CH"/>
        </w:rPr>
        <w:t>du secrétariat des</w:t>
      </w:r>
      <w:r w:rsidR="0031091E">
        <w:rPr>
          <w:lang w:val="fr-CH"/>
        </w:rPr>
        <w:t xml:space="preserve"> conventions de Bâle, </w:t>
      </w:r>
      <w:r w:rsidR="0073799E">
        <w:rPr>
          <w:lang w:val="fr-CH"/>
        </w:rPr>
        <w:t xml:space="preserve">de </w:t>
      </w:r>
      <w:r w:rsidR="0031091E">
        <w:rPr>
          <w:lang w:val="fr-CH"/>
        </w:rPr>
        <w:t xml:space="preserve">Rotterdam et </w:t>
      </w:r>
      <w:r w:rsidR="0073799E">
        <w:rPr>
          <w:lang w:val="fr-CH"/>
        </w:rPr>
        <w:t xml:space="preserve">de </w:t>
      </w:r>
      <w:r w:rsidR="0031091E">
        <w:rPr>
          <w:lang w:val="fr-CH"/>
        </w:rPr>
        <w:t>Stockholm</w:t>
      </w:r>
      <w:r w:rsidR="00D01D77">
        <w:rPr>
          <w:lang w:val="fr-CH"/>
        </w:rPr>
        <w:t>; option</w:t>
      </w:r>
      <w:r w:rsidR="00FF2FC3">
        <w:rPr>
          <w:lang w:val="fr-CH"/>
        </w:rPr>
        <w:t> 1 </w:t>
      </w:r>
      <w:r w:rsidR="00D01D77">
        <w:rPr>
          <w:lang w:val="fr-CH"/>
        </w:rPr>
        <w:t>b) (</w:t>
      </w:r>
      <w:r w:rsidR="0073799E">
        <w:rPr>
          <w:lang w:val="fr-CH"/>
        </w:rPr>
        <w:t>intégration sous forme de S</w:t>
      </w:r>
      <w:r w:rsidR="00685CE6">
        <w:rPr>
          <w:lang w:val="fr-CH"/>
        </w:rPr>
        <w:t>ervice</w:t>
      </w:r>
      <w:r w:rsidR="00D01D77">
        <w:rPr>
          <w:lang w:val="fr-CH"/>
        </w:rPr>
        <w:t xml:space="preserve">) : </w:t>
      </w:r>
      <w:r w:rsidR="00501A96">
        <w:rPr>
          <w:lang w:val="fr-CH"/>
        </w:rPr>
        <w:t>fusionnement</w:t>
      </w:r>
      <w:r w:rsidR="00685CE6">
        <w:rPr>
          <w:lang w:val="fr-CH"/>
        </w:rPr>
        <w:t xml:space="preserve"> du</w:t>
      </w:r>
      <w:r w:rsidR="00D01D77">
        <w:rPr>
          <w:lang w:val="fr-CH"/>
        </w:rPr>
        <w:t xml:space="preserve"> </w:t>
      </w:r>
      <w:r w:rsidR="000218C2">
        <w:rPr>
          <w:lang w:val="fr-CH"/>
        </w:rPr>
        <w:t xml:space="preserve">secrétariat de la Convention de Minamata </w:t>
      </w:r>
      <w:r w:rsidR="00501A96">
        <w:rPr>
          <w:lang w:val="fr-CH"/>
        </w:rPr>
        <w:t>avec le</w:t>
      </w:r>
      <w:r w:rsidR="0073799E">
        <w:rPr>
          <w:lang w:val="fr-CH"/>
        </w:rPr>
        <w:t xml:space="preserve"> secrétariat des</w:t>
      </w:r>
      <w:r w:rsidR="000218C2">
        <w:rPr>
          <w:lang w:val="fr-CH"/>
        </w:rPr>
        <w:t xml:space="preserve"> conventions de Bâle, </w:t>
      </w:r>
      <w:r w:rsidR="0073799E">
        <w:rPr>
          <w:lang w:val="fr-CH"/>
        </w:rPr>
        <w:t xml:space="preserve">de </w:t>
      </w:r>
      <w:r w:rsidR="000218C2">
        <w:rPr>
          <w:lang w:val="fr-CH"/>
        </w:rPr>
        <w:t xml:space="preserve">Rotterdam et </w:t>
      </w:r>
      <w:r w:rsidR="0073799E">
        <w:rPr>
          <w:lang w:val="fr-CH"/>
        </w:rPr>
        <w:t xml:space="preserve">de Stockholm par la création, au cours de la période intérimaire, </w:t>
      </w:r>
      <w:r w:rsidR="00E25C03">
        <w:rPr>
          <w:rFonts w:eastAsia="MS Mincho"/>
          <w:lang w:val="fr-FR"/>
        </w:rPr>
        <w:t>d’un Service de</w:t>
      </w:r>
      <w:r w:rsidR="00B55E13">
        <w:rPr>
          <w:rFonts w:eastAsia="MS Mincho"/>
          <w:lang w:val="fr-FR"/>
        </w:rPr>
        <w:t xml:space="preserve"> la Convention de Minamata</w:t>
      </w:r>
      <w:r w:rsidR="00E25C03">
        <w:rPr>
          <w:rFonts w:eastAsia="MS Mincho"/>
          <w:lang w:val="fr-FR"/>
        </w:rPr>
        <w:t xml:space="preserve"> au sein de celui</w:t>
      </w:r>
      <w:r w:rsidR="00E25C03">
        <w:rPr>
          <w:rFonts w:eastAsia="MS Mincho"/>
          <w:lang w:val="fr-FR"/>
        </w:rPr>
        <w:noBreakHyphen/>
        <w:t>ci;</w:t>
      </w:r>
      <w:r w:rsidR="00783909">
        <w:rPr>
          <w:rFonts w:eastAsia="MS Mincho"/>
          <w:lang w:val="fr-FR"/>
        </w:rPr>
        <w:t xml:space="preserve"> et option </w:t>
      </w:r>
      <w:r w:rsidR="00B55E13">
        <w:rPr>
          <w:rFonts w:eastAsia="MS Mincho"/>
          <w:lang w:val="fr-FR"/>
        </w:rPr>
        <w:t>2</w:t>
      </w:r>
      <w:r w:rsidR="00B55E13" w:rsidRPr="00D03DE8">
        <w:rPr>
          <w:rFonts w:eastAsia="MS Mincho"/>
          <w:lang w:val="fr-FR"/>
        </w:rPr>
        <w:t xml:space="preserve"> </w:t>
      </w:r>
      <w:r w:rsidR="00B55E13">
        <w:rPr>
          <w:lang w:val="fr-CH"/>
        </w:rPr>
        <w:t>(</w:t>
      </w:r>
      <w:r w:rsidR="00E25C03">
        <w:rPr>
          <w:lang w:val="fr-CH"/>
        </w:rPr>
        <w:t>autonomie</w:t>
      </w:r>
      <w:r w:rsidR="0095722B">
        <w:rPr>
          <w:lang w:val="fr-CH"/>
        </w:rPr>
        <w:t xml:space="preserve">) : </w:t>
      </w:r>
      <w:r w:rsidR="00501A96">
        <w:rPr>
          <w:lang w:val="fr-CH"/>
        </w:rPr>
        <w:t>création d’</w:t>
      </w:r>
      <w:r w:rsidR="0095722B">
        <w:rPr>
          <w:lang w:val="fr-CH"/>
        </w:rPr>
        <w:t xml:space="preserve">un secrétariat </w:t>
      </w:r>
      <w:r w:rsidR="008D48D3">
        <w:rPr>
          <w:lang w:val="fr-CH"/>
        </w:rPr>
        <w:t>autonome</w:t>
      </w:r>
      <w:r w:rsidR="0095722B">
        <w:rPr>
          <w:lang w:val="fr-CH"/>
        </w:rPr>
        <w:t xml:space="preserve"> </w:t>
      </w:r>
      <w:r w:rsidR="003E4899">
        <w:rPr>
          <w:lang w:val="fr-CH"/>
        </w:rPr>
        <w:t>de</w:t>
      </w:r>
      <w:r w:rsidR="00DF30EF">
        <w:rPr>
          <w:lang w:val="fr-CH"/>
        </w:rPr>
        <w:t xml:space="preserve"> la Convention de Minamata.</w:t>
      </w:r>
    </w:p>
    <w:p w14:paraId="755B9268" w14:textId="5261981F" w:rsidR="001C6171" w:rsidRPr="001C6171" w:rsidRDefault="001C6171" w:rsidP="00907196">
      <w:pPr>
        <w:pStyle w:val="Normalnumber"/>
        <w:keepNext/>
        <w:keepLines/>
        <w:numPr>
          <w:ilvl w:val="0"/>
          <w:numId w:val="94"/>
        </w:numPr>
        <w:tabs>
          <w:tab w:val="clear" w:pos="2497"/>
          <w:tab w:val="num" w:pos="1134"/>
        </w:tabs>
        <w:ind w:left="1247"/>
        <w:rPr>
          <w:lang w:val="fr-CH"/>
        </w:rPr>
      </w:pPr>
      <w:r>
        <w:rPr>
          <w:lang w:val="fr-CH"/>
        </w:rPr>
        <w:t>Par suite de</w:t>
      </w:r>
      <w:r w:rsidRPr="001C6171">
        <w:rPr>
          <w:lang w:val="fr-CH"/>
        </w:rPr>
        <w:t xml:space="preserve"> cette délibération, la Conférence</w:t>
      </w:r>
      <w:r>
        <w:rPr>
          <w:lang w:val="fr-CH"/>
        </w:rPr>
        <w:t xml:space="preserve"> des Parties souhaitera peut-être adopter une décision par laquelle elle </w:t>
      </w:r>
      <w:r w:rsidR="000C617D">
        <w:rPr>
          <w:lang w:val="fr-CH"/>
        </w:rPr>
        <w:t>recommande au</w:t>
      </w:r>
      <w:r>
        <w:rPr>
          <w:lang w:val="fr-CH"/>
        </w:rPr>
        <w:t xml:space="preserve"> Directeur exécutif </w:t>
      </w:r>
      <w:r w:rsidR="000C617D">
        <w:rPr>
          <w:lang w:val="fr-CH"/>
        </w:rPr>
        <w:t>une des trois options proposées figurant dans la présente note, et fournir tout</w:t>
      </w:r>
      <w:r w:rsidR="00AD03B7">
        <w:rPr>
          <w:lang w:val="fr-CH"/>
        </w:rPr>
        <w:t>e</w:t>
      </w:r>
      <w:r w:rsidR="000C617D">
        <w:rPr>
          <w:lang w:val="fr-CH"/>
        </w:rPr>
        <w:t xml:space="preserve"> autre</w:t>
      </w:r>
      <w:r w:rsidR="00AD03B7">
        <w:rPr>
          <w:lang w:val="fr-CH"/>
        </w:rPr>
        <w:t xml:space="preserve"> orientation</w:t>
      </w:r>
      <w:r w:rsidR="000C617D">
        <w:rPr>
          <w:lang w:val="fr-CH"/>
        </w:rPr>
        <w:t xml:space="preserve"> </w:t>
      </w:r>
      <w:r w:rsidR="00AD03B7">
        <w:rPr>
          <w:lang w:val="fr-CH"/>
        </w:rPr>
        <w:t>selon qu’il y a lieu</w:t>
      </w:r>
      <w:r w:rsidR="000C617D">
        <w:rPr>
          <w:lang w:val="fr-CH"/>
        </w:rPr>
        <w:t xml:space="preserve">, en </w:t>
      </w:r>
      <w:r w:rsidR="00BB0841">
        <w:rPr>
          <w:lang w:val="fr-CH"/>
        </w:rPr>
        <w:t>gardant à l’esprit</w:t>
      </w:r>
      <w:r w:rsidR="000C617D">
        <w:rPr>
          <w:lang w:val="fr-CH"/>
        </w:rPr>
        <w:t xml:space="preserve"> que, </w:t>
      </w:r>
      <w:r w:rsidR="00BB0841">
        <w:rPr>
          <w:lang w:val="fr-CH"/>
        </w:rPr>
        <w:t>conformément au paragraphe</w:t>
      </w:r>
      <w:r w:rsidR="00FF2FC3">
        <w:rPr>
          <w:lang w:val="fr-CH"/>
        </w:rPr>
        <w:t> </w:t>
      </w:r>
      <w:r w:rsidR="00BB0841">
        <w:rPr>
          <w:lang w:val="fr-CH"/>
        </w:rPr>
        <w:t>4 de l’article</w:t>
      </w:r>
      <w:r w:rsidR="00FF2FC3">
        <w:rPr>
          <w:lang w:val="fr-CH"/>
        </w:rPr>
        <w:t> </w:t>
      </w:r>
      <w:r w:rsidR="00BB0841">
        <w:rPr>
          <w:lang w:val="fr-CH"/>
        </w:rPr>
        <w:t xml:space="preserve">24 de la Convention de Minamata, la Conférence des Parties </w:t>
      </w:r>
      <w:r w:rsidR="009B20C3">
        <w:rPr>
          <w:lang w:val="fr-CH"/>
        </w:rPr>
        <w:t xml:space="preserve">peut donner des </w:t>
      </w:r>
      <w:r w:rsidR="00DB12BA">
        <w:rPr>
          <w:lang w:val="fr-CH"/>
        </w:rPr>
        <w:t>conseil</w:t>
      </w:r>
      <w:r w:rsidR="009B20C3">
        <w:rPr>
          <w:lang w:val="fr-CH"/>
        </w:rPr>
        <w:t>s sur la coopération et la coordination entre le secrétariat permanent de la Convention de Minamata et le secrétariat des autres conventions sur les produits chimiques et les déchets.</w:t>
      </w:r>
    </w:p>
    <w:p w14:paraId="47473950" w14:textId="65DC272F" w:rsidR="00DB12BA" w:rsidRPr="00DB12BA" w:rsidRDefault="00DB12BA" w:rsidP="00907196">
      <w:pPr>
        <w:pStyle w:val="Normalnumber"/>
        <w:keepNext/>
        <w:keepLines/>
        <w:numPr>
          <w:ilvl w:val="0"/>
          <w:numId w:val="94"/>
        </w:numPr>
        <w:tabs>
          <w:tab w:val="clear" w:pos="2497"/>
          <w:tab w:val="num" w:pos="1134"/>
        </w:tabs>
        <w:ind w:left="1247"/>
        <w:rPr>
          <w:lang w:val="fr-CH"/>
        </w:rPr>
      </w:pPr>
      <w:r w:rsidRPr="00DB12BA">
        <w:rPr>
          <w:lang w:val="fr-CH"/>
        </w:rPr>
        <w:t>Si</w:t>
      </w:r>
      <w:r w:rsidR="006C4D1A">
        <w:rPr>
          <w:lang w:val="fr-CH"/>
        </w:rPr>
        <w:t xml:space="preserve"> </w:t>
      </w:r>
      <w:r w:rsidRPr="00DB12BA">
        <w:rPr>
          <w:lang w:val="fr-CH"/>
        </w:rPr>
        <w:t xml:space="preserve">la </w:t>
      </w:r>
      <w:r w:rsidR="006C4D1A">
        <w:rPr>
          <w:lang w:val="fr-CH"/>
        </w:rPr>
        <w:t>cré</w:t>
      </w:r>
      <w:r w:rsidRPr="00DB12BA">
        <w:rPr>
          <w:lang w:val="fr-CH"/>
        </w:rPr>
        <w:t xml:space="preserve">ation d’un </w:t>
      </w:r>
      <w:r w:rsidR="006C4D1A">
        <w:rPr>
          <w:lang w:val="fr-CH"/>
        </w:rPr>
        <w:t>secré</w:t>
      </w:r>
      <w:r w:rsidRPr="00DB12BA">
        <w:rPr>
          <w:lang w:val="fr-CH"/>
        </w:rPr>
        <w:t xml:space="preserve">tariat </w:t>
      </w:r>
      <w:r w:rsidR="008D48D3">
        <w:rPr>
          <w:lang w:val="fr-CH"/>
        </w:rPr>
        <w:t>autonome</w:t>
      </w:r>
      <w:r w:rsidRPr="00DB12BA">
        <w:rPr>
          <w:lang w:val="fr-CH"/>
        </w:rPr>
        <w:t xml:space="preserve"> est</w:t>
      </w:r>
      <w:r w:rsidR="006C4D1A">
        <w:rPr>
          <w:lang w:val="fr-CH"/>
        </w:rPr>
        <w:t xml:space="preserve"> l’option</w:t>
      </w:r>
      <w:r w:rsidRPr="00DB12BA">
        <w:rPr>
          <w:lang w:val="fr-CH"/>
        </w:rPr>
        <w:t xml:space="preserve"> recommandée, la Conférence des Parties </w:t>
      </w:r>
      <w:r w:rsidR="00FB0B93">
        <w:rPr>
          <w:lang w:val="fr-CH"/>
        </w:rPr>
        <w:t>pourra alors</w:t>
      </w:r>
      <w:r w:rsidRPr="00DB12BA">
        <w:rPr>
          <w:lang w:val="fr-CH"/>
        </w:rPr>
        <w:t xml:space="preserve"> peut-</w:t>
      </w:r>
      <w:r>
        <w:rPr>
          <w:lang w:val="fr-CH"/>
        </w:rPr>
        <w:t xml:space="preserve">être </w:t>
      </w:r>
      <w:r w:rsidR="006C4D1A">
        <w:rPr>
          <w:lang w:val="fr-CH"/>
        </w:rPr>
        <w:t xml:space="preserve">préciser </w:t>
      </w:r>
      <w:r w:rsidR="00FB0B93">
        <w:rPr>
          <w:lang w:val="fr-CH"/>
        </w:rPr>
        <w:t>son lieu d’implantation</w:t>
      </w:r>
      <w:r w:rsidR="006C4D1A">
        <w:rPr>
          <w:lang w:val="fr-CH"/>
        </w:rPr>
        <w:t>.</w:t>
      </w:r>
    </w:p>
    <w:p w14:paraId="1FF95AE5" w14:textId="77777777" w:rsidR="00BE2FDD" w:rsidRPr="009166F3" w:rsidRDefault="00BE2FDD" w:rsidP="006432A8">
      <w:pPr>
        <w:pStyle w:val="Normalnumber"/>
        <w:keepNext/>
        <w:keepLines/>
        <w:numPr>
          <w:ilvl w:val="0"/>
          <w:numId w:val="0"/>
        </w:numPr>
        <w:ind w:left="2610"/>
        <w:rPr>
          <w:lang w:val="fr-CH"/>
        </w:rPr>
        <w:sectPr w:rsidR="00BE2FDD" w:rsidRPr="009166F3" w:rsidSect="00861D8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379256B7" w14:textId="77777777" w:rsidR="00BE71F1" w:rsidRPr="009166F3" w:rsidRDefault="00BE71F1">
      <w:pPr>
        <w:tabs>
          <w:tab w:val="clear" w:pos="1247"/>
          <w:tab w:val="clear" w:pos="1814"/>
          <w:tab w:val="clear" w:pos="2381"/>
          <w:tab w:val="clear" w:pos="2948"/>
          <w:tab w:val="clear" w:pos="3515"/>
        </w:tabs>
        <w:rPr>
          <w:b/>
          <w:bCs/>
          <w:sz w:val="28"/>
          <w:szCs w:val="22"/>
          <w:lang w:val="fr-CH"/>
        </w:rPr>
      </w:pPr>
      <w:r w:rsidRPr="009166F3">
        <w:rPr>
          <w:lang w:val="fr-CH"/>
        </w:rPr>
        <w:br w:type="page"/>
      </w:r>
    </w:p>
    <w:p w14:paraId="2929AF70" w14:textId="02046E30" w:rsidR="0041238C" w:rsidRPr="00672A36" w:rsidRDefault="0041238C" w:rsidP="00161024">
      <w:pPr>
        <w:pStyle w:val="ZZAnxheader"/>
        <w:outlineLvl w:val="0"/>
        <w:rPr>
          <w:lang w:val="fr-CH"/>
        </w:rPr>
      </w:pPr>
      <w:r w:rsidRPr="00672A36">
        <w:rPr>
          <w:lang w:val="fr-CH"/>
        </w:rPr>
        <w:lastRenderedPageBreak/>
        <w:t>Annex</w:t>
      </w:r>
      <w:r w:rsidR="0095391B" w:rsidRPr="00672A36">
        <w:rPr>
          <w:lang w:val="fr-CH"/>
        </w:rPr>
        <w:t>e</w:t>
      </w:r>
    </w:p>
    <w:p w14:paraId="1535E188" w14:textId="1C04AA47" w:rsidR="00672A36" w:rsidRPr="00672A36" w:rsidRDefault="00672A36" w:rsidP="00672A36">
      <w:pPr>
        <w:pStyle w:val="BBTitle"/>
        <w:rPr>
          <w:lang w:val="fr-CH"/>
        </w:rPr>
      </w:pPr>
      <w:r>
        <w:rPr>
          <w:lang w:val="fr-CH"/>
        </w:rPr>
        <w:t xml:space="preserve">Version </w:t>
      </w:r>
      <w:r w:rsidRPr="00B2319B">
        <w:rPr>
          <w:lang w:val="fr-CH"/>
        </w:rPr>
        <w:t xml:space="preserve">révisée du rapport sur les propositions </w:t>
      </w:r>
      <w:r w:rsidR="00FF2FC3">
        <w:rPr>
          <w:lang w:val="fr-CH"/>
        </w:rPr>
        <w:br/>
      </w:r>
      <w:r w:rsidRPr="00B2319B">
        <w:rPr>
          <w:lang w:val="fr-CH"/>
        </w:rPr>
        <w:t xml:space="preserve">relatives à la manière dont le Directeur exécutif </w:t>
      </w:r>
      <w:r w:rsidR="00FF2FC3">
        <w:rPr>
          <w:lang w:val="fr-CH"/>
        </w:rPr>
        <w:br/>
      </w:r>
      <w:r w:rsidRPr="00B2319B">
        <w:rPr>
          <w:lang w:val="fr-CH"/>
        </w:rPr>
        <w:t>du Programme des Nations Unies pour l’environnement exercera</w:t>
      </w:r>
      <w:r>
        <w:rPr>
          <w:lang w:val="fr-CH"/>
        </w:rPr>
        <w:t>it</w:t>
      </w:r>
      <w:r w:rsidRPr="00B2319B">
        <w:rPr>
          <w:lang w:val="fr-CH"/>
        </w:rPr>
        <w:t xml:space="preserve"> les fonctions du secrétariat permanent </w:t>
      </w:r>
      <w:r w:rsidR="00FF2FC3">
        <w:rPr>
          <w:lang w:val="fr-CH"/>
        </w:rPr>
        <w:br/>
      </w:r>
      <w:r w:rsidRPr="00B2319B">
        <w:rPr>
          <w:lang w:val="fr-CH"/>
        </w:rPr>
        <w:t>de la Convention de</w:t>
      </w:r>
      <w:r>
        <w:rPr>
          <w:lang w:val="fr-CH"/>
        </w:rPr>
        <w:t xml:space="preserve"> Minamata sur le mercure</w:t>
      </w:r>
    </w:p>
    <w:p w14:paraId="02689E88" w14:textId="3E46C074" w:rsidR="0041238C" w:rsidRPr="007E304A" w:rsidRDefault="0041238C" w:rsidP="00161024">
      <w:pPr>
        <w:pStyle w:val="CH2"/>
        <w:outlineLvl w:val="0"/>
        <w:rPr>
          <w:rFonts w:eastAsia="MS Mincho"/>
        </w:rPr>
      </w:pPr>
      <w:r w:rsidRPr="00672A36">
        <w:rPr>
          <w:rFonts w:eastAsia="MS Mincho"/>
          <w:lang w:val="fr-CH"/>
        </w:rPr>
        <w:tab/>
      </w:r>
      <w:r w:rsidRPr="007E304A">
        <w:rPr>
          <w:rFonts w:eastAsia="MS Mincho"/>
        </w:rPr>
        <w:t>A.</w:t>
      </w:r>
      <w:r w:rsidRPr="007E304A">
        <w:rPr>
          <w:rFonts w:eastAsia="MS Mincho"/>
        </w:rPr>
        <w:tab/>
      </w:r>
      <w:r w:rsidR="00A02D46">
        <w:rPr>
          <w:rFonts w:eastAsia="MS Mincho"/>
        </w:rPr>
        <w:t>Généralités</w:t>
      </w:r>
    </w:p>
    <w:p w14:paraId="724E59F2" w14:textId="32B47AB0" w:rsidR="00192079" w:rsidRDefault="006C50A0"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Pr>
          <w:rFonts w:eastAsia="MS Mincho"/>
          <w:lang w:val="fr-FR"/>
        </w:rPr>
        <w:t xml:space="preserve">La Convention de Minamata sur le mercure a été adoptée puis ouverte à la signature </w:t>
      </w:r>
      <w:r w:rsidR="00501A96">
        <w:rPr>
          <w:rFonts w:eastAsia="MS Mincho"/>
          <w:lang w:val="fr-FR"/>
        </w:rPr>
        <w:t>lors de</w:t>
      </w:r>
      <w:r w:rsidR="00FB0B93">
        <w:rPr>
          <w:rFonts w:eastAsia="MS Mincho"/>
          <w:lang w:val="fr-FR"/>
        </w:rPr>
        <w:t xml:space="preserve"> </w:t>
      </w:r>
      <w:r>
        <w:rPr>
          <w:rFonts w:eastAsia="MS Mincho"/>
          <w:lang w:val="fr-FR"/>
        </w:rPr>
        <w:t>la Conférence de plénipotentiaires, tenue à Kumamato (Japon), le 10 octobre 2013. Pendant les négociations, les travaux du Comité de négociation int</w:t>
      </w:r>
      <w:r w:rsidR="00501A96">
        <w:rPr>
          <w:rFonts w:eastAsia="MS Mincho"/>
          <w:lang w:val="fr-FR"/>
        </w:rPr>
        <w:t>ergouvernemental chargé d’élaborer</w:t>
      </w:r>
      <w:r>
        <w:rPr>
          <w:rFonts w:eastAsia="MS Mincho"/>
          <w:lang w:val="fr-FR"/>
        </w:rPr>
        <w:t xml:space="preserve"> un instrument international juridiquement contraignant sur le mercure ont bénéficié des services de secrétariat assurés par le Programme des Nations Unies pour l’environnement (PNUE), par l’intermédiaire du Service substances chimiques et déchets de la Division Technologie, Industrie et Économie</w:t>
      </w:r>
      <w:r w:rsidR="0041238C" w:rsidRPr="007E304A">
        <w:rPr>
          <w:vertAlign w:val="superscript"/>
        </w:rPr>
        <w:footnoteReference w:id="2"/>
      </w:r>
      <w:r w:rsidRPr="006C50A0">
        <w:rPr>
          <w:lang w:val="fr-CH"/>
        </w:rPr>
        <w:t xml:space="preserve">. </w:t>
      </w:r>
      <w:r w:rsidR="00501A96">
        <w:rPr>
          <w:lang w:val="fr-CH"/>
        </w:rPr>
        <w:t>Q</w:t>
      </w:r>
      <w:r w:rsidR="00192079" w:rsidRPr="00192079">
        <w:rPr>
          <w:lang w:val="fr-CH"/>
        </w:rPr>
        <w:t xml:space="preserve">uand l’instrument entrera en vigueur, les fonctions du </w:t>
      </w:r>
      <w:r w:rsidR="00A96345">
        <w:rPr>
          <w:lang w:val="fr-CH"/>
        </w:rPr>
        <w:t>secrétariat</w:t>
      </w:r>
      <w:r w:rsidR="00192079" w:rsidRPr="00192079">
        <w:rPr>
          <w:lang w:val="fr-CH"/>
        </w:rPr>
        <w:t xml:space="preserve"> permanent de la Convention de Minamata sur le mercure seront </w:t>
      </w:r>
      <w:r w:rsidR="00783909">
        <w:rPr>
          <w:lang w:val="fr-CH"/>
        </w:rPr>
        <w:t>assuré</w:t>
      </w:r>
      <w:r w:rsidR="00783909" w:rsidRPr="00192079">
        <w:rPr>
          <w:lang w:val="fr-CH"/>
        </w:rPr>
        <w:t>es</w:t>
      </w:r>
      <w:r w:rsidR="00192079" w:rsidRPr="00192079">
        <w:rPr>
          <w:lang w:val="fr-CH"/>
        </w:rPr>
        <w:t xml:space="preserve"> pa</w:t>
      </w:r>
      <w:r w:rsidR="00192079">
        <w:rPr>
          <w:lang w:val="fr-CH"/>
        </w:rPr>
        <w:t>r le Directeur exécutif du PNUE, comme cela est indiqué au paragraphe</w:t>
      </w:r>
      <w:r w:rsidR="0075194B">
        <w:rPr>
          <w:lang w:val="fr-CH"/>
        </w:rPr>
        <w:t> </w:t>
      </w:r>
      <w:r w:rsidR="00192079">
        <w:rPr>
          <w:lang w:val="fr-CH"/>
        </w:rPr>
        <w:t>3 de l’article</w:t>
      </w:r>
      <w:r w:rsidR="0075194B">
        <w:rPr>
          <w:lang w:val="fr-CH"/>
        </w:rPr>
        <w:t> </w:t>
      </w:r>
      <w:r w:rsidR="00192079">
        <w:rPr>
          <w:lang w:val="fr-CH"/>
        </w:rPr>
        <w:t>24 de la Convention, sauf si la Conférence des Parties décide, par un vote à la majorité des trois quarts des Parties présentes et votantes, de les confier à un</w:t>
      </w:r>
      <w:r w:rsidR="00EA3867">
        <w:rPr>
          <w:lang w:val="fr-CH"/>
        </w:rPr>
        <w:t xml:space="preserve">e ou plusieurs autres organisations internationales. </w:t>
      </w:r>
    </w:p>
    <w:p w14:paraId="792DA38E" w14:textId="1584D070" w:rsidR="00EA3867" w:rsidRPr="007A2C0E" w:rsidRDefault="00657A5E"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sidRPr="00657A5E">
        <w:rPr>
          <w:rFonts w:eastAsia="MS Mincho"/>
          <w:lang w:val="fr-CH"/>
        </w:rPr>
        <w:t>Lors de la Conférence de plénipotentiaires, la question de savoir comment le Directeur exécutif du PNUE pourrait exécuter les fonctions du secrétariat permanent de la Convention</w:t>
      </w:r>
      <w:r w:rsidR="000A23CC">
        <w:rPr>
          <w:rFonts w:eastAsia="MS Mincho"/>
          <w:lang w:val="fr-CH"/>
        </w:rPr>
        <w:t xml:space="preserve"> a été examinée de façon plus approfondie</w:t>
      </w:r>
      <w:r w:rsidRPr="00657A5E">
        <w:rPr>
          <w:rFonts w:eastAsia="MS Mincho"/>
          <w:lang w:val="fr-CH"/>
        </w:rPr>
        <w:t xml:space="preserve">. Dans l’Acte final de la Conférence, les gouvernements ont demandé au Directeur exécutif de présenter, avant la première réunion de la Conférence des Parties, un rapport </w:t>
      </w:r>
      <w:r w:rsidR="00501A96">
        <w:rPr>
          <w:rFonts w:eastAsia="MS Mincho"/>
          <w:lang w:val="fr-CH"/>
        </w:rPr>
        <w:t xml:space="preserve">que le Comité examinerait, </w:t>
      </w:r>
      <w:r w:rsidRPr="00657A5E">
        <w:rPr>
          <w:rFonts w:eastAsia="MS Mincho"/>
          <w:lang w:val="fr-CH"/>
        </w:rPr>
        <w:t>sur les propositions concernant la façon dont seraient exécutées les fonctions du secrétariat permanent de la Convention</w:t>
      </w:r>
      <w:r w:rsidR="00CE5FE2">
        <w:rPr>
          <w:rFonts w:eastAsia="MS Mincho"/>
          <w:lang w:val="fr-CH"/>
        </w:rPr>
        <w:t>.</w:t>
      </w:r>
    </w:p>
    <w:p w14:paraId="58301E25" w14:textId="5634B0AE" w:rsidR="007A2C0E" w:rsidRPr="007A2C0E" w:rsidRDefault="00600E8C" w:rsidP="007A2C0E">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sidRPr="007A2C0E">
        <w:rPr>
          <w:lang w:val="fr-CH"/>
        </w:rPr>
        <w:t xml:space="preserve">À sa septième session, le Comité de négociation intergouvernemental a donc examiné un rapport </w:t>
      </w:r>
      <w:r w:rsidR="007A2C0E" w:rsidRPr="007A2C0E">
        <w:rPr>
          <w:rFonts w:eastAsia="MS Mincho"/>
          <w:lang w:val="fr-FR"/>
        </w:rPr>
        <w:t>sur les propositions relatives à la manière dont le Directeur exécutif du PNUE exercerait les fonctions du secrétariat permanent de la Convention de Minamata sur le mercure</w:t>
      </w:r>
      <w:r w:rsidR="007A2C0E">
        <w:rPr>
          <w:rFonts w:eastAsia="MS Mincho"/>
          <w:lang w:val="fr-FR"/>
        </w:rPr>
        <w:t xml:space="preserve"> </w:t>
      </w:r>
      <w:r w:rsidR="007A2C0E" w:rsidRPr="007A2C0E">
        <w:rPr>
          <w:rStyle w:val="Inget"/>
          <w:lang w:val="fr-CH"/>
        </w:rPr>
        <w:t>(UNEP(DTIE)/Hg/INC.7/15).</w:t>
      </w:r>
    </w:p>
    <w:p w14:paraId="71EEC8CD" w14:textId="04EF9206" w:rsidR="00AD5B9D" w:rsidRPr="00281860" w:rsidRDefault="00AD5B9D" w:rsidP="006432A8">
      <w:pPr>
        <w:pStyle w:val="Normal-pool"/>
        <w:tabs>
          <w:tab w:val="clear" w:pos="1247"/>
          <w:tab w:val="clear" w:pos="1814"/>
          <w:tab w:val="clear" w:pos="2381"/>
          <w:tab w:val="clear" w:pos="2948"/>
          <w:tab w:val="clear" w:pos="3515"/>
          <w:tab w:val="clear" w:pos="4082"/>
          <w:tab w:val="left" w:pos="624"/>
        </w:tabs>
        <w:spacing w:after="120"/>
        <w:ind w:left="1247"/>
        <w:rPr>
          <w:rFonts w:eastAsia="MS Mincho"/>
          <w:lang w:val="fr-CH"/>
        </w:rPr>
      </w:pPr>
      <w:r w:rsidRPr="00AD5B9D">
        <w:rPr>
          <w:rFonts w:eastAsia="MS Mincho"/>
          <w:lang w:val="fr-CH"/>
        </w:rPr>
        <w:t>Cette septième session du Comité de négociation intergouv</w:t>
      </w:r>
      <w:r>
        <w:rPr>
          <w:rFonts w:eastAsia="MS Mincho"/>
          <w:lang w:val="fr-CH"/>
        </w:rPr>
        <w:t xml:space="preserve">ernemental </w:t>
      </w:r>
      <w:r w:rsidR="00655FF4">
        <w:rPr>
          <w:rFonts w:eastAsia="MS Mincho"/>
          <w:lang w:val="fr-CH"/>
        </w:rPr>
        <w:t>représentait</w:t>
      </w:r>
      <w:r>
        <w:rPr>
          <w:rFonts w:eastAsia="MS Mincho"/>
          <w:lang w:val="fr-CH"/>
        </w:rPr>
        <w:t xml:space="preserve"> la première occasion de discuter de</w:t>
      </w:r>
      <w:r w:rsidRPr="00AD5B9D">
        <w:rPr>
          <w:rFonts w:eastAsia="MS Mincho"/>
          <w:lang w:val="fr-CH"/>
        </w:rPr>
        <w:t xml:space="preserve"> ces options. </w:t>
      </w:r>
      <w:r w:rsidR="00655FF4" w:rsidRPr="00281860">
        <w:rPr>
          <w:rFonts w:eastAsia="MS Mincho"/>
          <w:lang w:val="fr-CH"/>
        </w:rPr>
        <w:t xml:space="preserve">Les débats ont </w:t>
      </w:r>
      <w:r w:rsidR="00281860" w:rsidRPr="00281860">
        <w:rPr>
          <w:rFonts w:eastAsia="MS Mincho"/>
          <w:lang w:val="fr-CH"/>
        </w:rPr>
        <w:t xml:space="preserve">mis en évidence </w:t>
      </w:r>
      <w:r w:rsidR="00281860">
        <w:rPr>
          <w:rFonts w:eastAsia="MS Mincho"/>
          <w:lang w:val="fr-CH"/>
        </w:rPr>
        <w:t>un large éventail de points de vue</w:t>
      </w:r>
      <w:r w:rsidR="00281860" w:rsidRPr="00281860">
        <w:rPr>
          <w:rFonts w:eastAsia="MS Mincho"/>
          <w:lang w:val="fr-CH"/>
        </w:rPr>
        <w:t xml:space="preserve"> sur la question</w:t>
      </w:r>
      <w:r w:rsidR="00E33F47" w:rsidRPr="007E304A">
        <w:rPr>
          <w:rFonts w:eastAsia="MS Mincho"/>
          <w:vertAlign w:val="superscript"/>
        </w:rPr>
        <w:footnoteReference w:id="3"/>
      </w:r>
      <w:r w:rsidR="00281860" w:rsidRPr="00281860">
        <w:rPr>
          <w:rFonts w:eastAsia="MS Mincho"/>
          <w:lang w:val="fr-CH"/>
        </w:rPr>
        <w:t>.</w:t>
      </w:r>
      <w:r w:rsidR="00E26663">
        <w:rPr>
          <w:rFonts w:eastAsia="MS Mincho"/>
          <w:lang w:val="fr-CH"/>
        </w:rPr>
        <w:t> À la suite de</w:t>
      </w:r>
      <w:r w:rsidR="009F7751">
        <w:rPr>
          <w:rFonts w:eastAsia="MS Mincho"/>
          <w:lang w:val="fr-CH"/>
        </w:rPr>
        <w:t xml:space="preserve"> ce</w:t>
      </w:r>
      <w:r w:rsidR="00E26663">
        <w:rPr>
          <w:rFonts w:eastAsia="MS Mincho"/>
          <w:lang w:val="fr-CH"/>
        </w:rPr>
        <w:t>s discussions,</w:t>
      </w:r>
      <w:r w:rsidR="00FF683C">
        <w:rPr>
          <w:rFonts w:eastAsia="MS Mincho"/>
          <w:lang w:val="fr-CH"/>
        </w:rPr>
        <w:t xml:space="preserve"> l</w:t>
      </w:r>
      <w:r w:rsidR="005A4AA3">
        <w:rPr>
          <w:rFonts w:eastAsia="MS Mincho"/>
          <w:lang w:val="fr-CH"/>
        </w:rPr>
        <w:t>e P</w:t>
      </w:r>
      <w:r w:rsidR="0067672B">
        <w:rPr>
          <w:rFonts w:eastAsia="MS Mincho"/>
          <w:lang w:val="fr-CH"/>
        </w:rPr>
        <w:t xml:space="preserve">résident </w:t>
      </w:r>
      <w:r w:rsidR="00FF683C">
        <w:rPr>
          <w:rFonts w:eastAsia="MS Mincho"/>
          <w:lang w:val="fr-CH"/>
        </w:rPr>
        <w:t xml:space="preserve">a indiqué que le secrétariat procéderait à la révision du document </w:t>
      </w:r>
      <w:r w:rsidR="00FF683C" w:rsidRPr="00FF683C">
        <w:rPr>
          <w:lang w:val="fr-CH"/>
        </w:rPr>
        <w:t>UNEP(DTIE)/Hg/INC.7/15</w:t>
      </w:r>
      <w:r w:rsidR="00FF683C">
        <w:rPr>
          <w:lang w:val="fr-CH"/>
        </w:rPr>
        <w:t xml:space="preserve"> en tenant compte des résultats des discussions, pour examen par la Conférence des Parties à sa première réunion. </w:t>
      </w:r>
    </w:p>
    <w:p w14:paraId="4662478A" w14:textId="0E769B33" w:rsidR="005A4AA3" w:rsidRPr="005A4AA3" w:rsidRDefault="005A4AA3"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sidRPr="005A4AA3">
        <w:rPr>
          <w:lang w:val="fr-CH"/>
        </w:rPr>
        <w:t xml:space="preserve">Le </w:t>
      </w:r>
      <w:r w:rsidR="00D9045F">
        <w:rPr>
          <w:lang w:val="fr-CH"/>
        </w:rPr>
        <w:t>pré</w:t>
      </w:r>
      <w:r w:rsidRPr="005A4AA3">
        <w:rPr>
          <w:lang w:val="fr-CH"/>
        </w:rPr>
        <w:t xml:space="preserve">sent rapport se compose de quatre parties. </w:t>
      </w:r>
      <w:r>
        <w:rPr>
          <w:lang w:val="fr-CH"/>
        </w:rPr>
        <w:t>Les fonctions que le secrétariat devrait exercer</w:t>
      </w:r>
      <w:r w:rsidR="00D9045F">
        <w:rPr>
          <w:lang w:val="fr-CH"/>
        </w:rPr>
        <w:t xml:space="preserve"> en vertu de l’article 24 sont décrites à la section B </w:t>
      </w:r>
      <w:r w:rsidR="000C4E31">
        <w:rPr>
          <w:lang w:val="fr-CH"/>
        </w:rPr>
        <w:t>et complétées à</w:t>
      </w:r>
      <w:r w:rsidR="002C72C6">
        <w:rPr>
          <w:lang w:val="fr-CH"/>
        </w:rPr>
        <w:t xml:space="preserve"> l’</w:t>
      </w:r>
      <w:r w:rsidR="000C4E31">
        <w:rPr>
          <w:lang w:val="fr-CH"/>
        </w:rPr>
        <w:t>appendic</w:t>
      </w:r>
      <w:r w:rsidR="001B3A30">
        <w:rPr>
          <w:lang w:val="fr-CH"/>
        </w:rPr>
        <w:t>e I</w:t>
      </w:r>
      <w:r w:rsidR="00634480">
        <w:rPr>
          <w:lang w:val="fr-CH"/>
        </w:rPr>
        <w:t xml:space="preserve">, qui fournit des précisions sur le travail </w:t>
      </w:r>
      <w:r w:rsidR="006B1D40">
        <w:rPr>
          <w:lang w:val="fr-CH"/>
        </w:rPr>
        <w:t>prévu</w:t>
      </w:r>
      <w:r w:rsidR="00634480">
        <w:rPr>
          <w:lang w:val="fr-CH"/>
        </w:rPr>
        <w:t xml:space="preserve"> de la Convention de Minamata dans les prochaines années. </w:t>
      </w:r>
      <w:r w:rsidR="006B1D40">
        <w:rPr>
          <w:lang w:val="fr-CH"/>
        </w:rPr>
        <w:t>Les facteurs dont il faut tenir compte dans l’analyse des différentes options sur la manière dont le Directeur exécutif exercerait les fonctions de secrétariat perman</w:t>
      </w:r>
      <w:r w:rsidR="006F544D">
        <w:rPr>
          <w:lang w:val="fr-CH"/>
        </w:rPr>
        <w:t>ent de la Convention et qui ont été précisés par la Conférence de plénipotentiaires, sont énumérés à la sectio</w:t>
      </w:r>
      <w:r w:rsidR="0075194B">
        <w:rPr>
          <w:lang w:val="fr-CH"/>
        </w:rPr>
        <w:t>n </w:t>
      </w:r>
      <w:r w:rsidR="006F544D">
        <w:rPr>
          <w:lang w:val="fr-CH"/>
        </w:rPr>
        <w:t xml:space="preserve">C. </w:t>
      </w:r>
    </w:p>
    <w:p w14:paraId="44C40B29" w14:textId="172F5C8D" w:rsidR="002537ED" w:rsidRPr="002537ED" w:rsidRDefault="002537ED"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sidRPr="002537ED">
        <w:rPr>
          <w:lang w:val="fr-CH"/>
        </w:rPr>
        <w:t xml:space="preserve">Enfin, la section D fournit un </w:t>
      </w:r>
      <w:r w:rsidR="00D93EE4" w:rsidRPr="002537ED">
        <w:rPr>
          <w:lang w:val="fr-CH"/>
        </w:rPr>
        <w:t>aperçu</w:t>
      </w:r>
      <w:r w:rsidRPr="002537ED">
        <w:rPr>
          <w:lang w:val="fr-CH"/>
        </w:rPr>
        <w:t xml:space="preserve"> et une analyse des propositions du Directeur exécutif en </w:t>
      </w:r>
      <w:r w:rsidR="00D93EE4">
        <w:rPr>
          <w:lang w:val="fr-CH"/>
        </w:rPr>
        <w:t>matière de structures</w:t>
      </w:r>
      <w:r w:rsidRPr="002537ED">
        <w:rPr>
          <w:lang w:val="fr-CH"/>
        </w:rPr>
        <w:t xml:space="preserve"> </w:t>
      </w:r>
      <w:r w:rsidR="00591FB4">
        <w:rPr>
          <w:lang w:val="fr-CH"/>
        </w:rPr>
        <w:t xml:space="preserve">du secrétariat </w:t>
      </w:r>
      <w:r w:rsidR="00D93EE4">
        <w:rPr>
          <w:lang w:val="fr-CH"/>
        </w:rPr>
        <w:t xml:space="preserve">et du personnel requis pour </w:t>
      </w:r>
      <w:r w:rsidR="000C4E31">
        <w:rPr>
          <w:lang w:val="fr-CH"/>
        </w:rPr>
        <w:t>chacune d’entre elles</w:t>
      </w:r>
      <w:r w:rsidR="00D93EE4">
        <w:rPr>
          <w:lang w:val="fr-CH"/>
        </w:rPr>
        <w:t xml:space="preserve">, </w:t>
      </w:r>
      <w:r w:rsidR="00591FB4">
        <w:rPr>
          <w:lang w:val="fr-CH"/>
        </w:rPr>
        <w:t>à savoir</w:t>
      </w:r>
      <w:r w:rsidR="00D93EE4">
        <w:rPr>
          <w:lang w:val="fr-CH"/>
        </w:rPr>
        <w:t xml:space="preserve"> : </w:t>
      </w:r>
    </w:p>
    <w:p w14:paraId="23B6A44E" w14:textId="503008C2" w:rsidR="00B46455" w:rsidRPr="00B46455" w:rsidRDefault="0075194B" w:rsidP="00591FB4">
      <w:pPr>
        <w:pStyle w:val="Normal-pool"/>
        <w:numPr>
          <w:ilvl w:val="1"/>
          <w:numId w:val="94"/>
        </w:numPr>
        <w:tabs>
          <w:tab w:val="clear" w:pos="1247"/>
          <w:tab w:val="clear" w:pos="1814"/>
          <w:tab w:val="clear" w:pos="2381"/>
          <w:tab w:val="clear" w:pos="2497"/>
          <w:tab w:val="clear" w:pos="2948"/>
          <w:tab w:val="clear" w:pos="3515"/>
          <w:tab w:val="clear" w:pos="4082"/>
          <w:tab w:val="left" w:pos="624"/>
          <w:tab w:val="num" w:pos="1418"/>
        </w:tabs>
        <w:spacing w:after="120"/>
        <w:ind w:left="1418" w:firstLine="425"/>
        <w:rPr>
          <w:rFonts w:eastAsia="MS Mincho"/>
          <w:lang w:val="fr-CH"/>
        </w:rPr>
      </w:pPr>
      <w:r>
        <w:rPr>
          <w:rFonts w:eastAsia="MS Mincho"/>
          <w:b/>
          <w:bCs/>
          <w:lang w:val="fr-CH"/>
        </w:rPr>
        <w:t>Option </w:t>
      </w:r>
      <w:r w:rsidR="0041238C" w:rsidRPr="00B46455">
        <w:rPr>
          <w:rFonts w:eastAsia="MS Mincho"/>
          <w:b/>
          <w:bCs/>
          <w:lang w:val="fr-CH"/>
        </w:rPr>
        <w:t>1</w:t>
      </w:r>
      <w:r>
        <w:rPr>
          <w:rFonts w:eastAsia="MS Mincho"/>
          <w:b/>
          <w:bCs/>
          <w:lang w:val="fr-CH"/>
        </w:rPr>
        <w:t> </w:t>
      </w:r>
      <w:r w:rsidR="0041238C" w:rsidRPr="00B46455">
        <w:rPr>
          <w:rFonts w:eastAsia="MS Mincho"/>
          <w:b/>
          <w:bCs/>
          <w:lang w:val="fr-CH"/>
        </w:rPr>
        <w:t>a)</w:t>
      </w:r>
      <w:r w:rsidR="00B35F1D" w:rsidRPr="00B46455">
        <w:rPr>
          <w:rFonts w:eastAsia="MS Mincho"/>
          <w:b/>
          <w:bCs/>
          <w:lang w:val="fr-CH"/>
        </w:rPr>
        <w:t xml:space="preserve"> </w:t>
      </w:r>
      <w:r w:rsidR="00C1621A" w:rsidRPr="00B46455">
        <w:rPr>
          <w:rFonts w:eastAsia="MS Mincho"/>
          <w:b/>
          <w:bCs/>
          <w:lang w:val="fr-CH"/>
        </w:rPr>
        <w:t>(</w:t>
      </w:r>
      <w:r w:rsidR="00BC3796" w:rsidRPr="00B46455">
        <w:rPr>
          <w:rFonts w:eastAsia="MS Mincho"/>
          <w:b/>
          <w:bCs/>
          <w:lang w:val="fr-CH"/>
        </w:rPr>
        <w:t>fusionnement</w:t>
      </w:r>
      <w:r w:rsidR="00C1621A" w:rsidRPr="00B46455">
        <w:rPr>
          <w:rFonts w:eastAsia="MS Mincho"/>
          <w:b/>
          <w:bCs/>
          <w:lang w:val="fr-CH"/>
        </w:rPr>
        <w:t>)</w:t>
      </w:r>
      <w:r>
        <w:rPr>
          <w:rFonts w:eastAsia="MS Mincho"/>
          <w:b/>
          <w:bCs/>
          <w:lang w:val="fr-CH"/>
        </w:rPr>
        <w:t> </w:t>
      </w:r>
      <w:r w:rsidR="0041238C" w:rsidRPr="0075194B">
        <w:rPr>
          <w:rFonts w:eastAsia="MS Mincho"/>
          <w:bCs/>
          <w:lang w:val="fr-CH"/>
        </w:rPr>
        <w:t>:</w:t>
      </w:r>
      <w:r w:rsidR="0041238C" w:rsidRPr="00B46455">
        <w:rPr>
          <w:rFonts w:eastAsia="MS Mincho"/>
          <w:lang w:val="fr-CH"/>
        </w:rPr>
        <w:t xml:space="preserve"> </w:t>
      </w:r>
      <w:r w:rsidR="00591FB4">
        <w:rPr>
          <w:lang w:val="fr-CH"/>
        </w:rPr>
        <w:t>incorporation d</w:t>
      </w:r>
      <w:r w:rsidR="00B46455">
        <w:rPr>
          <w:lang w:val="fr-CH"/>
        </w:rPr>
        <w:t xml:space="preserve">es fonctions du secrétariat de la Convention de Minamata </w:t>
      </w:r>
      <w:r w:rsidR="00ED11CD">
        <w:rPr>
          <w:lang w:val="fr-CH"/>
        </w:rPr>
        <w:t>dans</w:t>
      </w:r>
      <w:r w:rsidR="00B46455">
        <w:rPr>
          <w:lang w:val="fr-CH"/>
        </w:rPr>
        <w:t xml:space="preserve"> la structure actuelle </w:t>
      </w:r>
      <w:r w:rsidR="00ED11CD">
        <w:rPr>
          <w:lang w:val="fr-CH"/>
        </w:rPr>
        <w:t>du secrétariat</w:t>
      </w:r>
      <w:r w:rsidR="00B46455">
        <w:rPr>
          <w:lang w:val="fr-CH"/>
        </w:rPr>
        <w:t xml:space="preserve"> des conventions de Bâle, </w:t>
      </w:r>
      <w:r w:rsidR="00ED11CD">
        <w:rPr>
          <w:lang w:val="fr-CH"/>
        </w:rPr>
        <w:t xml:space="preserve">de </w:t>
      </w:r>
      <w:r w:rsidR="00B46455">
        <w:rPr>
          <w:lang w:val="fr-CH"/>
        </w:rPr>
        <w:t xml:space="preserve">Rotterdam et </w:t>
      </w:r>
      <w:r w:rsidR="00ED11CD">
        <w:rPr>
          <w:lang w:val="fr-CH"/>
        </w:rPr>
        <w:t xml:space="preserve">de </w:t>
      </w:r>
      <w:r w:rsidR="00B46455">
        <w:rPr>
          <w:lang w:val="fr-CH"/>
        </w:rPr>
        <w:t>Stockholm</w:t>
      </w:r>
      <w:r w:rsidR="00B11CDB">
        <w:rPr>
          <w:lang w:val="fr-CH"/>
        </w:rPr>
        <w:t xml:space="preserve"> (lieu</w:t>
      </w:r>
      <w:r w:rsidR="00B46455">
        <w:rPr>
          <w:lang w:val="fr-CH"/>
        </w:rPr>
        <w:t xml:space="preserve"> d’implantation : Genève)</w:t>
      </w:r>
      <w:r w:rsidR="00ED11CD">
        <w:rPr>
          <w:lang w:val="fr-CH"/>
        </w:rPr>
        <w:t>;</w:t>
      </w:r>
    </w:p>
    <w:p w14:paraId="2EE24BD9" w14:textId="384BC373" w:rsidR="0041238C" w:rsidRPr="000D740D" w:rsidRDefault="0075194B" w:rsidP="0075194B">
      <w:pPr>
        <w:pStyle w:val="Normal-pool"/>
        <w:numPr>
          <w:ilvl w:val="1"/>
          <w:numId w:val="94"/>
        </w:numPr>
        <w:tabs>
          <w:tab w:val="clear" w:pos="1247"/>
          <w:tab w:val="clear" w:pos="1814"/>
          <w:tab w:val="clear" w:pos="2381"/>
          <w:tab w:val="clear" w:pos="2497"/>
          <w:tab w:val="clear" w:pos="2948"/>
          <w:tab w:val="clear" w:pos="3515"/>
          <w:tab w:val="clear" w:pos="4082"/>
          <w:tab w:val="left" w:pos="624"/>
          <w:tab w:val="num" w:pos="1418"/>
        </w:tabs>
        <w:spacing w:after="120"/>
        <w:ind w:left="1418" w:firstLine="425"/>
        <w:rPr>
          <w:rFonts w:eastAsia="MS Mincho"/>
          <w:lang w:val="fr-CH"/>
        </w:rPr>
      </w:pPr>
      <w:r>
        <w:rPr>
          <w:rFonts w:eastAsia="MS Mincho"/>
          <w:b/>
          <w:bCs/>
          <w:lang w:val="fr-CH"/>
        </w:rPr>
        <w:t>Option </w:t>
      </w:r>
      <w:r w:rsidR="0041238C" w:rsidRPr="000D740D">
        <w:rPr>
          <w:rFonts w:eastAsia="MS Mincho"/>
          <w:b/>
          <w:bCs/>
          <w:lang w:val="fr-CH"/>
        </w:rPr>
        <w:t>1</w:t>
      </w:r>
      <w:r>
        <w:rPr>
          <w:rFonts w:eastAsia="MS Mincho"/>
          <w:b/>
          <w:bCs/>
          <w:lang w:val="fr-CH"/>
        </w:rPr>
        <w:t> </w:t>
      </w:r>
      <w:r w:rsidR="0041238C" w:rsidRPr="000D740D">
        <w:rPr>
          <w:rFonts w:eastAsia="MS Mincho"/>
          <w:b/>
          <w:bCs/>
          <w:lang w:val="fr-CH"/>
        </w:rPr>
        <w:t>b)</w:t>
      </w:r>
      <w:r w:rsidR="007C51DA" w:rsidRPr="000D740D">
        <w:rPr>
          <w:rFonts w:eastAsia="MS Mincho"/>
          <w:b/>
          <w:bCs/>
          <w:lang w:val="fr-CH"/>
        </w:rPr>
        <w:t xml:space="preserve"> </w:t>
      </w:r>
      <w:r w:rsidR="00C1621A" w:rsidRPr="000D740D">
        <w:rPr>
          <w:rFonts w:eastAsia="MS Mincho"/>
          <w:b/>
          <w:bCs/>
          <w:lang w:val="fr-CH"/>
        </w:rPr>
        <w:t>(</w:t>
      </w:r>
      <w:r w:rsidR="00ED11CD">
        <w:rPr>
          <w:rFonts w:eastAsia="MS Mincho"/>
          <w:b/>
          <w:bCs/>
          <w:lang w:val="fr-CH"/>
        </w:rPr>
        <w:t>intégration sous forme de Service</w:t>
      </w:r>
      <w:r w:rsidR="00C1621A" w:rsidRPr="000D740D">
        <w:rPr>
          <w:rFonts w:eastAsia="MS Mincho"/>
          <w:b/>
          <w:bCs/>
          <w:lang w:val="fr-CH"/>
        </w:rPr>
        <w:t>)</w:t>
      </w:r>
      <w:r>
        <w:rPr>
          <w:rFonts w:eastAsia="MS Mincho"/>
          <w:b/>
          <w:bCs/>
          <w:lang w:val="fr-CH"/>
        </w:rPr>
        <w:t> </w:t>
      </w:r>
      <w:r w:rsidR="0041238C" w:rsidRPr="0075194B">
        <w:rPr>
          <w:rFonts w:eastAsia="MS Mincho"/>
          <w:bCs/>
          <w:lang w:val="fr-CH"/>
        </w:rPr>
        <w:t>:</w:t>
      </w:r>
      <w:r w:rsidR="00591FB4">
        <w:rPr>
          <w:lang w:val="fr-CH"/>
        </w:rPr>
        <w:t xml:space="preserve"> </w:t>
      </w:r>
      <w:r w:rsidR="00501A96">
        <w:rPr>
          <w:lang w:val="fr-CH"/>
        </w:rPr>
        <w:t xml:space="preserve">fusionnement </w:t>
      </w:r>
      <w:r w:rsidR="00ED11CD">
        <w:rPr>
          <w:lang w:val="fr-CH"/>
        </w:rPr>
        <w:t>du</w:t>
      </w:r>
      <w:r w:rsidR="000D740D" w:rsidRPr="000D740D">
        <w:rPr>
          <w:lang w:val="fr-CH"/>
        </w:rPr>
        <w:t xml:space="preserve"> secrétariat de la Convention de Minamata </w:t>
      </w:r>
      <w:r w:rsidR="00501A96">
        <w:rPr>
          <w:lang w:val="fr-CH"/>
        </w:rPr>
        <w:t>avec le</w:t>
      </w:r>
      <w:r w:rsidR="00ED11CD">
        <w:rPr>
          <w:lang w:val="fr-CH"/>
        </w:rPr>
        <w:t xml:space="preserve"> secrétariat</w:t>
      </w:r>
      <w:r w:rsidR="000D740D" w:rsidRPr="000D740D">
        <w:rPr>
          <w:lang w:val="fr-CH"/>
        </w:rPr>
        <w:t xml:space="preserve"> des conventions de Bâle, </w:t>
      </w:r>
      <w:r w:rsidR="00ED11CD">
        <w:rPr>
          <w:lang w:val="fr-CH"/>
        </w:rPr>
        <w:t xml:space="preserve">de </w:t>
      </w:r>
      <w:r w:rsidR="000D740D" w:rsidRPr="000D740D">
        <w:rPr>
          <w:lang w:val="fr-CH"/>
        </w:rPr>
        <w:t xml:space="preserve">Rotterdam et </w:t>
      </w:r>
      <w:r w:rsidR="00ED11CD">
        <w:rPr>
          <w:lang w:val="fr-CH"/>
        </w:rPr>
        <w:t xml:space="preserve">de </w:t>
      </w:r>
      <w:r w:rsidR="000D740D" w:rsidRPr="000D740D">
        <w:rPr>
          <w:lang w:val="fr-CH"/>
        </w:rPr>
        <w:t xml:space="preserve">Stockholm </w:t>
      </w:r>
      <w:r w:rsidR="000D740D" w:rsidRPr="000D740D">
        <w:rPr>
          <w:lang w:val="fr-CH"/>
        </w:rPr>
        <w:lastRenderedPageBreak/>
        <w:t>par la création</w:t>
      </w:r>
      <w:r w:rsidR="006D0FAE">
        <w:rPr>
          <w:lang w:val="fr-CH"/>
        </w:rPr>
        <w:t>, au cours de la période intérimaire,</w:t>
      </w:r>
      <w:r w:rsidR="006D0FAE">
        <w:rPr>
          <w:rFonts w:eastAsia="MS Mincho"/>
          <w:lang w:val="fr-CH"/>
        </w:rPr>
        <w:t xml:space="preserve"> d’un Service de </w:t>
      </w:r>
      <w:r>
        <w:rPr>
          <w:rFonts w:eastAsia="MS Mincho"/>
          <w:lang w:val="fr-CH"/>
        </w:rPr>
        <w:t xml:space="preserve">la Convention de Minamata </w:t>
      </w:r>
      <w:r w:rsidR="0041238C" w:rsidRPr="000D740D">
        <w:rPr>
          <w:rFonts w:eastAsia="MS Mincho"/>
          <w:lang w:val="fr-CH"/>
        </w:rPr>
        <w:t>(</w:t>
      </w:r>
      <w:r>
        <w:rPr>
          <w:rFonts w:eastAsia="MS Mincho"/>
          <w:lang w:val="fr-CH"/>
        </w:rPr>
        <w:t>lieu </w:t>
      </w:r>
      <w:r w:rsidR="00B11CDB">
        <w:rPr>
          <w:rFonts w:eastAsia="MS Mincho"/>
          <w:lang w:val="fr-CH"/>
        </w:rPr>
        <w:t>d’implantation</w:t>
      </w:r>
      <w:r>
        <w:rPr>
          <w:rFonts w:eastAsia="MS Mincho"/>
          <w:lang w:val="fr-CH"/>
        </w:rPr>
        <w:t> </w:t>
      </w:r>
      <w:r w:rsidR="00B11CDB">
        <w:rPr>
          <w:rFonts w:eastAsia="MS Mincho"/>
          <w:lang w:val="fr-CH"/>
        </w:rPr>
        <w:t>: Genève</w:t>
      </w:r>
      <w:r w:rsidR="0041238C" w:rsidRPr="000D740D">
        <w:rPr>
          <w:rFonts w:eastAsia="MS Mincho"/>
          <w:lang w:val="fr-CH"/>
        </w:rPr>
        <w:t>)</w:t>
      </w:r>
      <w:r>
        <w:rPr>
          <w:rFonts w:eastAsia="MS Mincho"/>
          <w:lang w:val="fr-CH"/>
        </w:rPr>
        <w:t> </w:t>
      </w:r>
      <w:r w:rsidR="00D40064" w:rsidRPr="000D740D">
        <w:rPr>
          <w:rFonts w:eastAsia="MS Mincho"/>
          <w:lang w:val="fr-CH"/>
        </w:rPr>
        <w:t>;</w:t>
      </w:r>
    </w:p>
    <w:p w14:paraId="1800A492" w14:textId="5222A7CD" w:rsidR="000F2CBF" w:rsidRPr="000F2CBF" w:rsidRDefault="0041238C" w:rsidP="0075194B">
      <w:pPr>
        <w:pStyle w:val="Normal-pool"/>
        <w:numPr>
          <w:ilvl w:val="1"/>
          <w:numId w:val="94"/>
        </w:numPr>
        <w:tabs>
          <w:tab w:val="clear" w:pos="1247"/>
          <w:tab w:val="clear" w:pos="1814"/>
          <w:tab w:val="clear" w:pos="2381"/>
          <w:tab w:val="clear" w:pos="2497"/>
          <w:tab w:val="clear" w:pos="2948"/>
          <w:tab w:val="clear" w:pos="3515"/>
          <w:tab w:val="clear" w:pos="4082"/>
          <w:tab w:val="left" w:pos="624"/>
          <w:tab w:val="num" w:pos="1418"/>
        </w:tabs>
        <w:spacing w:after="120"/>
        <w:ind w:left="1418" w:firstLine="425"/>
        <w:rPr>
          <w:lang w:val="fr-CH"/>
        </w:rPr>
      </w:pPr>
      <w:r w:rsidRPr="000F2CBF">
        <w:rPr>
          <w:rFonts w:eastAsia="MS Mincho"/>
          <w:b/>
          <w:bCs/>
          <w:lang w:val="fr-CH"/>
        </w:rPr>
        <w:t>Option</w:t>
      </w:r>
      <w:r w:rsidR="0075194B">
        <w:rPr>
          <w:rFonts w:eastAsia="MS Mincho"/>
          <w:b/>
          <w:bCs/>
          <w:lang w:val="fr-CH"/>
        </w:rPr>
        <w:t> </w:t>
      </w:r>
      <w:r w:rsidRPr="000F2CBF">
        <w:rPr>
          <w:rFonts w:eastAsia="MS Mincho"/>
          <w:b/>
          <w:bCs/>
          <w:lang w:val="fr-CH"/>
        </w:rPr>
        <w:t>2</w:t>
      </w:r>
      <w:r w:rsidR="007C51DA" w:rsidRPr="000F2CBF">
        <w:rPr>
          <w:rFonts w:eastAsia="MS Mincho"/>
          <w:b/>
          <w:bCs/>
          <w:lang w:val="fr-CH"/>
        </w:rPr>
        <w:t xml:space="preserve"> </w:t>
      </w:r>
      <w:r w:rsidR="00B11CDB" w:rsidRPr="000F2CBF">
        <w:rPr>
          <w:rFonts w:eastAsia="MS Mincho"/>
          <w:b/>
          <w:bCs/>
          <w:lang w:val="fr-CH"/>
        </w:rPr>
        <w:t>(</w:t>
      </w:r>
      <w:r w:rsidR="006D0FAE">
        <w:rPr>
          <w:rFonts w:eastAsia="MS Mincho"/>
          <w:b/>
          <w:bCs/>
          <w:lang w:val="fr-CH"/>
        </w:rPr>
        <w:t>autonomie</w:t>
      </w:r>
      <w:r w:rsidR="00C1621A" w:rsidRPr="000F2CBF">
        <w:rPr>
          <w:rFonts w:eastAsia="MS Mincho"/>
          <w:b/>
          <w:bCs/>
          <w:lang w:val="fr-CH"/>
        </w:rPr>
        <w:t>)</w:t>
      </w:r>
      <w:r w:rsidR="0075194B">
        <w:rPr>
          <w:rFonts w:eastAsia="MS Mincho"/>
          <w:b/>
          <w:bCs/>
          <w:lang w:val="fr-CH"/>
        </w:rPr>
        <w:t> </w:t>
      </w:r>
      <w:r w:rsidRPr="0075194B">
        <w:rPr>
          <w:rFonts w:eastAsia="MS Mincho"/>
          <w:bCs/>
          <w:lang w:val="fr-CH"/>
        </w:rPr>
        <w:t>:</w:t>
      </w:r>
      <w:r w:rsidRPr="000F2CBF">
        <w:rPr>
          <w:rFonts w:eastAsia="MS Mincho"/>
          <w:lang w:val="fr-CH"/>
        </w:rPr>
        <w:t xml:space="preserve"> </w:t>
      </w:r>
      <w:r w:rsidR="006D0FAE">
        <w:rPr>
          <w:lang w:val="fr-CH"/>
        </w:rPr>
        <w:t>création d’</w:t>
      </w:r>
      <w:r w:rsidR="008D48D3">
        <w:rPr>
          <w:lang w:val="fr-CH"/>
        </w:rPr>
        <w:t>un secrétariat autonome</w:t>
      </w:r>
      <w:r w:rsidR="00B11CDB" w:rsidRPr="000F2CBF">
        <w:rPr>
          <w:lang w:val="fr-CH"/>
        </w:rPr>
        <w:t xml:space="preserve"> </w:t>
      </w:r>
      <w:r w:rsidR="003E4899">
        <w:rPr>
          <w:lang w:val="fr-CH"/>
        </w:rPr>
        <w:t>de</w:t>
      </w:r>
      <w:r w:rsidR="00B11CDB" w:rsidRPr="000F2CBF">
        <w:rPr>
          <w:lang w:val="fr-CH"/>
        </w:rPr>
        <w:t xml:space="preserve"> la Convention de Minamata</w:t>
      </w:r>
      <w:r w:rsidRPr="007E304A">
        <w:rPr>
          <w:rStyle w:val="FootnoteReference"/>
          <w:rFonts w:eastAsia="MS Mincho"/>
        </w:rPr>
        <w:footnoteReference w:id="4"/>
      </w:r>
      <w:r w:rsidR="000F2CBF">
        <w:rPr>
          <w:lang w:val="fr-CH"/>
        </w:rPr>
        <w:t xml:space="preserve"> dont le lieu d’implantation reste à déterminer </w:t>
      </w:r>
      <w:r w:rsidR="008C4F77">
        <w:rPr>
          <w:lang w:val="fr-CH"/>
        </w:rPr>
        <w:t xml:space="preserve">sur la base d’une </w:t>
      </w:r>
      <w:r w:rsidR="000F2CBF">
        <w:rPr>
          <w:lang w:val="fr-CH"/>
        </w:rPr>
        <w:t>analyse des lieux d’affectation du PNUE </w:t>
      </w:r>
      <w:r w:rsidR="008C4F77">
        <w:rPr>
          <w:lang w:val="fr-CH"/>
        </w:rPr>
        <w:t>suivants</w:t>
      </w:r>
      <w:r w:rsidR="00501A96">
        <w:rPr>
          <w:lang w:val="fr-CH"/>
        </w:rPr>
        <w:t> </w:t>
      </w:r>
      <w:r w:rsidR="000F2CBF">
        <w:rPr>
          <w:lang w:val="fr-CH"/>
        </w:rPr>
        <w:t xml:space="preserve">: </w:t>
      </w:r>
      <w:r w:rsidR="00501A96">
        <w:rPr>
          <w:rFonts w:eastAsia="MS Mincho"/>
          <w:lang w:val="fr-CH"/>
        </w:rPr>
        <w:t>Bangkok;</w:t>
      </w:r>
      <w:r w:rsidR="001C7BD9" w:rsidRPr="001C7BD9">
        <w:rPr>
          <w:rFonts w:eastAsia="MS Mincho"/>
          <w:lang w:val="fr-CH"/>
        </w:rPr>
        <w:t xml:space="preserve"> G</w:t>
      </w:r>
      <w:r w:rsidR="00501A96">
        <w:rPr>
          <w:rFonts w:eastAsia="MS Mincho"/>
          <w:lang w:val="fr-CH"/>
        </w:rPr>
        <w:t>enève; Nairobi;</w:t>
      </w:r>
      <w:r w:rsidR="001C7BD9">
        <w:rPr>
          <w:rFonts w:eastAsia="MS Mincho"/>
          <w:lang w:val="fr-CH"/>
        </w:rPr>
        <w:t xml:space="preserve"> Osaka</w:t>
      </w:r>
      <w:r w:rsidR="00501A96">
        <w:rPr>
          <w:rFonts w:eastAsia="MS Mincho"/>
          <w:lang w:val="fr-CH"/>
        </w:rPr>
        <w:t xml:space="preserve"> (Japon);</w:t>
      </w:r>
      <w:r w:rsidR="001C7BD9">
        <w:rPr>
          <w:rFonts w:eastAsia="MS Mincho"/>
          <w:lang w:val="fr-CH"/>
        </w:rPr>
        <w:t xml:space="preserve"> Vienne</w:t>
      </w:r>
      <w:r w:rsidR="00501A96">
        <w:rPr>
          <w:rFonts w:eastAsia="MS Mincho"/>
          <w:lang w:val="fr-CH"/>
        </w:rPr>
        <w:t xml:space="preserve">; </w:t>
      </w:r>
      <w:r w:rsidR="001C7BD9" w:rsidRPr="001C7BD9">
        <w:rPr>
          <w:rFonts w:eastAsia="MS Mincho"/>
          <w:lang w:val="fr-CH"/>
        </w:rPr>
        <w:t>Washington</w:t>
      </w:r>
      <w:r w:rsidR="001C7BD9">
        <w:rPr>
          <w:rFonts w:eastAsia="MS Mincho"/>
          <w:lang w:val="fr-CH"/>
        </w:rPr>
        <w:t>.</w:t>
      </w:r>
    </w:p>
    <w:p w14:paraId="6403564A" w14:textId="13FA383F" w:rsidR="00416A5D" w:rsidRPr="00416A5D" w:rsidRDefault="00416A5D"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sidRPr="00416A5D">
        <w:rPr>
          <w:lang w:val="fr-CH"/>
        </w:rPr>
        <w:t>Trois a</w:t>
      </w:r>
      <w:r w:rsidR="00EC4839">
        <w:rPr>
          <w:lang w:val="fr-CH"/>
        </w:rPr>
        <w:t>ppendice</w:t>
      </w:r>
      <w:r w:rsidR="0075194B">
        <w:rPr>
          <w:lang w:val="fr-CH"/>
        </w:rPr>
        <w:t>s viennent compléter la section </w:t>
      </w:r>
      <w:r w:rsidRPr="00416A5D">
        <w:rPr>
          <w:lang w:val="fr-CH"/>
        </w:rPr>
        <w:t>D</w:t>
      </w:r>
      <w:r>
        <w:rPr>
          <w:lang w:val="fr-CH"/>
        </w:rPr>
        <w:t>. L’a</w:t>
      </w:r>
      <w:r w:rsidR="00EC4839">
        <w:rPr>
          <w:lang w:val="fr-CH"/>
        </w:rPr>
        <w:t>ppendic</w:t>
      </w:r>
      <w:r w:rsidR="0075194B">
        <w:rPr>
          <w:lang w:val="fr-CH"/>
        </w:rPr>
        <w:t>e </w:t>
      </w:r>
      <w:r>
        <w:rPr>
          <w:lang w:val="fr-CH"/>
        </w:rPr>
        <w:t>II décrit les re</w:t>
      </w:r>
      <w:r w:rsidR="0075194B">
        <w:rPr>
          <w:lang w:val="fr-CH"/>
        </w:rPr>
        <w:t>ssources requises pour l’option 1 a), l’option 1 b) et l’option </w:t>
      </w:r>
      <w:r>
        <w:rPr>
          <w:lang w:val="fr-CH"/>
        </w:rPr>
        <w:t>2. L’a</w:t>
      </w:r>
      <w:r w:rsidR="00B40931">
        <w:rPr>
          <w:lang w:val="fr-CH"/>
        </w:rPr>
        <w:t>ppendic</w:t>
      </w:r>
      <w:r>
        <w:rPr>
          <w:lang w:val="fr-CH"/>
        </w:rPr>
        <w:t>e</w:t>
      </w:r>
      <w:r w:rsidR="0075194B">
        <w:rPr>
          <w:lang w:val="fr-CH"/>
        </w:rPr>
        <w:t> </w:t>
      </w:r>
      <w:r>
        <w:rPr>
          <w:lang w:val="fr-CH"/>
        </w:rPr>
        <w:t>III fournit des informations complémentaires sur la structure du secrétariat des conventions de Bâle, de Rotterdam et de Stockholm</w:t>
      </w:r>
      <w:r w:rsidR="008B19D2">
        <w:rPr>
          <w:lang w:val="fr-CH"/>
        </w:rPr>
        <w:t xml:space="preserve"> afin de pouvoir examiner </w:t>
      </w:r>
      <w:r w:rsidR="00B40931">
        <w:rPr>
          <w:lang w:val="fr-CH"/>
        </w:rPr>
        <w:t>comment fonctionnerait</w:t>
      </w:r>
      <w:r w:rsidR="008B19D2">
        <w:rPr>
          <w:lang w:val="fr-CH"/>
        </w:rPr>
        <w:t xml:space="preserve"> </w:t>
      </w:r>
      <w:r w:rsidR="0075194B">
        <w:rPr>
          <w:lang w:val="fr-CH"/>
        </w:rPr>
        <w:t>l’option 1 a) (fusionnement) et l’option </w:t>
      </w:r>
      <w:r w:rsidR="00CD44C8">
        <w:rPr>
          <w:lang w:val="fr-CH"/>
        </w:rPr>
        <w:t>1 b) (</w:t>
      </w:r>
      <w:r w:rsidR="00B40931">
        <w:rPr>
          <w:lang w:val="fr-CH"/>
        </w:rPr>
        <w:t>intégration sous forme de Service</w:t>
      </w:r>
      <w:r w:rsidR="00CD44C8">
        <w:rPr>
          <w:lang w:val="fr-CH"/>
        </w:rPr>
        <w:t xml:space="preserve">) </w:t>
      </w:r>
      <w:r w:rsidR="00893A6E">
        <w:rPr>
          <w:lang w:val="fr-CH"/>
        </w:rPr>
        <w:t>dans la</w:t>
      </w:r>
      <w:r w:rsidR="008B19D2">
        <w:rPr>
          <w:lang w:val="fr-CH"/>
        </w:rPr>
        <w:t xml:space="preserve"> pratique. L’a</w:t>
      </w:r>
      <w:r w:rsidR="00B40931">
        <w:rPr>
          <w:lang w:val="fr-CH"/>
        </w:rPr>
        <w:t>ppendic</w:t>
      </w:r>
      <w:r w:rsidR="008B19D2">
        <w:rPr>
          <w:lang w:val="fr-CH"/>
        </w:rPr>
        <w:t xml:space="preserve">e IV </w:t>
      </w:r>
      <w:r w:rsidR="00B40931">
        <w:rPr>
          <w:lang w:val="fr-CH"/>
        </w:rPr>
        <w:t>fait de même pour l’option</w:t>
      </w:r>
      <w:r w:rsidR="0075194B">
        <w:rPr>
          <w:lang w:val="fr-CH"/>
        </w:rPr>
        <w:t> </w:t>
      </w:r>
      <w:r w:rsidR="00B40931">
        <w:rPr>
          <w:lang w:val="fr-CH"/>
        </w:rPr>
        <w:t>2</w:t>
      </w:r>
      <w:r w:rsidR="00501A96">
        <w:rPr>
          <w:lang w:val="fr-CH"/>
        </w:rPr>
        <w:t xml:space="preserve"> (autonomie)</w:t>
      </w:r>
      <w:r w:rsidR="00893A6E">
        <w:rPr>
          <w:lang w:val="fr-CH"/>
        </w:rPr>
        <w:t xml:space="preserve">. </w:t>
      </w:r>
    </w:p>
    <w:p w14:paraId="52E422B7" w14:textId="2D9AA934" w:rsidR="00E3421F" w:rsidRPr="00E3421F" w:rsidRDefault="009166F3"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lang w:val="fr-CH"/>
        </w:rPr>
      </w:pPr>
      <w:r>
        <w:rPr>
          <w:lang w:val="fr-CH"/>
        </w:rPr>
        <w:t>Dans</w:t>
      </w:r>
      <w:r w:rsidR="00E3421F" w:rsidRPr="00E3421F">
        <w:rPr>
          <w:lang w:val="fr-CH"/>
        </w:rPr>
        <w:t xml:space="preserve"> la section</w:t>
      </w:r>
      <w:r w:rsidR="0075194B">
        <w:rPr>
          <w:lang w:val="fr-CH"/>
        </w:rPr>
        <w:t> </w:t>
      </w:r>
      <w:r w:rsidR="00E3421F" w:rsidRPr="00E3421F">
        <w:rPr>
          <w:lang w:val="fr-CH"/>
        </w:rPr>
        <w:t xml:space="preserve">D, une note a </w:t>
      </w:r>
      <w:r>
        <w:rPr>
          <w:lang w:val="fr-CH"/>
        </w:rPr>
        <w:t>été ajoutée</w:t>
      </w:r>
      <w:r w:rsidR="00E3421F" w:rsidRPr="00E3421F">
        <w:rPr>
          <w:lang w:val="fr-CH"/>
        </w:rPr>
        <w:t xml:space="preserve"> chaque fois qu’une option a été renforcée ou ajout</w:t>
      </w:r>
      <w:r w:rsidR="00977975">
        <w:rPr>
          <w:lang w:val="fr-CH"/>
        </w:rPr>
        <w:t>ée à la version initiale</w:t>
      </w:r>
      <w:r w:rsidR="00E3421F" w:rsidRPr="00E3421F">
        <w:rPr>
          <w:lang w:val="fr-CH"/>
        </w:rPr>
        <w:t xml:space="preserve"> du rapport du Directeur exécutif. </w:t>
      </w:r>
    </w:p>
    <w:p w14:paraId="12E900FF" w14:textId="6EFFF55F" w:rsidR="0041238C" w:rsidRPr="0075194B" w:rsidRDefault="0041238C" w:rsidP="0041238C">
      <w:pPr>
        <w:pStyle w:val="CH2"/>
        <w:rPr>
          <w:rFonts w:eastAsia="MS Mincho"/>
          <w:lang w:val="fr-FR"/>
        </w:rPr>
      </w:pPr>
      <w:r w:rsidRPr="00036458">
        <w:rPr>
          <w:rFonts w:eastAsia="MS Mincho"/>
          <w:lang w:val="fr-CH"/>
        </w:rPr>
        <w:tab/>
      </w:r>
      <w:r w:rsidRPr="007E304A">
        <w:rPr>
          <w:rFonts w:eastAsia="MS Mincho"/>
        </w:rPr>
        <w:t>B.</w:t>
      </w:r>
      <w:r w:rsidRPr="007E304A">
        <w:rPr>
          <w:rFonts w:eastAsia="MS Mincho"/>
        </w:rPr>
        <w:tab/>
      </w:r>
      <w:r w:rsidR="0089324F" w:rsidRPr="0075194B">
        <w:rPr>
          <w:rFonts w:eastAsia="MS Mincho"/>
          <w:lang w:val="fr-FR"/>
        </w:rPr>
        <w:t>Fo</w:t>
      </w:r>
      <w:r w:rsidRPr="0075194B">
        <w:rPr>
          <w:rFonts w:eastAsia="MS Mincho"/>
          <w:lang w:val="fr-FR"/>
        </w:rPr>
        <w:t xml:space="preserve">nctions </w:t>
      </w:r>
      <w:r w:rsidR="0089324F" w:rsidRPr="0075194B">
        <w:rPr>
          <w:rFonts w:eastAsia="MS Mincho"/>
          <w:lang w:val="fr-FR"/>
        </w:rPr>
        <w:t>du secré</w:t>
      </w:r>
      <w:r w:rsidRPr="0075194B">
        <w:rPr>
          <w:rFonts w:eastAsia="MS Mincho"/>
          <w:lang w:val="fr-FR"/>
        </w:rPr>
        <w:t>tariat</w:t>
      </w:r>
    </w:p>
    <w:p w14:paraId="0FD7DF54" w14:textId="7766D545" w:rsidR="0041238C" w:rsidRPr="007A65F8" w:rsidRDefault="00501A96"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lang w:val="fr-CH"/>
        </w:rPr>
        <w:t>Comme défini</w:t>
      </w:r>
      <w:r w:rsidR="007A65F8" w:rsidRPr="007A65F8">
        <w:rPr>
          <w:lang w:val="fr-CH"/>
        </w:rPr>
        <w:t xml:space="preserve"> à l’</w:t>
      </w:r>
      <w:r w:rsidR="0075194B">
        <w:rPr>
          <w:rFonts w:eastAsia="MS Mincho"/>
          <w:lang w:val="fr-CH"/>
        </w:rPr>
        <w:t>article </w:t>
      </w:r>
      <w:r w:rsidR="0041238C" w:rsidRPr="007A65F8">
        <w:rPr>
          <w:rFonts w:eastAsia="MS Mincho"/>
          <w:lang w:val="fr-CH"/>
        </w:rPr>
        <w:t xml:space="preserve">24 </w:t>
      </w:r>
      <w:r w:rsidR="007A65F8" w:rsidRPr="007A65F8">
        <w:rPr>
          <w:rFonts w:eastAsia="MS Mincho"/>
          <w:lang w:val="fr-CH"/>
        </w:rPr>
        <w:t xml:space="preserve">du texte de la </w:t>
      </w:r>
      <w:r w:rsidR="007A65F8">
        <w:rPr>
          <w:rFonts w:eastAsia="MS Mincho"/>
          <w:lang w:val="fr-CH"/>
        </w:rPr>
        <w:t>Convention</w:t>
      </w:r>
      <w:r w:rsidR="0041238C" w:rsidRPr="007A65F8">
        <w:rPr>
          <w:rFonts w:eastAsia="MS Mincho"/>
          <w:lang w:val="fr-CH"/>
        </w:rPr>
        <w:t xml:space="preserve">, </w:t>
      </w:r>
      <w:r w:rsidR="007A65F8" w:rsidRPr="007A65F8">
        <w:rPr>
          <w:rFonts w:eastAsia="MS Mincho"/>
          <w:lang w:val="fr-CH"/>
        </w:rPr>
        <w:t xml:space="preserve">les fonctions du </w:t>
      </w:r>
      <w:r w:rsidR="007A65F8">
        <w:rPr>
          <w:rFonts w:eastAsia="MS Mincho"/>
          <w:lang w:val="fr-CH"/>
        </w:rPr>
        <w:t>secré</w:t>
      </w:r>
      <w:r w:rsidR="007A65F8" w:rsidRPr="007A65F8">
        <w:rPr>
          <w:rFonts w:eastAsia="MS Mincho"/>
          <w:lang w:val="fr-CH"/>
        </w:rPr>
        <w:t>tariat de la Convention de Minamata sont les suivantes </w:t>
      </w:r>
      <w:r w:rsidR="0041238C" w:rsidRPr="007A65F8">
        <w:rPr>
          <w:rFonts w:eastAsia="MS Mincho"/>
          <w:lang w:val="fr-CH"/>
        </w:rPr>
        <w:t>:</w:t>
      </w:r>
    </w:p>
    <w:p w14:paraId="1028599C" w14:textId="4603759E" w:rsidR="00C844B2" w:rsidRPr="00C844B2" w:rsidRDefault="00C844B2" w:rsidP="006432A8">
      <w:pPr>
        <w:pStyle w:val="Normalnumber"/>
        <w:numPr>
          <w:ilvl w:val="1"/>
          <w:numId w:val="74"/>
        </w:numPr>
        <w:ind w:left="1247" w:firstLine="624"/>
        <w:rPr>
          <w:rFonts w:eastAsia="MS Mincho"/>
          <w:lang w:val="fr-CH"/>
        </w:rPr>
      </w:pPr>
      <w:r>
        <w:rPr>
          <w:rFonts w:eastAsia="MS Mincho"/>
          <w:lang w:val="fr-FR"/>
        </w:rPr>
        <w:t>Organiser les réunions de la Conférence des Parties et de ses organes subsidiaires et leur fournir les services requis;</w:t>
      </w:r>
    </w:p>
    <w:p w14:paraId="6276FB4F" w14:textId="4D5EA7B7" w:rsidR="00C844B2" w:rsidRPr="00C844B2" w:rsidRDefault="00C844B2" w:rsidP="006432A8">
      <w:pPr>
        <w:pStyle w:val="Normalnumber"/>
        <w:numPr>
          <w:ilvl w:val="1"/>
          <w:numId w:val="74"/>
        </w:numPr>
        <w:ind w:left="1247" w:firstLine="624"/>
        <w:rPr>
          <w:rFonts w:eastAsia="MS Mincho"/>
          <w:lang w:val="fr-CH"/>
        </w:rPr>
      </w:pPr>
      <w:r>
        <w:rPr>
          <w:rFonts w:eastAsia="MS Mincho"/>
          <w:lang w:val="fr-FR"/>
        </w:rPr>
        <w:t>Faciliter l’octroi, sur demande, d’une assistance aux Parties, en particulier aux Parties qui sont des pays en développement ou à économie en transition aux fins de la mise en œuvre de la Convention;</w:t>
      </w:r>
    </w:p>
    <w:p w14:paraId="784E1886" w14:textId="2C779561" w:rsidR="00C844B2" w:rsidRPr="00C844B2" w:rsidRDefault="00C844B2" w:rsidP="006432A8">
      <w:pPr>
        <w:pStyle w:val="Normalnumber"/>
        <w:numPr>
          <w:ilvl w:val="1"/>
          <w:numId w:val="74"/>
        </w:numPr>
        <w:ind w:left="1247" w:firstLine="624"/>
        <w:rPr>
          <w:rFonts w:eastAsia="MS Mincho"/>
          <w:lang w:val="fr-CH"/>
        </w:rPr>
      </w:pPr>
      <w:r>
        <w:rPr>
          <w:rFonts w:eastAsia="MS Mincho"/>
          <w:lang w:val="fr-FR"/>
        </w:rPr>
        <w:t>Assurer la coordination, si besoin est, avec les secrétariats d’organismes internationaux compétents, en particulier avec ceux d’autres conventions sur les produits chimiques et les déchets;</w:t>
      </w:r>
    </w:p>
    <w:p w14:paraId="5001324C" w14:textId="70EA6A4D" w:rsidR="00BF093B" w:rsidRPr="00BF093B" w:rsidRDefault="00BF093B" w:rsidP="006432A8">
      <w:pPr>
        <w:pStyle w:val="Normalnumber"/>
        <w:numPr>
          <w:ilvl w:val="1"/>
          <w:numId w:val="74"/>
        </w:numPr>
        <w:ind w:left="1247" w:firstLine="624"/>
        <w:rPr>
          <w:rFonts w:eastAsia="MS Mincho"/>
          <w:lang w:val="fr-CH"/>
        </w:rPr>
      </w:pPr>
      <w:r>
        <w:rPr>
          <w:rFonts w:eastAsia="MS Mincho"/>
          <w:lang w:val="fr-FR"/>
        </w:rPr>
        <w:t>Soutenir les Parties dans le cadre de l’échange d’informations concernant la mise en œuvre de la Convention;</w:t>
      </w:r>
    </w:p>
    <w:p w14:paraId="106A91EC" w14:textId="7D7851DD" w:rsidR="00964573" w:rsidRPr="00814CC9" w:rsidRDefault="00964573" w:rsidP="006432A8">
      <w:pPr>
        <w:pStyle w:val="Normalnumber"/>
        <w:numPr>
          <w:ilvl w:val="1"/>
          <w:numId w:val="74"/>
        </w:numPr>
        <w:ind w:left="1247" w:firstLine="624"/>
        <w:rPr>
          <w:rFonts w:eastAsia="MS Mincho"/>
          <w:lang w:val="fr-CH"/>
        </w:rPr>
      </w:pPr>
      <w:r>
        <w:rPr>
          <w:rFonts w:eastAsia="MS Mincho"/>
          <w:lang w:val="fr-FR"/>
        </w:rPr>
        <w:t>Établir et mettre à la disposition des Parties des rapports périodiques fondés sur les informations reçues en v</w:t>
      </w:r>
      <w:r w:rsidR="0075194B">
        <w:rPr>
          <w:rFonts w:eastAsia="MS Mincho"/>
          <w:lang w:val="fr-FR"/>
        </w:rPr>
        <w:t>ertu des articles </w:t>
      </w:r>
      <w:r>
        <w:rPr>
          <w:rFonts w:eastAsia="MS Mincho"/>
          <w:lang w:val="fr-FR"/>
        </w:rPr>
        <w:t>15 et 21 ainsi que d’autres informations disponibles;</w:t>
      </w:r>
    </w:p>
    <w:p w14:paraId="13FBD4AC" w14:textId="694DDF9F" w:rsidR="00814CC9" w:rsidRPr="00814CC9" w:rsidRDefault="00814CC9" w:rsidP="00814CC9">
      <w:pPr>
        <w:pStyle w:val="Normalnumber"/>
        <w:numPr>
          <w:ilvl w:val="1"/>
          <w:numId w:val="74"/>
        </w:numPr>
        <w:ind w:left="1247" w:firstLine="624"/>
        <w:rPr>
          <w:rFonts w:eastAsia="MS Mincho"/>
          <w:lang w:val="fr-CH"/>
        </w:rPr>
      </w:pPr>
      <w:r w:rsidRPr="00814CC9">
        <w:rPr>
          <w:rFonts w:eastAsia="MS Mincho"/>
          <w:lang w:val="fr-FR"/>
        </w:rPr>
        <w:t>Conclure, sous la supervision générale de la Conférence des Parties, les arrangements administratifs et contractuels qui pourraient lui être nécessaires pour s’acquitter e</w:t>
      </w:r>
      <w:r>
        <w:rPr>
          <w:rFonts w:eastAsia="MS Mincho"/>
          <w:lang w:val="fr-FR"/>
        </w:rPr>
        <w:t>fficacement de ses fonctions;</w:t>
      </w:r>
    </w:p>
    <w:p w14:paraId="65E4E8A5" w14:textId="74E62F51" w:rsidR="0089324F" w:rsidRPr="0021116C" w:rsidRDefault="0089324F" w:rsidP="0021116C">
      <w:pPr>
        <w:pStyle w:val="Normalnumber"/>
        <w:numPr>
          <w:ilvl w:val="1"/>
          <w:numId w:val="74"/>
        </w:numPr>
        <w:ind w:left="1247" w:firstLine="624"/>
        <w:rPr>
          <w:kern w:val="1"/>
          <w:lang w:val="fr-CH"/>
        </w:rPr>
      </w:pPr>
      <w:r w:rsidRPr="00814CC9">
        <w:rPr>
          <w:rFonts w:eastAsia="MS Mincho"/>
          <w:lang w:val="fr-FR"/>
        </w:rPr>
        <w:t>S’acquitter des autres fonctions de secrétariat spécifiées dans la Convention et de toutes fonctions supplémentaires qui pourraient lui être confiées par la Conférence des Parties.</w:t>
      </w:r>
    </w:p>
    <w:p w14:paraId="07AFF536" w14:textId="3393A75B" w:rsidR="00E811DD" w:rsidRPr="00E811DD" w:rsidRDefault="00E811DD"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E811DD">
        <w:rPr>
          <w:rFonts w:eastAsia="MS Mincho"/>
          <w:lang w:val="fr-CH"/>
        </w:rPr>
        <w:t>En examinant de quelle manière</w:t>
      </w:r>
      <w:r w:rsidR="00457EAC">
        <w:rPr>
          <w:rFonts w:eastAsia="MS Mincho"/>
          <w:lang w:val="fr-CH"/>
        </w:rPr>
        <w:t xml:space="preserve"> le Directeur exécutif du PNUE doit exercer</w:t>
      </w:r>
      <w:r w:rsidRPr="00E811DD">
        <w:rPr>
          <w:rFonts w:eastAsia="MS Mincho"/>
          <w:lang w:val="fr-CH"/>
        </w:rPr>
        <w:t xml:space="preserve"> les fonctions du </w:t>
      </w:r>
      <w:r>
        <w:rPr>
          <w:rFonts w:eastAsia="MS Mincho"/>
          <w:lang w:val="fr-CH"/>
        </w:rPr>
        <w:t>secré</w:t>
      </w:r>
      <w:r w:rsidRPr="00E811DD">
        <w:rPr>
          <w:rFonts w:eastAsia="MS Mincho"/>
          <w:lang w:val="fr-CH"/>
        </w:rPr>
        <w:t>tariat permanent</w:t>
      </w:r>
      <w:r w:rsidR="0040169D">
        <w:rPr>
          <w:rFonts w:eastAsia="MS Mincho"/>
          <w:lang w:val="fr-CH"/>
        </w:rPr>
        <w:t xml:space="preserve">, les </w:t>
      </w:r>
      <w:r w:rsidR="00397B3B">
        <w:rPr>
          <w:rFonts w:eastAsia="MS Mincho"/>
          <w:lang w:val="fr-CH"/>
        </w:rPr>
        <w:t>tâche</w:t>
      </w:r>
      <w:r w:rsidR="00471BBA">
        <w:rPr>
          <w:rFonts w:eastAsia="MS Mincho"/>
          <w:lang w:val="fr-CH"/>
        </w:rPr>
        <w:t>s</w:t>
      </w:r>
      <w:r w:rsidR="00FF150E">
        <w:rPr>
          <w:rFonts w:eastAsia="MS Mincho"/>
          <w:lang w:val="fr-CH"/>
        </w:rPr>
        <w:t xml:space="preserve"> prévues et</w:t>
      </w:r>
      <w:r w:rsidR="00397B3B">
        <w:rPr>
          <w:rFonts w:eastAsia="MS Mincho"/>
          <w:lang w:val="fr-CH"/>
        </w:rPr>
        <w:t xml:space="preserve"> requises </w:t>
      </w:r>
      <w:r w:rsidR="0040169D">
        <w:rPr>
          <w:rFonts w:eastAsia="MS Mincho"/>
          <w:lang w:val="fr-CH"/>
        </w:rPr>
        <w:t xml:space="preserve">du secrétariat de la Convention sont utilisées comme </w:t>
      </w:r>
      <w:r w:rsidR="00DA0EA8">
        <w:rPr>
          <w:rFonts w:eastAsia="MS Mincho"/>
          <w:lang w:val="fr-CH"/>
        </w:rPr>
        <w:t>point de départ</w:t>
      </w:r>
      <w:r w:rsidR="0040169D">
        <w:rPr>
          <w:rFonts w:eastAsia="MS Mincho"/>
          <w:lang w:val="fr-CH"/>
        </w:rPr>
        <w:t xml:space="preserve">. </w:t>
      </w:r>
      <w:r w:rsidR="004C3C6A">
        <w:rPr>
          <w:rFonts w:eastAsia="MS Mincho"/>
          <w:lang w:val="fr-CH"/>
        </w:rPr>
        <w:t>Une description de ces</w:t>
      </w:r>
      <w:r w:rsidR="00406514">
        <w:rPr>
          <w:rFonts w:eastAsia="MS Mincho"/>
          <w:lang w:val="fr-CH"/>
        </w:rPr>
        <w:t xml:space="preserve"> </w:t>
      </w:r>
      <w:r w:rsidR="00397B3B">
        <w:rPr>
          <w:rFonts w:eastAsia="MS Mincho"/>
          <w:lang w:val="fr-CH"/>
        </w:rPr>
        <w:t>tâche</w:t>
      </w:r>
      <w:r w:rsidR="004C3C6A">
        <w:rPr>
          <w:rFonts w:eastAsia="MS Mincho"/>
          <w:lang w:val="fr-CH"/>
        </w:rPr>
        <w:t>s se trouve à l’</w:t>
      </w:r>
      <w:r w:rsidR="00406514">
        <w:rPr>
          <w:rFonts w:eastAsia="MS Mincho"/>
          <w:lang w:val="fr-CH"/>
        </w:rPr>
        <w:t>a</w:t>
      </w:r>
      <w:r w:rsidR="003E2BCD">
        <w:rPr>
          <w:rFonts w:eastAsia="MS Mincho"/>
          <w:lang w:val="fr-CH"/>
        </w:rPr>
        <w:t>ppendic</w:t>
      </w:r>
      <w:r w:rsidR="00406514">
        <w:rPr>
          <w:rFonts w:eastAsia="MS Mincho"/>
          <w:lang w:val="fr-CH"/>
        </w:rPr>
        <w:t xml:space="preserve">e I de la présente note. De plus, </w:t>
      </w:r>
      <w:r w:rsidR="003E2BCD">
        <w:rPr>
          <w:rFonts w:eastAsia="MS Mincho"/>
          <w:lang w:val="fr-CH"/>
        </w:rPr>
        <w:t>il a été tenu compte du</w:t>
      </w:r>
      <w:r w:rsidR="00FF150E">
        <w:rPr>
          <w:rFonts w:eastAsia="MS Mincho"/>
          <w:lang w:val="fr-CH"/>
        </w:rPr>
        <w:t xml:space="preserve"> </w:t>
      </w:r>
      <w:r w:rsidR="00A00116">
        <w:rPr>
          <w:rFonts w:eastAsia="MS Mincho"/>
          <w:lang w:val="fr-CH"/>
        </w:rPr>
        <w:t>soutien que le secré</w:t>
      </w:r>
      <w:r w:rsidR="00501A96">
        <w:rPr>
          <w:rFonts w:eastAsia="MS Mincho"/>
          <w:lang w:val="fr-CH"/>
        </w:rPr>
        <w:t>tariat provisoire a apporté au C</w:t>
      </w:r>
      <w:r w:rsidR="00A00116">
        <w:rPr>
          <w:rFonts w:eastAsia="MS Mincho"/>
          <w:lang w:val="fr-CH"/>
        </w:rPr>
        <w:t xml:space="preserve">omité </w:t>
      </w:r>
      <w:r w:rsidR="003D7A7D">
        <w:rPr>
          <w:rFonts w:eastAsia="MS Mincho"/>
          <w:lang w:val="fr-CH"/>
        </w:rPr>
        <w:t xml:space="preserve">de négociation </w:t>
      </w:r>
      <w:r w:rsidR="00A00116">
        <w:rPr>
          <w:rFonts w:eastAsia="MS Mincho"/>
          <w:lang w:val="fr-CH"/>
        </w:rPr>
        <w:t>intergouvernemental</w:t>
      </w:r>
      <w:r w:rsidR="00A00116" w:rsidRPr="007E304A">
        <w:rPr>
          <w:rStyle w:val="FootnoteReference"/>
        </w:rPr>
        <w:footnoteReference w:id="5"/>
      </w:r>
      <w:r w:rsidR="006341EF">
        <w:rPr>
          <w:rFonts w:eastAsia="MS Mincho"/>
          <w:lang w:val="fr-CH"/>
        </w:rPr>
        <w:t>, ainsi que</w:t>
      </w:r>
      <w:r w:rsidR="003E2BCD">
        <w:rPr>
          <w:rFonts w:eastAsia="MS Mincho"/>
          <w:lang w:val="fr-CH"/>
        </w:rPr>
        <w:t xml:space="preserve"> d</w:t>
      </w:r>
      <w:r w:rsidR="006341EF">
        <w:rPr>
          <w:rFonts w:eastAsia="MS Mincho"/>
          <w:lang w:val="fr-CH"/>
        </w:rPr>
        <w:t xml:space="preserve">es expériences de synergies des conventions de Bâle, </w:t>
      </w:r>
      <w:r w:rsidR="003E2BCD">
        <w:rPr>
          <w:rFonts w:eastAsia="MS Mincho"/>
          <w:lang w:val="fr-CH"/>
        </w:rPr>
        <w:t xml:space="preserve">de </w:t>
      </w:r>
      <w:r w:rsidR="006341EF">
        <w:rPr>
          <w:rFonts w:eastAsia="MS Mincho"/>
          <w:lang w:val="fr-CH"/>
        </w:rPr>
        <w:t xml:space="preserve">Rotterdam et </w:t>
      </w:r>
      <w:r w:rsidR="003E2BCD">
        <w:rPr>
          <w:rFonts w:eastAsia="MS Mincho"/>
          <w:lang w:val="fr-CH"/>
        </w:rPr>
        <w:t xml:space="preserve">de </w:t>
      </w:r>
      <w:r w:rsidR="006341EF">
        <w:rPr>
          <w:rFonts w:eastAsia="MS Mincho"/>
          <w:lang w:val="fr-CH"/>
        </w:rPr>
        <w:t>Stockholm.</w:t>
      </w:r>
      <w:r w:rsidR="00397B3B">
        <w:rPr>
          <w:rFonts w:eastAsia="MS Mincho"/>
          <w:lang w:val="fr-CH"/>
        </w:rPr>
        <w:t xml:space="preserve"> Pour ces conventions, depuis 2012, </w:t>
      </w:r>
      <w:r w:rsidR="00365D13">
        <w:rPr>
          <w:rFonts w:eastAsia="MS Mincho"/>
          <w:lang w:val="fr-CH"/>
        </w:rPr>
        <w:t xml:space="preserve">les fonctions respectives des secrétariats sont réunies sous </w:t>
      </w:r>
      <w:r w:rsidR="00F4748C">
        <w:rPr>
          <w:rFonts w:eastAsia="MS Mincho"/>
          <w:lang w:val="fr-CH"/>
        </w:rPr>
        <w:t>l’autorité</w:t>
      </w:r>
      <w:r w:rsidR="00374680">
        <w:rPr>
          <w:rFonts w:eastAsia="MS Mincho"/>
          <w:lang w:val="fr-CH"/>
        </w:rPr>
        <w:t xml:space="preserve"> d’un S</w:t>
      </w:r>
      <w:r w:rsidR="00FE6308">
        <w:rPr>
          <w:rFonts w:eastAsia="MS Mincho"/>
          <w:lang w:val="fr-CH"/>
        </w:rPr>
        <w:t xml:space="preserve">ecrétaire exécutif, un seul secrétariat servant ainsi les trois conventions </w:t>
      </w:r>
      <w:r w:rsidR="003F5CB9">
        <w:rPr>
          <w:rFonts w:eastAsia="MS Mincho"/>
          <w:lang w:val="fr-CH"/>
        </w:rPr>
        <w:t>qui</w:t>
      </w:r>
      <w:r w:rsidR="00FE6308">
        <w:rPr>
          <w:rFonts w:eastAsia="MS Mincho"/>
          <w:lang w:val="fr-CH"/>
        </w:rPr>
        <w:t xml:space="preserve"> </w:t>
      </w:r>
      <w:r w:rsidR="003F5CB9">
        <w:rPr>
          <w:rFonts w:eastAsia="MS Mincho"/>
          <w:lang w:val="fr-CH"/>
        </w:rPr>
        <w:t>conserve</w:t>
      </w:r>
      <w:r w:rsidR="00D87CB0">
        <w:rPr>
          <w:rFonts w:eastAsia="MS Mincho"/>
          <w:lang w:val="fr-CH"/>
        </w:rPr>
        <w:t>nt</w:t>
      </w:r>
      <w:r w:rsidR="003F5CB9">
        <w:rPr>
          <w:rFonts w:eastAsia="MS Mincho"/>
          <w:lang w:val="fr-CH"/>
        </w:rPr>
        <w:t xml:space="preserve"> cependant leur </w:t>
      </w:r>
      <w:r w:rsidR="00FE6308">
        <w:rPr>
          <w:rFonts w:eastAsia="MS Mincho"/>
          <w:lang w:val="fr-CH"/>
        </w:rPr>
        <w:t xml:space="preserve">nature juridique autonome. </w:t>
      </w:r>
    </w:p>
    <w:p w14:paraId="2B7E4294" w14:textId="6F7899FC" w:rsidR="001C3128" w:rsidRPr="001C3128" w:rsidRDefault="0041238C" w:rsidP="0041238C">
      <w:pPr>
        <w:pStyle w:val="CH2"/>
        <w:rPr>
          <w:rFonts w:eastAsia="MS Mincho"/>
          <w:lang w:val="fr-CH"/>
        </w:rPr>
      </w:pPr>
      <w:r w:rsidRPr="00D87CB0">
        <w:rPr>
          <w:rFonts w:eastAsia="MS Mincho"/>
          <w:lang w:val="fr-CH"/>
        </w:rPr>
        <w:lastRenderedPageBreak/>
        <w:tab/>
      </w:r>
      <w:r w:rsidR="001C3128" w:rsidRPr="001C3128">
        <w:rPr>
          <w:rFonts w:eastAsia="MS Mincho"/>
          <w:lang w:val="fr-CH"/>
        </w:rPr>
        <w:t>C.</w:t>
      </w:r>
      <w:r w:rsidR="001C3128" w:rsidRPr="001C3128">
        <w:rPr>
          <w:rFonts w:eastAsia="MS Mincho"/>
          <w:lang w:val="fr-CH"/>
        </w:rPr>
        <w:tab/>
        <w:t>Facteu</w:t>
      </w:r>
      <w:r w:rsidRPr="001C3128">
        <w:rPr>
          <w:rFonts w:eastAsia="MS Mincho"/>
          <w:lang w:val="fr-CH"/>
        </w:rPr>
        <w:t xml:space="preserve">rs </w:t>
      </w:r>
      <w:r w:rsidR="001C3128" w:rsidRPr="001C3128">
        <w:rPr>
          <w:rFonts w:eastAsia="MS Mincho"/>
          <w:lang w:val="fr-CH"/>
        </w:rPr>
        <w:t xml:space="preserve">à prendre en </w:t>
      </w:r>
      <w:r w:rsidR="001C3128">
        <w:rPr>
          <w:rFonts w:eastAsia="MS Mincho"/>
          <w:lang w:val="fr-CH"/>
        </w:rPr>
        <w:t>considé</w:t>
      </w:r>
      <w:r w:rsidR="001C3128" w:rsidRPr="001C3128">
        <w:rPr>
          <w:rFonts w:eastAsia="MS Mincho"/>
          <w:lang w:val="fr-CH"/>
        </w:rPr>
        <w:t xml:space="preserve">ration </w:t>
      </w:r>
      <w:r w:rsidR="00206E10">
        <w:rPr>
          <w:rFonts w:eastAsia="MS Mincho"/>
          <w:lang w:val="fr-CH"/>
        </w:rPr>
        <w:t>dans l’analyse des</w:t>
      </w:r>
      <w:r w:rsidR="001C3128" w:rsidRPr="001C3128">
        <w:rPr>
          <w:rFonts w:eastAsia="MS Mincho"/>
          <w:lang w:val="fr-CH"/>
        </w:rPr>
        <w:t xml:space="preserve"> options </w:t>
      </w:r>
      <w:r w:rsidR="0075194B">
        <w:rPr>
          <w:rFonts w:eastAsia="MS Mincho"/>
          <w:lang w:val="fr-CH"/>
        </w:rPr>
        <w:br/>
      </w:r>
      <w:r w:rsidR="00206E10">
        <w:rPr>
          <w:rFonts w:eastAsia="MS Mincho"/>
          <w:lang w:val="fr-CH"/>
        </w:rPr>
        <w:t xml:space="preserve">relatives à la manière dont les fonctions du secrétariat permanent </w:t>
      </w:r>
      <w:r w:rsidR="0075194B">
        <w:rPr>
          <w:rFonts w:eastAsia="MS Mincho"/>
          <w:lang w:val="fr-CH"/>
        </w:rPr>
        <w:br/>
      </w:r>
      <w:r w:rsidR="00206E10">
        <w:rPr>
          <w:rFonts w:eastAsia="MS Mincho"/>
          <w:lang w:val="fr-CH"/>
        </w:rPr>
        <w:t xml:space="preserve">de la Convention de Minamata </w:t>
      </w:r>
      <w:r w:rsidR="00D21311">
        <w:rPr>
          <w:rFonts w:eastAsia="MS Mincho"/>
          <w:lang w:val="fr-CH"/>
        </w:rPr>
        <w:t>doivent être</w:t>
      </w:r>
      <w:r w:rsidR="00206E10">
        <w:rPr>
          <w:rFonts w:eastAsia="MS Mincho"/>
          <w:lang w:val="fr-CH"/>
        </w:rPr>
        <w:t xml:space="preserve"> exercées</w:t>
      </w:r>
    </w:p>
    <w:p w14:paraId="62C4C383" w14:textId="77EF464B" w:rsidR="00D21311" w:rsidRPr="00A7617F" w:rsidRDefault="00D21311"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D21311">
        <w:rPr>
          <w:rFonts w:eastAsia="MS Mincho"/>
          <w:lang w:val="fr-CH"/>
        </w:rPr>
        <w:t xml:space="preserve">Au paragraphe 9 de sa </w:t>
      </w:r>
      <w:r w:rsidR="004C509C">
        <w:rPr>
          <w:rFonts w:eastAsia="MS Mincho"/>
          <w:lang w:val="fr-CH"/>
        </w:rPr>
        <w:t>ré</w:t>
      </w:r>
      <w:r w:rsidRPr="00D21311">
        <w:rPr>
          <w:rFonts w:eastAsia="MS Mincho"/>
          <w:lang w:val="fr-CH"/>
        </w:rPr>
        <w:t xml:space="preserve">solution </w:t>
      </w:r>
      <w:r w:rsidR="004C509C">
        <w:rPr>
          <w:rFonts w:eastAsia="MS Mincho"/>
          <w:lang w:val="fr-CH"/>
        </w:rPr>
        <w:t>sur les dispositions financières pour</w:t>
      </w:r>
      <w:r w:rsidRPr="00D21311">
        <w:rPr>
          <w:rFonts w:eastAsia="MS Mincho"/>
          <w:lang w:val="fr-CH"/>
        </w:rPr>
        <w:t xml:space="preserve"> la période </w:t>
      </w:r>
      <w:r w:rsidR="00F05485">
        <w:rPr>
          <w:rFonts w:eastAsia="MS Mincho"/>
          <w:lang w:val="fr-CH"/>
        </w:rPr>
        <w:t xml:space="preserve">intérimaire, la </w:t>
      </w:r>
      <w:r w:rsidR="00F05485" w:rsidRPr="00A7617F">
        <w:rPr>
          <w:rFonts w:eastAsia="MS Mincho"/>
          <w:lang w:val="fr-CH"/>
        </w:rPr>
        <w:t xml:space="preserve">Conférence de plénipotentiaires </w:t>
      </w:r>
      <w:r w:rsidR="009F6C2D">
        <w:rPr>
          <w:rFonts w:eastAsia="MS Mincho"/>
          <w:lang w:val="fr-CH"/>
        </w:rPr>
        <w:t>relative à</w:t>
      </w:r>
      <w:r w:rsidR="00F05485" w:rsidRPr="00A7617F">
        <w:rPr>
          <w:rFonts w:eastAsia="MS Mincho"/>
          <w:lang w:val="fr-CH"/>
        </w:rPr>
        <w:t xml:space="preserve"> la Convention de Minamata a demandé au Directeu</w:t>
      </w:r>
      <w:r w:rsidR="009F6C2D">
        <w:rPr>
          <w:rFonts w:eastAsia="MS Mincho"/>
          <w:lang w:val="fr-CH"/>
        </w:rPr>
        <w:t>r exécutif de présenter, et au C</w:t>
      </w:r>
      <w:r w:rsidR="00F05485" w:rsidRPr="00A7617F">
        <w:rPr>
          <w:rFonts w:eastAsia="MS Mincho"/>
          <w:lang w:val="fr-CH"/>
        </w:rPr>
        <w:t>omité de négoc</w:t>
      </w:r>
      <w:r w:rsidR="00DA0589" w:rsidRPr="00A7617F">
        <w:rPr>
          <w:rFonts w:eastAsia="MS Mincho"/>
          <w:lang w:val="fr-CH"/>
        </w:rPr>
        <w:t>i</w:t>
      </w:r>
      <w:r w:rsidR="00F05485" w:rsidRPr="00A7617F">
        <w:rPr>
          <w:rFonts w:eastAsia="MS Mincho"/>
          <w:lang w:val="fr-CH"/>
        </w:rPr>
        <w:t xml:space="preserve">ation intergouvernemental </w:t>
      </w:r>
      <w:r w:rsidR="00DA0589" w:rsidRPr="00A7617F">
        <w:rPr>
          <w:rFonts w:eastAsia="MS Mincho"/>
          <w:lang w:val="fr-CH"/>
        </w:rPr>
        <w:t xml:space="preserve">d’examiner, un rapport sur les propositions concernant la manière dont les fonctions du secrétariat seraient accomplies, y compris une analyse des options se penchant sur les facteurs suivants : </w:t>
      </w:r>
    </w:p>
    <w:p w14:paraId="0584E948" w14:textId="352C88FF" w:rsidR="0041238C" w:rsidRPr="00A7617F" w:rsidRDefault="00FD3EB7"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lang w:val="fr-CH"/>
        </w:rPr>
      </w:pPr>
      <w:r w:rsidRPr="00A7617F">
        <w:rPr>
          <w:rFonts w:eastAsia="MS Mincho"/>
          <w:lang w:val="fr-CH"/>
        </w:rPr>
        <w:t>Efficacité</w:t>
      </w:r>
      <w:r w:rsidR="0041238C" w:rsidRPr="00A7617F">
        <w:rPr>
          <w:rFonts w:eastAsia="MS Mincho"/>
          <w:lang w:val="fr-CH"/>
        </w:rPr>
        <w:t xml:space="preserve">; </w:t>
      </w:r>
    </w:p>
    <w:p w14:paraId="56F62075" w14:textId="087D7B4F" w:rsidR="0041238C" w:rsidRPr="00A7617F" w:rsidRDefault="00FD3EB7"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lang w:val="fr-CH"/>
        </w:rPr>
      </w:pPr>
      <w:r w:rsidRPr="00A7617F">
        <w:rPr>
          <w:rFonts w:eastAsia="MS Mincho"/>
          <w:lang w:val="fr-CH"/>
        </w:rPr>
        <w:t>Coûts-avantages</w:t>
      </w:r>
      <w:r w:rsidR="0041238C" w:rsidRPr="00A7617F">
        <w:rPr>
          <w:rFonts w:eastAsia="MS Mincho"/>
          <w:lang w:val="fr-CH"/>
        </w:rPr>
        <w:t>;</w:t>
      </w:r>
    </w:p>
    <w:p w14:paraId="3B481646" w14:textId="2E022E2A" w:rsidR="0041238C" w:rsidRPr="00A7617F" w:rsidRDefault="009F2B58"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lang w:val="fr-CH"/>
        </w:rPr>
      </w:pPr>
      <w:r w:rsidRPr="00A7617F">
        <w:rPr>
          <w:rFonts w:eastAsia="MS Mincho"/>
          <w:lang w:val="fr-CH"/>
        </w:rPr>
        <w:t>Différ</w:t>
      </w:r>
      <w:r w:rsidR="0041238C" w:rsidRPr="00A7617F">
        <w:rPr>
          <w:rFonts w:eastAsia="MS Mincho"/>
          <w:lang w:val="fr-CH"/>
        </w:rPr>
        <w:t>ent</w:t>
      </w:r>
      <w:r w:rsidR="009F6C2D">
        <w:rPr>
          <w:rFonts w:eastAsia="MS Mincho"/>
          <w:lang w:val="fr-CH"/>
        </w:rPr>
        <w:t>s lieux d’implantation du s</w:t>
      </w:r>
      <w:r w:rsidR="00FD3EB7" w:rsidRPr="00A7617F">
        <w:rPr>
          <w:rFonts w:eastAsia="MS Mincho"/>
          <w:lang w:val="fr-CH"/>
        </w:rPr>
        <w:t>ecrétariat</w:t>
      </w:r>
      <w:r w:rsidR="0041238C" w:rsidRPr="00A7617F">
        <w:rPr>
          <w:rFonts w:eastAsia="MS Mincho"/>
          <w:lang w:val="fr-CH"/>
        </w:rPr>
        <w:t>;</w:t>
      </w:r>
    </w:p>
    <w:p w14:paraId="578B593D" w14:textId="038D60D8" w:rsidR="0041238C" w:rsidRPr="00A7617F" w:rsidRDefault="009F2B58" w:rsidP="006432A8">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lang w:val="fr-CH"/>
        </w:rPr>
      </w:pPr>
      <w:r w:rsidRPr="00A7617F">
        <w:rPr>
          <w:rFonts w:eastAsia="MS Mincho"/>
          <w:lang w:val="fr-CH"/>
        </w:rPr>
        <w:t xml:space="preserve">Fusionnement du secrétariat avec celui des conventions de Bâle, </w:t>
      </w:r>
      <w:r w:rsidR="005764AC">
        <w:rPr>
          <w:rFonts w:eastAsia="MS Mincho"/>
          <w:lang w:val="fr-CH"/>
        </w:rPr>
        <w:t xml:space="preserve">de </w:t>
      </w:r>
      <w:r w:rsidRPr="00A7617F">
        <w:rPr>
          <w:rFonts w:eastAsia="MS Mincho"/>
          <w:lang w:val="fr-CH"/>
        </w:rPr>
        <w:t xml:space="preserve">Rotterdam et </w:t>
      </w:r>
      <w:r w:rsidR="005764AC">
        <w:rPr>
          <w:rFonts w:eastAsia="MS Mincho"/>
          <w:lang w:val="fr-CH"/>
        </w:rPr>
        <w:t xml:space="preserve">de </w:t>
      </w:r>
      <w:r w:rsidRPr="00A7617F">
        <w:rPr>
          <w:rFonts w:eastAsia="MS Mincho"/>
          <w:lang w:val="fr-CH"/>
        </w:rPr>
        <w:t>Stockholm</w:t>
      </w:r>
      <w:r w:rsidR="0041238C" w:rsidRPr="00A7617F">
        <w:rPr>
          <w:rFonts w:eastAsia="MS Mincho"/>
          <w:lang w:val="fr-CH"/>
        </w:rPr>
        <w:t>;</w:t>
      </w:r>
    </w:p>
    <w:p w14:paraId="115CFCDF" w14:textId="1EA446B8" w:rsidR="00FD3EB7" w:rsidRPr="00A7617F" w:rsidRDefault="00FD3EB7" w:rsidP="00867CAA">
      <w:pPr>
        <w:pStyle w:val="Normal-pool"/>
        <w:numPr>
          <w:ilvl w:val="1"/>
          <w:numId w:val="134"/>
        </w:numPr>
        <w:tabs>
          <w:tab w:val="clear" w:pos="1247"/>
          <w:tab w:val="clear" w:pos="1814"/>
          <w:tab w:val="clear" w:pos="2381"/>
          <w:tab w:val="clear" w:pos="2948"/>
          <w:tab w:val="clear" w:pos="3515"/>
          <w:tab w:val="clear" w:pos="4082"/>
          <w:tab w:val="left" w:pos="624"/>
        </w:tabs>
        <w:spacing w:after="120"/>
        <w:ind w:left="1247" w:firstLine="624"/>
        <w:rPr>
          <w:rFonts w:eastAsia="MS Mincho"/>
          <w:lang w:val="fr-CH"/>
        </w:rPr>
      </w:pPr>
      <w:r w:rsidRPr="00A7617F">
        <w:rPr>
          <w:rFonts w:eastAsia="MS Mincho"/>
          <w:lang w:val="fr-CH"/>
        </w:rPr>
        <w:t>Utilisation du secrétariat provisoire</w:t>
      </w:r>
      <w:r w:rsidR="0041238C" w:rsidRPr="00A7617F">
        <w:rPr>
          <w:rFonts w:eastAsia="MS Mincho"/>
          <w:lang w:val="fr-CH"/>
        </w:rPr>
        <w:t>.</w:t>
      </w:r>
    </w:p>
    <w:p w14:paraId="1F39BA3E" w14:textId="4DAFB33A" w:rsidR="00867CAA" w:rsidRDefault="00D13356"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D13356">
        <w:rPr>
          <w:rFonts w:eastAsia="MS Mincho"/>
          <w:lang w:val="fr-CH"/>
        </w:rPr>
        <w:t xml:space="preserve">Toute </w:t>
      </w:r>
      <w:r w:rsidR="00867CAA" w:rsidRPr="00867CAA">
        <w:rPr>
          <w:rFonts w:eastAsia="MS Mincho"/>
          <w:lang w:val="fr-CH"/>
        </w:rPr>
        <w:t xml:space="preserve">analyse de l’efficacité des options </w:t>
      </w:r>
      <w:r w:rsidR="00727639">
        <w:rPr>
          <w:rFonts w:eastAsia="MS Mincho"/>
          <w:lang w:val="fr-CH"/>
        </w:rPr>
        <w:t xml:space="preserve">concernant l’organisation </w:t>
      </w:r>
      <w:r w:rsidR="00867CAA" w:rsidRPr="00867CAA">
        <w:rPr>
          <w:rFonts w:eastAsia="MS Mincho"/>
          <w:lang w:val="fr-CH"/>
        </w:rPr>
        <w:t xml:space="preserve">du </w:t>
      </w:r>
      <w:r w:rsidR="00727639">
        <w:rPr>
          <w:rFonts w:eastAsia="MS Mincho"/>
          <w:lang w:val="fr-CH"/>
        </w:rPr>
        <w:t>secré</w:t>
      </w:r>
      <w:r w:rsidR="00867CAA" w:rsidRPr="00867CAA">
        <w:rPr>
          <w:rFonts w:eastAsia="MS Mincho"/>
          <w:lang w:val="fr-CH"/>
        </w:rPr>
        <w:t>tariat</w:t>
      </w:r>
      <w:r w:rsidR="004D1F6B">
        <w:rPr>
          <w:rFonts w:eastAsia="MS Mincho"/>
          <w:lang w:val="fr-CH"/>
        </w:rPr>
        <w:t xml:space="preserve"> doit prendre</w:t>
      </w:r>
      <w:r>
        <w:rPr>
          <w:rFonts w:eastAsia="MS Mincho"/>
          <w:lang w:val="fr-CH"/>
        </w:rPr>
        <w:t xml:space="preserve"> en compte,</w:t>
      </w:r>
      <w:r w:rsidR="008E0771">
        <w:rPr>
          <w:rFonts w:eastAsia="MS Mincho"/>
          <w:lang w:val="fr-CH"/>
        </w:rPr>
        <w:t xml:space="preserve"> </w:t>
      </w:r>
      <w:r>
        <w:rPr>
          <w:rFonts w:eastAsia="MS Mincho"/>
          <w:lang w:val="fr-CH"/>
        </w:rPr>
        <w:t>dans le cadre de divers scénarios, son aptitude à</w:t>
      </w:r>
      <w:r w:rsidR="007B6941">
        <w:rPr>
          <w:rFonts w:eastAsia="MS Mincho"/>
          <w:lang w:val="fr-CH"/>
        </w:rPr>
        <w:t xml:space="preserve"> répondre aux besoins des Parties, conformément aux dispositions de la Convention, et à s’acquitter de ses fonctions </w:t>
      </w:r>
      <w:r w:rsidR="00A533D8">
        <w:rPr>
          <w:rFonts w:eastAsia="MS Mincho"/>
          <w:lang w:val="fr-CH"/>
        </w:rPr>
        <w:t>telles qu’indiquées à</w:t>
      </w:r>
      <w:r w:rsidR="007B6941">
        <w:rPr>
          <w:rFonts w:eastAsia="MS Mincho"/>
          <w:lang w:val="fr-CH"/>
        </w:rPr>
        <w:t xml:space="preserve"> l’article 24. </w:t>
      </w:r>
      <w:r w:rsidR="003877BA">
        <w:rPr>
          <w:rFonts w:eastAsia="MS Mincho"/>
          <w:lang w:val="fr-CH"/>
        </w:rPr>
        <w:t>La coopération et la coordination utiles avec d’autres intervenants dans le domaine des produits chimiques et des déchets d</w:t>
      </w:r>
      <w:r w:rsidR="009B33A2">
        <w:rPr>
          <w:rFonts w:eastAsia="MS Mincho"/>
          <w:lang w:val="fr-CH"/>
        </w:rPr>
        <w:t>oiven</w:t>
      </w:r>
      <w:r w:rsidR="003877BA">
        <w:rPr>
          <w:rFonts w:eastAsia="MS Mincho"/>
          <w:lang w:val="fr-CH"/>
        </w:rPr>
        <w:t>t également être prises en considération dans ce cadre.</w:t>
      </w:r>
    </w:p>
    <w:p w14:paraId="1ADE4D55" w14:textId="509FCE5C" w:rsidR="00DA5B13" w:rsidRPr="00DA5B13" w:rsidRDefault="00DA5B13"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DA5B13">
        <w:rPr>
          <w:rFonts w:eastAsia="MS Mincho"/>
          <w:lang w:val="fr-CH"/>
        </w:rPr>
        <w:t>En termes de coûts-avantages</w:t>
      </w:r>
      <w:r>
        <w:rPr>
          <w:rFonts w:eastAsia="MS Mincho"/>
          <w:lang w:val="fr-CH"/>
        </w:rPr>
        <w:t>, il est te</w:t>
      </w:r>
      <w:r w:rsidR="0044320F">
        <w:rPr>
          <w:rFonts w:eastAsia="MS Mincho"/>
          <w:lang w:val="fr-CH"/>
        </w:rPr>
        <w:t>nu compte</w:t>
      </w:r>
      <w:r>
        <w:rPr>
          <w:rFonts w:eastAsia="MS Mincho"/>
          <w:lang w:val="fr-CH"/>
        </w:rPr>
        <w:t xml:space="preserve"> de</w:t>
      </w:r>
      <w:r w:rsidR="00994DE5">
        <w:rPr>
          <w:rFonts w:eastAsia="MS Mincho"/>
          <w:lang w:val="fr-CH"/>
        </w:rPr>
        <w:t xml:space="preserve">s </w:t>
      </w:r>
      <w:r w:rsidR="00A7617F">
        <w:rPr>
          <w:rFonts w:eastAsia="MS Mincho"/>
          <w:lang w:val="fr-CH"/>
        </w:rPr>
        <w:t>coûts salariaux</w:t>
      </w:r>
      <w:r w:rsidR="00994DE5">
        <w:rPr>
          <w:rFonts w:eastAsia="MS Mincho"/>
          <w:lang w:val="fr-CH"/>
        </w:rPr>
        <w:t xml:space="preserve"> </w:t>
      </w:r>
      <w:r w:rsidR="003F2468">
        <w:rPr>
          <w:rFonts w:eastAsia="MS Mincho"/>
          <w:lang w:val="fr-CH"/>
        </w:rPr>
        <w:t>que chacune de</w:t>
      </w:r>
      <w:r w:rsidR="0044320F">
        <w:rPr>
          <w:rFonts w:eastAsia="MS Mincho"/>
          <w:lang w:val="fr-CH"/>
        </w:rPr>
        <w:t xml:space="preserve"> ces options impliquent, </w:t>
      </w:r>
      <w:r w:rsidR="00000E7C">
        <w:rPr>
          <w:rFonts w:eastAsia="MS Mincho"/>
          <w:lang w:val="fr-CH"/>
        </w:rPr>
        <w:t>a</w:t>
      </w:r>
      <w:r w:rsidR="00994DE5">
        <w:rPr>
          <w:rFonts w:eastAsia="MS Mincho"/>
          <w:lang w:val="fr-CH"/>
        </w:rPr>
        <w:t>insi que de</w:t>
      </w:r>
      <w:r w:rsidR="0044320F">
        <w:rPr>
          <w:rFonts w:eastAsia="MS Mincho"/>
          <w:lang w:val="fr-CH"/>
        </w:rPr>
        <w:t xml:space="preserve"> leur</w:t>
      </w:r>
      <w:r w:rsidR="00994DE5">
        <w:rPr>
          <w:rFonts w:eastAsia="MS Mincho"/>
          <w:lang w:val="fr-CH"/>
        </w:rPr>
        <w:t>s avantages éventuel</w:t>
      </w:r>
      <w:r w:rsidR="00000E7C">
        <w:rPr>
          <w:rFonts w:eastAsia="MS Mincho"/>
          <w:lang w:val="fr-CH"/>
        </w:rPr>
        <w:t xml:space="preserve">s. </w:t>
      </w:r>
    </w:p>
    <w:p w14:paraId="418F713D" w14:textId="0CA4B7F8" w:rsidR="008736ED" w:rsidRPr="008736ED" w:rsidRDefault="003F2468" w:rsidP="008736ED">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3F2468">
        <w:rPr>
          <w:rFonts w:eastAsia="MS Mincho"/>
          <w:lang w:val="fr-CH"/>
        </w:rPr>
        <w:t xml:space="preserve">Concernant le lieu d’implantation du </w:t>
      </w:r>
      <w:r>
        <w:rPr>
          <w:rFonts w:eastAsia="MS Mincho"/>
          <w:lang w:val="fr-CH"/>
        </w:rPr>
        <w:t>secré</w:t>
      </w:r>
      <w:r w:rsidRPr="003F2468">
        <w:rPr>
          <w:rFonts w:eastAsia="MS Mincho"/>
          <w:lang w:val="fr-CH"/>
        </w:rPr>
        <w:t xml:space="preserve">tariat permanent, </w:t>
      </w:r>
      <w:r>
        <w:rPr>
          <w:rFonts w:eastAsia="MS Mincho"/>
          <w:lang w:val="fr-CH"/>
        </w:rPr>
        <w:t>six villes ont été proposées dans le premier</w:t>
      </w:r>
      <w:r w:rsidR="00A533D8">
        <w:rPr>
          <w:rFonts w:eastAsia="MS Mincho"/>
          <w:lang w:val="fr-CH"/>
        </w:rPr>
        <w:t xml:space="preserve"> rapport du Directeur exécutif (Bangkok, Genève</w:t>
      </w:r>
      <w:r w:rsidRPr="003F2468">
        <w:rPr>
          <w:rFonts w:eastAsia="MS Mincho"/>
          <w:lang w:val="fr-CH"/>
        </w:rPr>
        <w:t>, Nairobi, Osaka, Vienn</w:t>
      </w:r>
      <w:r w:rsidR="00A533D8">
        <w:rPr>
          <w:rFonts w:eastAsia="MS Mincho"/>
          <w:lang w:val="fr-CH"/>
        </w:rPr>
        <w:t>e</w:t>
      </w:r>
      <w:r w:rsidRPr="003F2468">
        <w:rPr>
          <w:rFonts w:eastAsia="MS Mincho"/>
          <w:lang w:val="fr-CH"/>
        </w:rPr>
        <w:t xml:space="preserve"> </w:t>
      </w:r>
      <w:r w:rsidR="00A533D8">
        <w:rPr>
          <w:rFonts w:eastAsia="MS Mincho"/>
          <w:lang w:val="fr-CH"/>
        </w:rPr>
        <w:t>et</w:t>
      </w:r>
      <w:r w:rsidRPr="003F2468">
        <w:rPr>
          <w:rFonts w:eastAsia="MS Mincho"/>
          <w:lang w:val="fr-CH"/>
        </w:rPr>
        <w:t xml:space="preserve"> Washington</w:t>
      </w:r>
      <w:r>
        <w:rPr>
          <w:rFonts w:eastAsia="MS Mincho"/>
          <w:lang w:val="fr-CH"/>
        </w:rPr>
        <w:t>)</w:t>
      </w:r>
      <w:r w:rsidR="007216DD">
        <w:rPr>
          <w:rFonts w:eastAsia="MS Mincho"/>
          <w:lang w:val="fr-CH"/>
        </w:rPr>
        <w:t xml:space="preserve"> pour le c</w:t>
      </w:r>
      <w:r w:rsidR="00537715">
        <w:rPr>
          <w:rFonts w:eastAsia="MS Mincho"/>
          <w:lang w:val="fr-CH"/>
        </w:rPr>
        <w:t>as où un secrétariat autonome</w:t>
      </w:r>
      <w:r w:rsidR="007216DD">
        <w:rPr>
          <w:rFonts w:eastAsia="MS Mincho"/>
          <w:lang w:val="fr-CH"/>
        </w:rPr>
        <w:t xml:space="preserve"> serait établi. Ces lieux </w:t>
      </w:r>
      <w:r w:rsidR="00433F39">
        <w:rPr>
          <w:rFonts w:eastAsia="MS Mincho"/>
          <w:lang w:val="fr-CH"/>
        </w:rPr>
        <w:t>ont été choisi</w:t>
      </w:r>
      <w:r w:rsidR="00A533D8">
        <w:rPr>
          <w:rFonts w:eastAsia="MS Mincho"/>
          <w:lang w:val="fr-CH"/>
        </w:rPr>
        <w:t>s en se fondant sur deux </w:t>
      </w:r>
      <w:r w:rsidR="00EE385C">
        <w:rPr>
          <w:rFonts w:eastAsia="MS Mincho"/>
          <w:lang w:val="fr-CH"/>
        </w:rPr>
        <w:t>critère</w:t>
      </w:r>
      <w:r w:rsidR="007216DD">
        <w:rPr>
          <w:rFonts w:eastAsia="MS Mincho"/>
          <w:lang w:val="fr-CH"/>
        </w:rPr>
        <w:t>s : la possibilité</w:t>
      </w:r>
      <w:r w:rsidR="00D321C9">
        <w:rPr>
          <w:rFonts w:eastAsia="MS Mincho"/>
          <w:lang w:val="fr-CH"/>
        </w:rPr>
        <w:t xml:space="preserve"> d’une</w:t>
      </w:r>
      <w:r w:rsidR="006E7657">
        <w:rPr>
          <w:rFonts w:eastAsia="MS Mincho"/>
          <w:lang w:val="fr-CH"/>
        </w:rPr>
        <w:t xml:space="preserve"> </w:t>
      </w:r>
      <w:r w:rsidR="00D321C9">
        <w:rPr>
          <w:rFonts w:eastAsia="MS Mincho"/>
          <w:lang w:val="fr-CH"/>
        </w:rPr>
        <w:t>coopération et d’une</w:t>
      </w:r>
      <w:r w:rsidR="007216DD">
        <w:rPr>
          <w:rFonts w:eastAsia="MS Mincho"/>
          <w:lang w:val="fr-CH"/>
        </w:rPr>
        <w:t xml:space="preserve"> coordination</w:t>
      </w:r>
      <w:r w:rsidR="00D321C9">
        <w:rPr>
          <w:rFonts w:eastAsia="MS Mincho"/>
          <w:lang w:val="fr-CH"/>
        </w:rPr>
        <w:t xml:space="preserve"> importantes</w:t>
      </w:r>
      <w:r w:rsidR="007216DD">
        <w:rPr>
          <w:rFonts w:eastAsia="MS Mincho"/>
          <w:lang w:val="fr-CH"/>
        </w:rPr>
        <w:t xml:space="preserve"> avec d’autres </w:t>
      </w:r>
      <w:r w:rsidR="00D321C9">
        <w:rPr>
          <w:rFonts w:eastAsia="MS Mincho"/>
          <w:lang w:val="fr-CH"/>
        </w:rPr>
        <w:t>service</w:t>
      </w:r>
      <w:r w:rsidR="006E7657">
        <w:rPr>
          <w:rFonts w:eastAsia="MS Mincho"/>
          <w:lang w:val="fr-CH"/>
        </w:rPr>
        <w:t xml:space="preserve">s du PNUE ou d’autres entités et organisations qui </w:t>
      </w:r>
      <w:r w:rsidR="008736ED">
        <w:rPr>
          <w:rFonts w:eastAsia="MS Mincho"/>
          <w:lang w:val="fr-CH"/>
        </w:rPr>
        <w:t>prennent une part directe aux</w:t>
      </w:r>
      <w:r w:rsidR="006E7657">
        <w:rPr>
          <w:rFonts w:eastAsia="MS Mincho"/>
          <w:lang w:val="fr-CH"/>
        </w:rPr>
        <w:t xml:space="preserve"> activités liées à la mise en œuvre </w:t>
      </w:r>
      <w:r w:rsidR="008736ED">
        <w:rPr>
          <w:rFonts w:eastAsia="MS Mincho"/>
          <w:lang w:val="fr-CH"/>
        </w:rPr>
        <w:t>de la Convention de Minamata</w:t>
      </w:r>
      <w:r w:rsidR="006D34E6">
        <w:rPr>
          <w:rFonts w:eastAsia="MS Mincho"/>
          <w:lang w:val="fr-CH"/>
        </w:rPr>
        <w:t>;</w:t>
      </w:r>
      <w:r w:rsidR="008736ED">
        <w:rPr>
          <w:rFonts w:eastAsia="MS Mincho"/>
          <w:lang w:val="fr-CH"/>
        </w:rPr>
        <w:t xml:space="preserve"> </w:t>
      </w:r>
      <w:r w:rsidR="003444C4">
        <w:rPr>
          <w:rFonts w:eastAsia="MS Mincho"/>
          <w:lang w:val="fr-CH"/>
        </w:rPr>
        <w:t xml:space="preserve">et </w:t>
      </w:r>
      <w:r w:rsidR="008736ED">
        <w:rPr>
          <w:rFonts w:eastAsia="MS Mincho"/>
          <w:lang w:val="fr-CH"/>
        </w:rPr>
        <w:t xml:space="preserve">le soutien administratif, logistique et opérationnel </w:t>
      </w:r>
      <w:r w:rsidR="003444C4">
        <w:rPr>
          <w:rFonts w:eastAsia="MS Mincho"/>
          <w:lang w:val="fr-CH"/>
        </w:rPr>
        <w:t>disponible ainsi qu’</w:t>
      </w:r>
      <w:r w:rsidR="006D34E6">
        <w:rPr>
          <w:rFonts w:eastAsia="MS Mincho"/>
          <w:lang w:val="fr-CH"/>
        </w:rPr>
        <w:t xml:space="preserve">une analyse de leurs coûts relatifs. </w:t>
      </w:r>
      <w:r w:rsidR="00EA0032">
        <w:rPr>
          <w:rFonts w:eastAsia="MS Mincho"/>
          <w:lang w:val="fr-CH"/>
        </w:rPr>
        <w:t>Le PNUE dispose actuellement de bureaux dans chacun des lieux proposés, ainsi q</w:t>
      </w:r>
      <w:r w:rsidR="003444C4">
        <w:rPr>
          <w:rFonts w:eastAsia="MS Mincho"/>
          <w:lang w:val="fr-CH"/>
        </w:rPr>
        <w:t>u’un accord de siège en vigueur dans ces villes.</w:t>
      </w:r>
      <w:r w:rsidR="00EA0032">
        <w:rPr>
          <w:rFonts w:eastAsia="MS Mincho"/>
          <w:lang w:val="fr-CH"/>
        </w:rPr>
        <w:t xml:space="preserve"> </w:t>
      </w:r>
    </w:p>
    <w:p w14:paraId="306C44A3" w14:textId="66ADE337" w:rsidR="00B96396" w:rsidRPr="00DB1A7B" w:rsidRDefault="00B96396"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B96396">
        <w:rPr>
          <w:rFonts w:eastAsia="MS Mincho"/>
          <w:lang w:val="fr-CH"/>
        </w:rPr>
        <w:t xml:space="preserve">S’agissant du fusionnement du secrétariat </w:t>
      </w:r>
      <w:r>
        <w:rPr>
          <w:rFonts w:eastAsia="MS Mincho"/>
          <w:lang w:val="fr-CH"/>
        </w:rPr>
        <w:t xml:space="preserve">de la Convention de Minamata avec le secrétariat des conventions de Bâle, </w:t>
      </w:r>
      <w:r w:rsidR="006F5786">
        <w:rPr>
          <w:rFonts w:eastAsia="MS Mincho"/>
          <w:lang w:val="fr-CH"/>
        </w:rPr>
        <w:t xml:space="preserve">de </w:t>
      </w:r>
      <w:r>
        <w:rPr>
          <w:rFonts w:eastAsia="MS Mincho"/>
          <w:lang w:val="fr-CH"/>
        </w:rPr>
        <w:t xml:space="preserve">Rotterdam et </w:t>
      </w:r>
      <w:r w:rsidR="006F5786">
        <w:rPr>
          <w:rFonts w:eastAsia="MS Mincho"/>
          <w:lang w:val="fr-CH"/>
        </w:rPr>
        <w:t xml:space="preserve">de </w:t>
      </w:r>
      <w:r>
        <w:rPr>
          <w:rFonts w:eastAsia="MS Mincho"/>
          <w:lang w:val="fr-CH"/>
        </w:rPr>
        <w:t>Stockholm</w:t>
      </w:r>
      <w:r w:rsidR="004B7CFC">
        <w:rPr>
          <w:rFonts w:eastAsia="MS Mincho"/>
          <w:lang w:val="fr-CH"/>
        </w:rPr>
        <w:t>,</w:t>
      </w:r>
      <w:r w:rsidR="00A533D8">
        <w:rPr>
          <w:rFonts w:eastAsia="MS Mincho"/>
          <w:lang w:val="fr-CH"/>
        </w:rPr>
        <w:t xml:space="preserve"> en vertu duquel</w:t>
      </w:r>
      <w:r>
        <w:rPr>
          <w:rFonts w:eastAsia="MS Mincho"/>
          <w:lang w:val="fr-CH"/>
        </w:rPr>
        <w:t xml:space="preserve"> </w:t>
      </w:r>
      <w:r w:rsidR="00A533D8">
        <w:rPr>
          <w:rFonts w:eastAsia="MS Mincho"/>
          <w:lang w:val="fr-CH"/>
        </w:rPr>
        <w:t>le secrétariat permanent serait</w:t>
      </w:r>
      <w:r w:rsidR="007E32D5">
        <w:rPr>
          <w:rFonts w:eastAsia="MS Mincho"/>
          <w:lang w:val="fr-CH"/>
        </w:rPr>
        <w:t xml:space="preserve"> implanté à Genève sous la houlette d</w:t>
      </w:r>
      <w:r w:rsidR="005E2B18">
        <w:rPr>
          <w:rFonts w:eastAsia="MS Mincho"/>
          <w:lang w:val="fr-CH"/>
        </w:rPr>
        <w:t>’un Secrétaire</w:t>
      </w:r>
      <w:r w:rsidR="00A533D8">
        <w:rPr>
          <w:rFonts w:eastAsia="MS Mincho"/>
          <w:lang w:val="fr-CH"/>
        </w:rPr>
        <w:t xml:space="preserve"> exécutif </w:t>
      </w:r>
      <w:r w:rsidR="005E2B18">
        <w:rPr>
          <w:rFonts w:eastAsia="MS Mincho"/>
          <w:lang w:val="fr-CH"/>
        </w:rPr>
        <w:t>conj</w:t>
      </w:r>
      <w:r w:rsidR="007E32D5">
        <w:rPr>
          <w:rFonts w:eastAsia="MS Mincho"/>
          <w:lang w:val="fr-CH"/>
        </w:rPr>
        <w:t xml:space="preserve">oint </w:t>
      </w:r>
      <w:r w:rsidR="0008586A">
        <w:rPr>
          <w:rFonts w:eastAsia="MS Mincho"/>
          <w:lang w:val="fr-CH"/>
        </w:rPr>
        <w:t>(D-2), deux opti</w:t>
      </w:r>
      <w:r w:rsidR="004B7CFC">
        <w:rPr>
          <w:rFonts w:eastAsia="MS Mincho"/>
          <w:lang w:val="fr-CH"/>
        </w:rPr>
        <w:t>ons ont été retenues : option 1 </w:t>
      </w:r>
      <w:r w:rsidR="0008586A">
        <w:rPr>
          <w:rFonts w:eastAsia="MS Mincho"/>
          <w:lang w:val="fr-CH"/>
        </w:rPr>
        <w:t xml:space="preserve">a) (fusionnement) : </w:t>
      </w:r>
      <w:r w:rsidR="00CB46F2">
        <w:rPr>
          <w:rFonts w:eastAsia="MS Mincho"/>
          <w:lang w:val="fr-CH"/>
        </w:rPr>
        <w:t>l’</w:t>
      </w:r>
      <w:r w:rsidR="00DB1A7B">
        <w:rPr>
          <w:rFonts w:eastAsia="MS Mincho"/>
          <w:lang w:val="fr-CH"/>
        </w:rPr>
        <w:t xml:space="preserve">incorporation des fonctions du secrétariat </w:t>
      </w:r>
      <w:r w:rsidR="00CB46F2">
        <w:rPr>
          <w:rFonts w:eastAsia="MS Mincho"/>
          <w:lang w:val="fr-CH"/>
        </w:rPr>
        <w:t xml:space="preserve">de la Convention de Minamata </w:t>
      </w:r>
      <w:r w:rsidR="00DB1A7B">
        <w:rPr>
          <w:rFonts w:eastAsia="MS Mincho"/>
          <w:lang w:val="fr-CH"/>
        </w:rPr>
        <w:t>dans</w:t>
      </w:r>
      <w:r w:rsidR="00CB46F2">
        <w:rPr>
          <w:rFonts w:eastAsia="MS Mincho"/>
          <w:lang w:val="fr-CH"/>
        </w:rPr>
        <w:t xml:space="preserve"> la structure actuelle du secrétariat</w:t>
      </w:r>
      <w:r w:rsidR="004555A8">
        <w:rPr>
          <w:rFonts w:eastAsia="MS Mincho"/>
          <w:lang w:val="fr-CH"/>
        </w:rPr>
        <w:t xml:space="preserve"> des conventions </w:t>
      </w:r>
      <w:r w:rsidR="004555A8">
        <w:rPr>
          <w:lang w:val="fr-CH"/>
        </w:rPr>
        <w:t xml:space="preserve">de Bâle, </w:t>
      </w:r>
      <w:r w:rsidR="00CB46F2">
        <w:rPr>
          <w:lang w:val="fr-CH"/>
        </w:rPr>
        <w:t xml:space="preserve">de </w:t>
      </w:r>
      <w:r w:rsidR="004555A8">
        <w:rPr>
          <w:lang w:val="fr-CH"/>
        </w:rPr>
        <w:t xml:space="preserve">Rotterdam et </w:t>
      </w:r>
      <w:r w:rsidR="00CB46F2">
        <w:rPr>
          <w:lang w:val="fr-CH"/>
        </w:rPr>
        <w:t xml:space="preserve">de </w:t>
      </w:r>
      <w:r w:rsidR="004555A8">
        <w:rPr>
          <w:lang w:val="fr-CH"/>
        </w:rPr>
        <w:t>Stockholm et option</w:t>
      </w:r>
      <w:r w:rsidR="004B7CFC">
        <w:rPr>
          <w:lang w:val="fr-CH"/>
        </w:rPr>
        <w:t> 1 </w:t>
      </w:r>
      <w:r w:rsidR="004555A8">
        <w:rPr>
          <w:lang w:val="fr-CH"/>
        </w:rPr>
        <w:t>b) (</w:t>
      </w:r>
      <w:r w:rsidR="00CB46F2">
        <w:rPr>
          <w:lang w:val="fr-CH"/>
        </w:rPr>
        <w:t>intégration sous forme de Service</w:t>
      </w:r>
      <w:r w:rsidR="001A5DE1">
        <w:rPr>
          <w:lang w:val="fr-CH"/>
        </w:rPr>
        <w:t>) :</w:t>
      </w:r>
      <w:r w:rsidR="00CB46F2">
        <w:rPr>
          <w:lang w:val="fr-CH"/>
        </w:rPr>
        <w:t xml:space="preserve"> le</w:t>
      </w:r>
      <w:r w:rsidR="001A5DE1">
        <w:rPr>
          <w:lang w:val="fr-CH"/>
        </w:rPr>
        <w:t xml:space="preserve"> </w:t>
      </w:r>
      <w:r w:rsidR="00393502">
        <w:rPr>
          <w:lang w:val="fr-CH"/>
        </w:rPr>
        <w:t xml:space="preserve">fusionnement </w:t>
      </w:r>
      <w:r w:rsidR="0052531C">
        <w:rPr>
          <w:lang w:val="fr-CH"/>
        </w:rPr>
        <w:t xml:space="preserve">du secrétariat avec celui des conventions de </w:t>
      </w:r>
      <w:r w:rsidR="0052531C" w:rsidRPr="000D740D">
        <w:rPr>
          <w:lang w:val="fr-CH"/>
        </w:rPr>
        <w:t xml:space="preserve">Bâle, </w:t>
      </w:r>
      <w:r w:rsidR="002826D7">
        <w:rPr>
          <w:lang w:val="fr-CH"/>
        </w:rPr>
        <w:t xml:space="preserve">de </w:t>
      </w:r>
      <w:r w:rsidR="0052531C" w:rsidRPr="000D740D">
        <w:rPr>
          <w:lang w:val="fr-CH"/>
        </w:rPr>
        <w:t xml:space="preserve">Rotterdam et </w:t>
      </w:r>
      <w:r w:rsidR="002826D7">
        <w:rPr>
          <w:lang w:val="fr-CH"/>
        </w:rPr>
        <w:t xml:space="preserve">de </w:t>
      </w:r>
      <w:r w:rsidR="0052531C" w:rsidRPr="000D740D">
        <w:rPr>
          <w:lang w:val="fr-CH"/>
        </w:rPr>
        <w:t>Stockholm</w:t>
      </w:r>
      <w:r w:rsidR="002826D7">
        <w:rPr>
          <w:lang w:val="fr-CH"/>
        </w:rPr>
        <w:t xml:space="preserve"> par la création, au cours de la période intérimaire, d’un Service de </w:t>
      </w:r>
      <w:r w:rsidR="0052531C">
        <w:rPr>
          <w:lang w:val="fr-CH"/>
        </w:rPr>
        <w:t>la Conve</w:t>
      </w:r>
      <w:r w:rsidR="00DE4D94">
        <w:rPr>
          <w:lang w:val="fr-CH"/>
        </w:rPr>
        <w:t xml:space="preserve">ntion de Minamata qui serait tout d’abord intégré de façon </w:t>
      </w:r>
      <w:r w:rsidR="00216ACA">
        <w:rPr>
          <w:lang w:val="fr-CH"/>
        </w:rPr>
        <w:t>partielle</w:t>
      </w:r>
      <w:r w:rsidR="00DE4D94">
        <w:rPr>
          <w:lang w:val="fr-CH"/>
        </w:rPr>
        <w:t xml:space="preserve"> avant d’</w:t>
      </w:r>
      <w:r w:rsidR="00216ACA">
        <w:rPr>
          <w:lang w:val="fr-CH"/>
        </w:rPr>
        <w:t xml:space="preserve">aboutir à un fusionnement complet </w:t>
      </w:r>
      <w:r w:rsidR="004347BF">
        <w:rPr>
          <w:lang w:val="fr-CH"/>
        </w:rPr>
        <w:t xml:space="preserve">plus tard, à une date </w:t>
      </w:r>
      <w:r w:rsidR="00393502">
        <w:rPr>
          <w:lang w:val="fr-CH"/>
        </w:rPr>
        <w:t xml:space="preserve">devant être </w:t>
      </w:r>
      <w:r w:rsidR="004347BF">
        <w:rPr>
          <w:lang w:val="fr-CH"/>
        </w:rPr>
        <w:t>déterminée.</w:t>
      </w:r>
    </w:p>
    <w:p w14:paraId="45BD0B7F" w14:textId="29512663" w:rsidR="004347BF" w:rsidRPr="00216ACA" w:rsidRDefault="00537715"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Dans le cas d’un secrétariat autonome</w:t>
      </w:r>
      <w:r w:rsidR="004347BF">
        <w:rPr>
          <w:rFonts w:eastAsia="MS Mincho"/>
          <w:lang w:val="fr-CH"/>
        </w:rPr>
        <w:t xml:space="preserve"> de la Convention de Minamata (option</w:t>
      </w:r>
      <w:r w:rsidR="0053406F">
        <w:rPr>
          <w:rFonts w:eastAsia="MS Mincho"/>
          <w:lang w:val="fr-CH"/>
        </w:rPr>
        <w:t> </w:t>
      </w:r>
      <w:r w:rsidR="004347BF">
        <w:rPr>
          <w:rFonts w:eastAsia="MS Mincho"/>
          <w:lang w:val="fr-CH"/>
        </w:rPr>
        <w:t xml:space="preserve">2 – </w:t>
      </w:r>
      <w:r w:rsidR="007F1CCC">
        <w:rPr>
          <w:rFonts w:eastAsia="MS Mincho"/>
          <w:lang w:val="fr-CH"/>
        </w:rPr>
        <w:t>autonomie</w:t>
      </w:r>
      <w:r w:rsidR="004347BF">
        <w:rPr>
          <w:rFonts w:eastAsia="MS Mincho"/>
          <w:lang w:val="fr-CH"/>
        </w:rPr>
        <w:t>), le secrétariat provisoire serait remplac</w:t>
      </w:r>
      <w:r>
        <w:rPr>
          <w:rFonts w:eastAsia="MS Mincho"/>
          <w:lang w:val="fr-CH"/>
        </w:rPr>
        <w:t>é par une structure autonome</w:t>
      </w:r>
      <w:r w:rsidR="004347BF">
        <w:rPr>
          <w:rFonts w:eastAsia="MS Mincho"/>
          <w:lang w:val="fr-CH"/>
        </w:rPr>
        <w:t xml:space="preserve">, dirigée par </w:t>
      </w:r>
      <w:r w:rsidR="00A70596">
        <w:rPr>
          <w:rFonts w:eastAsia="MS Mincho"/>
          <w:lang w:val="fr-CH"/>
        </w:rPr>
        <w:t>un</w:t>
      </w:r>
      <w:r w:rsidR="004347BF">
        <w:rPr>
          <w:rFonts w:eastAsia="MS Mincho"/>
          <w:lang w:val="fr-CH"/>
        </w:rPr>
        <w:t xml:space="preserve"> Secrétaire </w:t>
      </w:r>
      <w:r w:rsidR="00A70596">
        <w:rPr>
          <w:rFonts w:eastAsia="MS Mincho"/>
          <w:lang w:val="fr-CH"/>
        </w:rPr>
        <w:t>exécutif</w:t>
      </w:r>
      <w:r w:rsidR="004347BF">
        <w:rPr>
          <w:rFonts w:eastAsia="MS Mincho"/>
          <w:lang w:val="fr-CH"/>
        </w:rPr>
        <w:t xml:space="preserve"> (D-1).</w:t>
      </w:r>
      <w:r w:rsidR="00A70596">
        <w:rPr>
          <w:rFonts w:eastAsia="MS Mincho"/>
          <w:lang w:val="fr-CH"/>
        </w:rPr>
        <w:t xml:space="preserve"> Plusieurs lieux d’implantation sont envisagés dans cette option, en tenant compte des coûts </w:t>
      </w:r>
      <w:r w:rsidR="00A2088D">
        <w:rPr>
          <w:rFonts w:eastAsia="MS Mincho"/>
          <w:lang w:val="fr-CH"/>
        </w:rPr>
        <w:t>relatifs de chaque ville (par exemple</w:t>
      </w:r>
      <w:r w:rsidR="00A70596">
        <w:rPr>
          <w:rFonts w:eastAsia="MS Mincho"/>
          <w:lang w:val="fr-CH"/>
        </w:rPr>
        <w:t xml:space="preserve">, </w:t>
      </w:r>
      <w:r w:rsidR="00354290">
        <w:rPr>
          <w:rFonts w:eastAsia="MS Mincho"/>
          <w:lang w:val="fr-CH"/>
        </w:rPr>
        <w:t>les co</w:t>
      </w:r>
      <w:r w:rsidR="00B54027">
        <w:rPr>
          <w:rFonts w:eastAsia="MS Mincho"/>
          <w:lang w:val="fr-CH"/>
        </w:rPr>
        <w:t>ûts salariaux,</w:t>
      </w:r>
      <w:r w:rsidR="00A70596">
        <w:rPr>
          <w:rFonts w:eastAsia="MS Mincho"/>
          <w:lang w:val="fr-CH"/>
        </w:rPr>
        <w:t xml:space="preserve"> </w:t>
      </w:r>
      <w:r w:rsidR="009E656E">
        <w:rPr>
          <w:rFonts w:eastAsia="MS Mincho"/>
          <w:lang w:val="fr-CH"/>
        </w:rPr>
        <w:t xml:space="preserve">les </w:t>
      </w:r>
      <w:r w:rsidR="00B54027">
        <w:rPr>
          <w:rFonts w:eastAsia="MS Mincho"/>
          <w:lang w:val="fr-CH"/>
        </w:rPr>
        <w:t>coûts de fonctionnement</w:t>
      </w:r>
      <w:r w:rsidR="009E656E">
        <w:rPr>
          <w:rFonts w:eastAsia="MS Mincho"/>
          <w:lang w:val="fr-CH"/>
        </w:rPr>
        <w:t xml:space="preserve">, </w:t>
      </w:r>
      <w:r w:rsidR="007F376B">
        <w:rPr>
          <w:rFonts w:eastAsia="MS Mincho"/>
          <w:lang w:val="fr-CH"/>
        </w:rPr>
        <w:t xml:space="preserve">les frais </w:t>
      </w:r>
      <w:r w:rsidR="00B54027">
        <w:rPr>
          <w:lang w:val="fr-CH"/>
        </w:rPr>
        <w:t>d’organisation des réunions et les frais de voyage pour le personnel qui devrait participer à Genève aux réunions clés sur les produits chimiques et les déchets si le secrétariat de la Convention de Minamata devait être implanté dans l’un des</w:t>
      </w:r>
      <w:r w:rsidR="00043426">
        <w:rPr>
          <w:lang w:val="fr-CH"/>
        </w:rPr>
        <w:t xml:space="preserve"> autres</w:t>
      </w:r>
      <w:r w:rsidR="00B54027">
        <w:rPr>
          <w:lang w:val="fr-CH"/>
        </w:rPr>
        <w:t xml:space="preserve"> lieux proposés</w:t>
      </w:r>
      <w:r w:rsidR="007F1CCC">
        <w:rPr>
          <w:lang w:val="fr-CH"/>
        </w:rPr>
        <w:t>)</w:t>
      </w:r>
      <w:r w:rsidR="00B54027">
        <w:rPr>
          <w:lang w:val="fr-CH"/>
        </w:rPr>
        <w:t xml:space="preserve">. </w:t>
      </w:r>
    </w:p>
    <w:p w14:paraId="160165F9" w14:textId="5EF5DEA9" w:rsidR="00043426" w:rsidRPr="00BE5339" w:rsidRDefault="007F1CC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Pour toutes ce</w:t>
      </w:r>
      <w:r w:rsidR="00BE5339" w:rsidRPr="00BE5339">
        <w:rPr>
          <w:rFonts w:eastAsia="MS Mincho"/>
          <w:lang w:val="fr-CH"/>
        </w:rPr>
        <w:t>s options, le soutien administratif et</w:t>
      </w:r>
      <w:r w:rsidR="00C420F0">
        <w:rPr>
          <w:rFonts w:eastAsia="MS Mincho"/>
          <w:lang w:val="fr-CH"/>
        </w:rPr>
        <w:t xml:space="preserve"> l’aide à</w:t>
      </w:r>
      <w:r w:rsidR="00110D3E">
        <w:rPr>
          <w:rFonts w:eastAsia="MS Mincho"/>
          <w:lang w:val="fr-CH"/>
        </w:rPr>
        <w:t xml:space="preserve"> la</w:t>
      </w:r>
      <w:r w:rsidR="00BE5339" w:rsidRPr="00BE5339">
        <w:rPr>
          <w:rFonts w:eastAsia="MS Mincho"/>
          <w:lang w:val="fr-CH"/>
        </w:rPr>
        <w:t xml:space="preserve"> gestion des fonds </w:t>
      </w:r>
      <w:r w:rsidR="00110D3E">
        <w:rPr>
          <w:rFonts w:eastAsia="MS Mincho"/>
          <w:lang w:val="fr-CH"/>
        </w:rPr>
        <w:t xml:space="preserve">fourni </w:t>
      </w:r>
      <w:r w:rsidR="00BE5339" w:rsidRPr="00BE5339">
        <w:rPr>
          <w:rFonts w:eastAsia="MS Mincho"/>
          <w:lang w:val="fr-CH"/>
        </w:rPr>
        <w:t>au secrétariat de la Convention de Minamata devrai</w:t>
      </w:r>
      <w:r w:rsidR="00C420F0">
        <w:rPr>
          <w:rFonts w:eastAsia="MS Mincho"/>
          <w:lang w:val="fr-CH"/>
        </w:rPr>
        <w:t>en</w:t>
      </w:r>
      <w:r w:rsidR="00BE5339" w:rsidRPr="00BE5339">
        <w:rPr>
          <w:rFonts w:eastAsia="MS Mincho"/>
          <w:lang w:val="fr-CH"/>
        </w:rPr>
        <w:t>t</w:t>
      </w:r>
      <w:r w:rsidR="00491B9A">
        <w:rPr>
          <w:rFonts w:eastAsia="MS Mincho"/>
          <w:lang w:val="fr-CH"/>
        </w:rPr>
        <w:t xml:space="preserve"> être</w:t>
      </w:r>
      <w:r w:rsidR="00BE5339" w:rsidRPr="00BE5339">
        <w:rPr>
          <w:rFonts w:eastAsia="MS Mincho"/>
          <w:lang w:val="fr-CH"/>
        </w:rPr>
        <w:t xml:space="preserve"> </w:t>
      </w:r>
      <w:r w:rsidR="00491B9A">
        <w:rPr>
          <w:rFonts w:eastAsia="MS Mincho"/>
          <w:lang w:val="fr-CH"/>
        </w:rPr>
        <w:t>financés par</w:t>
      </w:r>
      <w:r w:rsidR="004503B1">
        <w:rPr>
          <w:rFonts w:eastAsia="MS Mincho"/>
          <w:lang w:val="fr-CH"/>
        </w:rPr>
        <w:t xml:space="preserve"> des prélèvements sur les dépenses d’appui au programme</w:t>
      </w:r>
      <w:r w:rsidR="00491B9A">
        <w:rPr>
          <w:rFonts w:eastAsia="MS Mincho"/>
          <w:lang w:val="fr-CH"/>
        </w:rPr>
        <w:t>. En vertu du règlement financier et des</w:t>
      </w:r>
      <w:r w:rsidR="00C420F0">
        <w:rPr>
          <w:rFonts w:eastAsia="MS Mincho"/>
          <w:lang w:val="fr-CH"/>
        </w:rPr>
        <w:t xml:space="preserve"> règles de gestion financière des Nations Unies, </w:t>
      </w:r>
      <w:r w:rsidR="00A2088D">
        <w:rPr>
          <w:rFonts w:eastAsia="MS Mincho"/>
          <w:lang w:val="fr-CH"/>
        </w:rPr>
        <w:t>13 %</w:t>
      </w:r>
      <w:r w:rsidR="004A10DC">
        <w:rPr>
          <w:rFonts w:eastAsia="MS Mincho"/>
          <w:lang w:val="fr-CH"/>
        </w:rPr>
        <w:t xml:space="preserve"> des</w:t>
      </w:r>
      <w:r w:rsidR="005F0005">
        <w:rPr>
          <w:rFonts w:eastAsia="MS Mincho"/>
          <w:lang w:val="fr-CH"/>
        </w:rPr>
        <w:t xml:space="preserve"> dépenses d’appui au programme</w:t>
      </w:r>
      <w:r w:rsidR="004A10DC">
        <w:rPr>
          <w:rFonts w:eastAsia="MS Mincho"/>
          <w:lang w:val="fr-CH"/>
        </w:rPr>
        <w:t xml:space="preserve"> </w:t>
      </w:r>
      <w:r w:rsidR="005F0005">
        <w:rPr>
          <w:rFonts w:eastAsia="MS Mincho"/>
          <w:lang w:val="fr-CH"/>
        </w:rPr>
        <w:t>sont</w:t>
      </w:r>
      <w:r w:rsidR="00FF6F42">
        <w:rPr>
          <w:rFonts w:eastAsia="MS Mincho"/>
          <w:lang w:val="fr-CH"/>
        </w:rPr>
        <w:t xml:space="preserve"> payables au PNUE </w:t>
      </w:r>
      <w:r w:rsidR="00A31C45">
        <w:rPr>
          <w:rFonts w:eastAsia="MS Mincho"/>
          <w:lang w:val="fr-CH"/>
        </w:rPr>
        <w:t>au titre des frai</w:t>
      </w:r>
      <w:r w:rsidR="00FF6F42">
        <w:rPr>
          <w:rFonts w:eastAsia="MS Mincho"/>
          <w:lang w:val="fr-CH"/>
        </w:rPr>
        <w:t xml:space="preserve">s liés aux activités de la Convention. </w:t>
      </w:r>
      <w:r w:rsidR="00C27FBA">
        <w:rPr>
          <w:rFonts w:eastAsia="MS Mincho"/>
          <w:lang w:val="fr-CH"/>
        </w:rPr>
        <w:t xml:space="preserve">Conformément aux pratiques sur l’utilisation des dépenses d’appui au programme, le PNUE versera une allocation annuelle à la Convention de Minamata afin de l’aider à couvrir </w:t>
      </w:r>
      <w:r w:rsidR="00CA4915">
        <w:rPr>
          <w:rFonts w:eastAsia="MS Mincho"/>
          <w:lang w:val="fr-CH"/>
        </w:rPr>
        <w:t>les coûts des</w:t>
      </w:r>
      <w:r w:rsidR="00C27FBA">
        <w:rPr>
          <w:rFonts w:eastAsia="MS Mincho"/>
          <w:lang w:val="fr-CH"/>
        </w:rPr>
        <w:t xml:space="preserve"> services d’appui. </w:t>
      </w:r>
      <w:r w:rsidR="00CA4915">
        <w:rPr>
          <w:rFonts w:eastAsia="MS Mincho"/>
          <w:lang w:val="fr-CH"/>
        </w:rPr>
        <w:t>Cette allocation d</w:t>
      </w:r>
      <w:r w:rsidR="00491B9A">
        <w:rPr>
          <w:rFonts w:eastAsia="MS Mincho"/>
          <w:lang w:val="fr-CH"/>
        </w:rPr>
        <w:t>evrait permettre de financer un poste de</w:t>
      </w:r>
      <w:r w:rsidR="00CA4915">
        <w:rPr>
          <w:rFonts w:eastAsia="MS Mincho"/>
          <w:lang w:val="fr-CH"/>
        </w:rPr>
        <w:t xml:space="preserve"> </w:t>
      </w:r>
      <w:r w:rsidR="00A134CD">
        <w:rPr>
          <w:rFonts w:eastAsia="MS Mincho"/>
          <w:lang w:val="fr-CH"/>
        </w:rPr>
        <w:t>fonctionnaire chargé de l’</w:t>
      </w:r>
      <w:r w:rsidR="00C27788">
        <w:rPr>
          <w:rFonts w:eastAsia="MS Mincho"/>
          <w:lang w:val="fr-CH"/>
        </w:rPr>
        <w:t>administration</w:t>
      </w:r>
      <w:r w:rsidR="00A134CD">
        <w:rPr>
          <w:rFonts w:eastAsia="MS Mincho"/>
          <w:lang w:val="fr-CH"/>
        </w:rPr>
        <w:t xml:space="preserve"> et de la gestion des fonds (P-3) ainsi qu’un poste d’agent des services généraux.</w:t>
      </w:r>
      <w:r w:rsidR="00733327">
        <w:rPr>
          <w:rFonts w:eastAsia="MS Mincho"/>
          <w:lang w:val="fr-CH"/>
        </w:rPr>
        <w:t xml:space="preserve"> Ce soutien étant le même</w:t>
      </w:r>
      <w:r w:rsidR="00D325A7">
        <w:rPr>
          <w:rFonts w:eastAsia="MS Mincho"/>
          <w:lang w:val="fr-CH"/>
        </w:rPr>
        <w:t xml:space="preserve"> pour chaque option envisagée concernant l’organisation du secrétariat, </w:t>
      </w:r>
      <w:r w:rsidR="00733327">
        <w:rPr>
          <w:rFonts w:eastAsia="MS Mincho"/>
          <w:lang w:val="fr-CH"/>
        </w:rPr>
        <w:t xml:space="preserve">les </w:t>
      </w:r>
      <w:r w:rsidR="00CD276E">
        <w:rPr>
          <w:rFonts w:eastAsia="MS Mincho"/>
          <w:lang w:val="fr-CH"/>
        </w:rPr>
        <w:t>dépenses liées à l’appui</w:t>
      </w:r>
      <w:r w:rsidR="00671300">
        <w:rPr>
          <w:rFonts w:eastAsia="MS Mincho"/>
          <w:lang w:val="fr-CH"/>
        </w:rPr>
        <w:t xml:space="preserve"> </w:t>
      </w:r>
      <w:r w:rsidR="00BF25FE">
        <w:rPr>
          <w:rFonts w:eastAsia="MS Mincho"/>
          <w:lang w:val="fr-CH"/>
        </w:rPr>
        <w:t xml:space="preserve">administratif </w:t>
      </w:r>
      <w:r w:rsidR="00CD276E">
        <w:rPr>
          <w:rFonts w:eastAsia="MS Mincho"/>
          <w:lang w:val="fr-CH"/>
        </w:rPr>
        <w:t>ne</w:t>
      </w:r>
      <w:r w:rsidR="00BF25FE">
        <w:rPr>
          <w:rFonts w:eastAsia="MS Mincho"/>
          <w:lang w:val="fr-CH"/>
        </w:rPr>
        <w:t xml:space="preserve"> figurent pas séparément </w:t>
      </w:r>
      <w:r w:rsidR="00733327">
        <w:rPr>
          <w:rFonts w:eastAsia="MS Mincho"/>
          <w:lang w:val="fr-CH"/>
        </w:rPr>
        <w:t>dans l’analyse ci</w:t>
      </w:r>
      <w:r w:rsidR="00733327">
        <w:rPr>
          <w:rFonts w:eastAsia="MS Mincho"/>
          <w:lang w:val="fr-CH"/>
        </w:rPr>
        <w:noBreakHyphen/>
        <w:t>dessous.</w:t>
      </w:r>
    </w:p>
    <w:p w14:paraId="17D6301B" w14:textId="67FED0DB" w:rsidR="0041238C" w:rsidRPr="00CD276E" w:rsidRDefault="00CD276E" w:rsidP="0041238C">
      <w:pPr>
        <w:pStyle w:val="CH2"/>
        <w:rPr>
          <w:rFonts w:eastAsia="MS Mincho"/>
          <w:lang w:val="fr-CH"/>
        </w:rPr>
      </w:pPr>
      <w:r w:rsidRPr="00716B4C">
        <w:rPr>
          <w:rFonts w:eastAsia="MS Mincho"/>
          <w:lang w:val="fr-CH"/>
        </w:rPr>
        <w:lastRenderedPageBreak/>
        <w:tab/>
      </w:r>
      <w:r w:rsidRPr="00CD276E">
        <w:rPr>
          <w:rFonts w:eastAsia="MS Mincho"/>
          <w:lang w:val="fr-CH"/>
        </w:rPr>
        <w:t>D.</w:t>
      </w:r>
      <w:r w:rsidRPr="00CD276E">
        <w:rPr>
          <w:rFonts w:eastAsia="MS Mincho"/>
          <w:lang w:val="fr-CH"/>
        </w:rPr>
        <w:tab/>
        <w:t xml:space="preserve">Propositions relatives à </w:t>
      </w:r>
      <w:r w:rsidR="005A10DC">
        <w:rPr>
          <w:rFonts w:eastAsia="MS Mincho"/>
          <w:lang w:val="fr-CH"/>
        </w:rPr>
        <w:t>l’exercice des</w:t>
      </w:r>
      <w:r w:rsidRPr="00CD276E">
        <w:rPr>
          <w:rFonts w:eastAsia="MS Mincho"/>
          <w:lang w:val="fr-CH"/>
        </w:rPr>
        <w:t xml:space="preserve"> fonctions du </w:t>
      </w:r>
      <w:r>
        <w:rPr>
          <w:rFonts w:eastAsia="MS Mincho"/>
          <w:lang w:val="fr-CH"/>
        </w:rPr>
        <w:t>secré</w:t>
      </w:r>
      <w:r w:rsidRPr="00CD276E">
        <w:rPr>
          <w:rFonts w:eastAsia="MS Mincho"/>
          <w:lang w:val="fr-CH"/>
        </w:rPr>
        <w:t xml:space="preserve">tariat </w:t>
      </w:r>
      <w:r w:rsidR="004B7CFC">
        <w:rPr>
          <w:rFonts w:eastAsia="MS Mincho"/>
          <w:lang w:val="fr-CH"/>
        </w:rPr>
        <w:t>permanent</w:t>
      </w:r>
      <w:r w:rsidR="00A2088D">
        <w:rPr>
          <w:rFonts w:eastAsia="MS Mincho"/>
          <w:lang w:val="fr-CH"/>
        </w:rPr>
        <w:br/>
      </w:r>
      <w:r>
        <w:rPr>
          <w:rFonts w:eastAsia="MS Mincho"/>
          <w:lang w:val="fr-CH"/>
        </w:rPr>
        <w:t>de la Convention de Mina</w:t>
      </w:r>
      <w:r w:rsidR="005A10DC">
        <w:rPr>
          <w:rFonts w:eastAsia="MS Mincho"/>
          <w:lang w:val="fr-CH"/>
        </w:rPr>
        <w:t>mata</w:t>
      </w:r>
      <w:r w:rsidR="0041238C" w:rsidRPr="00CD276E">
        <w:rPr>
          <w:rFonts w:eastAsia="MS Mincho"/>
          <w:lang w:val="fr-CH"/>
        </w:rPr>
        <w:t xml:space="preserve"> </w:t>
      </w:r>
    </w:p>
    <w:p w14:paraId="77FB9482" w14:textId="2EE93E81" w:rsidR="00DD49F1" w:rsidRPr="00DD49F1" w:rsidRDefault="00DD49F1"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DD49F1">
        <w:rPr>
          <w:rFonts w:eastAsia="MS Mincho"/>
          <w:lang w:val="fr-CH"/>
        </w:rPr>
        <w:t xml:space="preserve">Les propositions relatives à la manière dont </w:t>
      </w:r>
      <w:r w:rsidR="002C7C8F">
        <w:rPr>
          <w:rFonts w:eastAsia="MS Mincho"/>
          <w:lang w:val="fr-CH"/>
        </w:rPr>
        <w:t>le Directeur exécutif du PNUE</w:t>
      </w:r>
      <w:r w:rsidRPr="00DD49F1">
        <w:rPr>
          <w:rFonts w:eastAsia="MS Mincho"/>
          <w:lang w:val="fr-CH"/>
        </w:rPr>
        <w:t xml:space="preserve"> exercer</w:t>
      </w:r>
      <w:r w:rsidR="002C7C8F">
        <w:rPr>
          <w:rFonts w:eastAsia="MS Mincho"/>
          <w:lang w:val="fr-CH"/>
        </w:rPr>
        <w:t>a</w:t>
      </w:r>
      <w:r w:rsidRPr="00DD49F1">
        <w:rPr>
          <w:rFonts w:eastAsia="MS Mincho"/>
          <w:lang w:val="fr-CH"/>
        </w:rPr>
        <w:t xml:space="preserve"> les fonctions du </w:t>
      </w:r>
      <w:r>
        <w:rPr>
          <w:rFonts w:eastAsia="MS Mincho"/>
          <w:lang w:val="fr-CH"/>
        </w:rPr>
        <w:t>secré</w:t>
      </w:r>
      <w:r w:rsidRPr="00DD49F1">
        <w:rPr>
          <w:rFonts w:eastAsia="MS Mincho"/>
          <w:lang w:val="fr-CH"/>
        </w:rPr>
        <w:t xml:space="preserve">tariat permanent de la Convention de Minamata sont décrites dans les paragraphes suivants. </w:t>
      </w:r>
    </w:p>
    <w:p w14:paraId="450FB7D9" w14:textId="631D197A" w:rsidR="002C7C8F" w:rsidRPr="002C7C8F" w:rsidRDefault="0041238C" w:rsidP="0041238C">
      <w:pPr>
        <w:pStyle w:val="CH3"/>
        <w:rPr>
          <w:rFonts w:eastAsia="MS Mincho"/>
          <w:lang w:val="fr-CH"/>
        </w:rPr>
      </w:pPr>
      <w:r w:rsidRPr="00716B4C">
        <w:rPr>
          <w:rFonts w:eastAsia="MS Mincho"/>
          <w:lang w:val="fr-CH"/>
        </w:rPr>
        <w:tab/>
      </w:r>
      <w:r w:rsidRPr="002C7C8F">
        <w:rPr>
          <w:rFonts w:eastAsia="MS Mincho"/>
          <w:lang w:val="fr-CH"/>
        </w:rPr>
        <w:t>1.</w:t>
      </w:r>
      <w:r w:rsidRPr="002C7C8F">
        <w:rPr>
          <w:rFonts w:eastAsia="MS Mincho"/>
          <w:lang w:val="fr-CH"/>
        </w:rPr>
        <w:tab/>
      </w:r>
      <w:r w:rsidR="004B7CFC">
        <w:rPr>
          <w:rFonts w:eastAsia="MS Mincho"/>
          <w:lang w:val="fr-CH"/>
        </w:rPr>
        <w:t>Fusionnement</w:t>
      </w:r>
      <w:r w:rsidR="002C7C8F" w:rsidRPr="002C7C8F">
        <w:rPr>
          <w:rFonts w:eastAsia="MS Mincho"/>
          <w:lang w:val="fr-CH"/>
        </w:rPr>
        <w:t xml:space="preserve"> du </w:t>
      </w:r>
      <w:r w:rsidR="002C7C8F">
        <w:rPr>
          <w:rFonts w:eastAsia="MS Mincho"/>
          <w:lang w:val="fr-CH"/>
        </w:rPr>
        <w:t>secré</w:t>
      </w:r>
      <w:r w:rsidR="002C7C8F" w:rsidRPr="002C7C8F">
        <w:rPr>
          <w:rFonts w:eastAsia="MS Mincho"/>
          <w:lang w:val="fr-CH"/>
        </w:rPr>
        <w:t>tariat permanent de la Convention de Minamata</w:t>
      </w:r>
      <w:r w:rsidR="005E175E">
        <w:rPr>
          <w:rFonts w:eastAsia="MS Mincho"/>
          <w:lang w:val="fr-CH"/>
        </w:rPr>
        <w:t xml:space="preserve"> </w:t>
      </w:r>
      <w:r w:rsidR="004B7CFC">
        <w:rPr>
          <w:rFonts w:eastAsia="MS Mincho"/>
          <w:lang w:val="fr-CH"/>
        </w:rPr>
        <w:br/>
        <w:t>avec le S</w:t>
      </w:r>
      <w:r w:rsidR="005E175E">
        <w:rPr>
          <w:rFonts w:eastAsia="MS Mincho"/>
          <w:lang w:val="fr-CH"/>
        </w:rPr>
        <w:t>ecrétariat</w:t>
      </w:r>
      <w:r w:rsidR="002C7C8F" w:rsidRPr="002C7C8F">
        <w:rPr>
          <w:rFonts w:eastAsia="MS Mincho"/>
          <w:lang w:val="fr-CH"/>
        </w:rPr>
        <w:t xml:space="preserve"> des conventions de B</w:t>
      </w:r>
      <w:r w:rsidR="002C7C8F">
        <w:rPr>
          <w:rFonts w:eastAsia="MS Mincho"/>
          <w:lang w:val="fr-CH"/>
        </w:rPr>
        <w:t>âle</w:t>
      </w:r>
      <w:r w:rsidR="00A2088D">
        <w:rPr>
          <w:rFonts w:eastAsia="MS Mincho"/>
          <w:lang w:val="fr-CH"/>
        </w:rPr>
        <w:t>, de Rotterdam et de Stockholm</w:t>
      </w:r>
    </w:p>
    <w:p w14:paraId="53F3299C" w14:textId="62A7B5E4" w:rsidR="0041238C" w:rsidRPr="00F73686" w:rsidRDefault="00E14C7A" w:rsidP="00F73686">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F73686">
        <w:rPr>
          <w:rFonts w:eastAsia="MS Mincho"/>
          <w:lang w:val="fr-CH"/>
        </w:rPr>
        <w:t>E</w:t>
      </w:r>
      <w:r w:rsidR="0041238C" w:rsidRPr="00F73686">
        <w:rPr>
          <w:rFonts w:eastAsia="MS Mincho"/>
          <w:lang w:val="fr-CH"/>
        </w:rPr>
        <w:t xml:space="preserve">n 2012, </w:t>
      </w:r>
      <w:r w:rsidR="00646389" w:rsidRPr="00F73686">
        <w:rPr>
          <w:rFonts w:eastAsia="MS Mincho"/>
          <w:lang w:val="fr-CH"/>
        </w:rPr>
        <w:t xml:space="preserve">les secrétariats des conventions de Bâle et de Stockholm, ainsi que la partie du secrétariat de la Convention de Rotterdam </w:t>
      </w:r>
      <w:r w:rsidR="005D1519" w:rsidRPr="00F73686">
        <w:rPr>
          <w:rFonts w:eastAsia="MS Mincho"/>
          <w:lang w:val="fr-CH"/>
        </w:rPr>
        <w:t>relevant du</w:t>
      </w:r>
      <w:r w:rsidR="00646389" w:rsidRPr="00F73686">
        <w:rPr>
          <w:rFonts w:eastAsia="MS Mincho"/>
          <w:lang w:val="fr-CH"/>
        </w:rPr>
        <w:t xml:space="preserve"> PNUE</w:t>
      </w:r>
      <w:r w:rsidR="0041238C" w:rsidRPr="007E304A">
        <w:rPr>
          <w:rStyle w:val="FootnoteReference"/>
          <w:rFonts w:eastAsia="MS Mincho"/>
        </w:rPr>
        <w:footnoteReference w:id="6"/>
      </w:r>
      <w:r w:rsidR="0041238C" w:rsidRPr="00F73686">
        <w:rPr>
          <w:rFonts w:eastAsia="MS Mincho"/>
          <w:lang w:val="fr-CH"/>
        </w:rPr>
        <w:t xml:space="preserve"> </w:t>
      </w:r>
      <w:r w:rsidR="00EF4DB0" w:rsidRPr="00F73686">
        <w:rPr>
          <w:rFonts w:eastAsia="MS Mincho"/>
          <w:lang w:val="fr-CH"/>
        </w:rPr>
        <w:t xml:space="preserve">ont été réunis sous </w:t>
      </w:r>
      <w:r w:rsidR="00F4748C" w:rsidRPr="00F73686">
        <w:rPr>
          <w:rFonts w:eastAsia="MS Mincho"/>
          <w:lang w:val="fr-CH"/>
        </w:rPr>
        <w:t>l’autorité</w:t>
      </w:r>
      <w:r w:rsidR="00EF4DB0" w:rsidRPr="00F73686">
        <w:rPr>
          <w:rFonts w:eastAsia="MS Mincho"/>
          <w:lang w:val="fr-CH"/>
        </w:rPr>
        <w:t xml:space="preserve"> d’un seul S</w:t>
      </w:r>
      <w:r w:rsidR="00663FD7" w:rsidRPr="00F73686">
        <w:rPr>
          <w:rFonts w:eastAsia="MS Mincho"/>
          <w:lang w:val="fr-CH"/>
        </w:rPr>
        <w:t>ecrétaire exécutif</w:t>
      </w:r>
      <w:r w:rsidR="0041238C" w:rsidRPr="007E304A">
        <w:rPr>
          <w:rStyle w:val="FootnoteReference"/>
          <w:rFonts w:eastAsia="MS Mincho"/>
        </w:rPr>
        <w:footnoteReference w:id="7"/>
      </w:r>
      <w:r w:rsidR="00663FD7" w:rsidRPr="00F73686">
        <w:rPr>
          <w:rFonts w:eastAsia="MS Mincho"/>
          <w:lang w:val="fr-CH"/>
        </w:rPr>
        <w:t>. La structure des trois secrétariats a été ajus</w:t>
      </w:r>
      <w:r w:rsidR="00FD3F2B" w:rsidRPr="00F73686">
        <w:rPr>
          <w:rFonts w:eastAsia="MS Mincho"/>
          <w:lang w:val="fr-CH"/>
        </w:rPr>
        <w:t>tée à une</w:t>
      </w:r>
      <w:r w:rsidR="00663FD7" w:rsidRPr="00F73686">
        <w:rPr>
          <w:rFonts w:eastAsia="MS Mincho"/>
          <w:lang w:val="fr-CH"/>
        </w:rPr>
        <w:t xml:space="preserve"> structure </w:t>
      </w:r>
      <w:r w:rsidR="00FD3F2B" w:rsidRPr="00F73686">
        <w:rPr>
          <w:rFonts w:eastAsia="MS Mincho"/>
          <w:lang w:val="fr-CH"/>
        </w:rPr>
        <w:t xml:space="preserve">matricielle </w:t>
      </w:r>
      <w:r w:rsidR="00E65D2F" w:rsidRPr="00F73686">
        <w:rPr>
          <w:rFonts w:eastAsia="MS Mincho"/>
          <w:lang w:val="fr-CH"/>
        </w:rPr>
        <w:t>destinée à mieux s</w:t>
      </w:r>
      <w:r w:rsidR="002F5A2E">
        <w:rPr>
          <w:rFonts w:eastAsia="MS Mincho"/>
          <w:lang w:val="fr-CH"/>
        </w:rPr>
        <w:t>ervir les trois conventions. Lors des</w:t>
      </w:r>
      <w:r w:rsidR="00E65D2F" w:rsidRPr="00F73686">
        <w:rPr>
          <w:rFonts w:eastAsia="MS Mincho"/>
          <w:lang w:val="fr-CH"/>
        </w:rPr>
        <w:t xml:space="preserve"> réunions</w:t>
      </w:r>
      <w:r w:rsidR="003B36AF" w:rsidRPr="00F73686">
        <w:rPr>
          <w:rFonts w:eastAsia="MS Mincho"/>
          <w:lang w:val="fr-CH"/>
        </w:rPr>
        <w:t xml:space="preserve"> de 2015 </w:t>
      </w:r>
      <w:r w:rsidR="009E5D8E" w:rsidRPr="00F73686">
        <w:rPr>
          <w:rFonts w:eastAsia="MS Mincho"/>
          <w:lang w:val="fr-CH"/>
        </w:rPr>
        <w:t>des</w:t>
      </w:r>
      <w:r w:rsidR="00E65D2F" w:rsidRPr="00F73686">
        <w:rPr>
          <w:rFonts w:eastAsia="MS Mincho"/>
          <w:lang w:val="fr-CH"/>
        </w:rPr>
        <w:t xml:space="preserve"> </w:t>
      </w:r>
      <w:r w:rsidR="004B7CFC">
        <w:rPr>
          <w:rFonts w:eastAsia="MS Mincho"/>
          <w:lang w:val="fr-CH"/>
        </w:rPr>
        <w:t>c</w:t>
      </w:r>
      <w:r w:rsidR="003B36AF" w:rsidRPr="00F73686">
        <w:rPr>
          <w:rFonts w:eastAsia="MS Mincho"/>
          <w:lang w:val="fr-CH"/>
        </w:rPr>
        <w:t>onférence</w:t>
      </w:r>
      <w:r w:rsidR="009E5D8E" w:rsidRPr="00F73686">
        <w:rPr>
          <w:rFonts w:eastAsia="MS Mincho"/>
          <w:lang w:val="fr-CH"/>
        </w:rPr>
        <w:t>s</w:t>
      </w:r>
      <w:r w:rsidR="00E65D2F" w:rsidRPr="00F73686">
        <w:rPr>
          <w:rFonts w:eastAsia="MS Mincho"/>
          <w:lang w:val="fr-CH"/>
        </w:rPr>
        <w:t xml:space="preserve"> des </w:t>
      </w:r>
      <w:r w:rsidR="003B36AF" w:rsidRPr="00F73686">
        <w:rPr>
          <w:rFonts w:eastAsia="MS Mincho"/>
          <w:lang w:val="fr-CH"/>
        </w:rPr>
        <w:t>P</w:t>
      </w:r>
      <w:r w:rsidR="00E65D2F" w:rsidRPr="00F73686">
        <w:rPr>
          <w:rFonts w:eastAsia="MS Mincho"/>
          <w:lang w:val="fr-CH"/>
        </w:rPr>
        <w:t xml:space="preserve">arties, il a été convenu </w:t>
      </w:r>
      <w:r w:rsidR="003B36AF" w:rsidRPr="00F73686">
        <w:rPr>
          <w:rFonts w:eastAsia="MS Mincho"/>
          <w:lang w:val="fr-CH"/>
        </w:rPr>
        <w:t xml:space="preserve">de procéder à l’examen des dispositions </w:t>
      </w:r>
      <w:r w:rsidR="005E175E">
        <w:rPr>
          <w:rFonts w:eastAsia="MS Mincho"/>
          <w:lang w:val="fr-CH"/>
        </w:rPr>
        <w:t>en matière de synergies et de</w:t>
      </w:r>
      <w:r w:rsidR="003B36AF" w:rsidRPr="00F73686">
        <w:rPr>
          <w:rFonts w:eastAsia="MS Mincho"/>
          <w:lang w:val="fr-CH"/>
        </w:rPr>
        <w:t xml:space="preserve"> </w:t>
      </w:r>
      <w:r w:rsidR="004B7CFC">
        <w:rPr>
          <w:rFonts w:eastAsia="MS Mincho"/>
          <w:lang w:val="fr-CH"/>
        </w:rPr>
        <w:t xml:space="preserve">la </w:t>
      </w:r>
      <w:r w:rsidR="003B36AF" w:rsidRPr="00F73686">
        <w:rPr>
          <w:rFonts w:eastAsia="MS Mincho"/>
          <w:lang w:val="fr-CH"/>
        </w:rPr>
        <w:t>structure matricielle de gestion du secrétariat. Les résultats</w:t>
      </w:r>
      <w:r w:rsidR="009E5D8E" w:rsidRPr="00F73686">
        <w:rPr>
          <w:rFonts w:eastAsia="MS Mincho"/>
          <w:lang w:val="fr-CH"/>
        </w:rPr>
        <w:t xml:space="preserve"> de cet examen ont été présentés </w:t>
      </w:r>
      <w:r w:rsidR="005E175E">
        <w:rPr>
          <w:rFonts w:eastAsia="MS Mincho"/>
          <w:lang w:val="fr-CH"/>
        </w:rPr>
        <w:t>lors des</w:t>
      </w:r>
      <w:r w:rsidR="004B7CFC">
        <w:rPr>
          <w:rFonts w:eastAsia="MS Mincho"/>
          <w:lang w:val="fr-CH"/>
        </w:rPr>
        <w:t xml:space="preserve"> réunions de 2017 des c</w:t>
      </w:r>
      <w:r w:rsidR="009E5D8E" w:rsidRPr="00F73686">
        <w:rPr>
          <w:rFonts w:eastAsia="MS Mincho"/>
          <w:lang w:val="fr-CH"/>
        </w:rPr>
        <w:t xml:space="preserve">onférences des Parties aux conventions de Bâle, </w:t>
      </w:r>
      <w:r w:rsidR="006800CB">
        <w:rPr>
          <w:rFonts w:eastAsia="MS Mincho"/>
          <w:lang w:val="fr-CH"/>
        </w:rPr>
        <w:t xml:space="preserve">de </w:t>
      </w:r>
      <w:r w:rsidR="009E5D8E" w:rsidRPr="00F73686">
        <w:rPr>
          <w:rFonts w:eastAsia="MS Mincho"/>
          <w:lang w:val="fr-CH"/>
        </w:rPr>
        <w:t xml:space="preserve">Rotterdam et </w:t>
      </w:r>
      <w:r w:rsidR="006800CB">
        <w:rPr>
          <w:rFonts w:eastAsia="MS Mincho"/>
          <w:lang w:val="fr-CH"/>
        </w:rPr>
        <w:t xml:space="preserve">de </w:t>
      </w:r>
      <w:r w:rsidR="009E5D8E" w:rsidRPr="00F73686">
        <w:rPr>
          <w:rFonts w:eastAsia="MS Mincho"/>
          <w:lang w:val="fr-CH"/>
        </w:rPr>
        <w:t>Stockholm</w:t>
      </w:r>
      <w:r w:rsidR="00F73686" w:rsidRPr="00F73686">
        <w:rPr>
          <w:rFonts w:eastAsia="MS Mincho"/>
          <w:lang w:val="fr-CH"/>
        </w:rPr>
        <w:t xml:space="preserve">, et sont réunis dans les documents communs suivants : </w:t>
      </w:r>
      <w:r w:rsidR="0041238C" w:rsidRPr="00F73686">
        <w:rPr>
          <w:lang w:val="fr-CH"/>
        </w:rPr>
        <w:t>UNEP/CHW.13/22–UNEP/FAO/RC/COP.8/21–UNEP/POPS/COP.8/25 and UNEP/CHW.13/22/Add.1–UNEP/FAO/RC/COP.8/21/Add.1–UNEP/POPS/COP.8/25/Add.1.</w:t>
      </w:r>
    </w:p>
    <w:p w14:paraId="23E36D7F" w14:textId="0880E3D8" w:rsidR="00716B4C" w:rsidRPr="00716B4C" w:rsidRDefault="00716B4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 xml:space="preserve">À la suite du second examen des dispositions </w:t>
      </w:r>
      <w:r w:rsidR="006800CB">
        <w:rPr>
          <w:rFonts w:eastAsia="MS Mincho"/>
          <w:lang w:val="fr-CH"/>
        </w:rPr>
        <w:t>en matière de</w:t>
      </w:r>
      <w:r>
        <w:rPr>
          <w:rFonts w:eastAsia="MS Mincho"/>
          <w:lang w:val="fr-CH"/>
        </w:rPr>
        <w:t xml:space="preserve"> synerg</w:t>
      </w:r>
      <w:r w:rsidR="00CD0D88">
        <w:rPr>
          <w:rFonts w:eastAsia="MS Mincho"/>
          <w:lang w:val="fr-CH"/>
        </w:rPr>
        <w:t>ies, les trois conférences des P</w:t>
      </w:r>
      <w:r>
        <w:rPr>
          <w:rFonts w:eastAsia="MS Mincho"/>
          <w:lang w:val="fr-CH"/>
        </w:rPr>
        <w:t>arties ont adopté des déci</w:t>
      </w:r>
      <w:r w:rsidR="00E415BF">
        <w:rPr>
          <w:rFonts w:eastAsia="MS Mincho"/>
          <w:lang w:val="fr-CH"/>
        </w:rPr>
        <w:t xml:space="preserve">sions identiques par lesquelles, entre autres, elles ont accueilli </w:t>
      </w:r>
      <w:r w:rsidR="00752323">
        <w:rPr>
          <w:rFonts w:eastAsia="MS Mincho"/>
          <w:lang w:val="fr-CH"/>
        </w:rPr>
        <w:t>avec satisfaction</w:t>
      </w:r>
      <w:r w:rsidR="00E415BF">
        <w:rPr>
          <w:rFonts w:eastAsia="MS Mincho"/>
          <w:lang w:val="fr-CH"/>
        </w:rPr>
        <w:t xml:space="preserve"> les rapports et </w:t>
      </w:r>
      <w:r w:rsidR="006800CB">
        <w:rPr>
          <w:rFonts w:eastAsia="MS Mincho"/>
          <w:lang w:val="fr-CH"/>
        </w:rPr>
        <w:t>ont demandé au secrétariat des c</w:t>
      </w:r>
      <w:r w:rsidR="00752323">
        <w:rPr>
          <w:rFonts w:eastAsia="MS Mincho"/>
          <w:lang w:val="fr-CH"/>
        </w:rPr>
        <w:t xml:space="preserve">onventions de Bâle, </w:t>
      </w:r>
      <w:r w:rsidR="006800CB">
        <w:rPr>
          <w:rFonts w:eastAsia="MS Mincho"/>
          <w:lang w:val="fr-CH"/>
        </w:rPr>
        <w:t xml:space="preserve">de </w:t>
      </w:r>
      <w:r w:rsidR="00752323">
        <w:rPr>
          <w:rFonts w:eastAsia="MS Mincho"/>
          <w:lang w:val="fr-CH"/>
        </w:rPr>
        <w:t xml:space="preserve">Rotterdam et </w:t>
      </w:r>
      <w:r w:rsidR="006800CB">
        <w:rPr>
          <w:rFonts w:eastAsia="MS Mincho"/>
          <w:lang w:val="fr-CH"/>
        </w:rPr>
        <w:t xml:space="preserve">de </w:t>
      </w:r>
      <w:r w:rsidR="00752323">
        <w:rPr>
          <w:rFonts w:eastAsia="MS Mincho"/>
          <w:lang w:val="fr-CH"/>
        </w:rPr>
        <w:t>Stockholm de poursuivre</w:t>
      </w:r>
      <w:r w:rsidR="003F102E">
        <w:rPr>
          <w:rFonts w:eastAsia="MS Mincho"/>
          <w:lang w:val="fr-CH"/>
        </w:rPr>
        <w:t xml:space="preserve"> leurs recherches sur </w:t>
      </w:r>
      <w:r w:rsidR="00752323">
        <w:rPr>
          <w:rFonts w:eastAsia="MS Mincho"/>
          <w:lang w:val="fr-CH"/>
        </w:rPr>
        <w:t>de nouvelles p</w:t>
      </w:r>
      <w:r w:rsidR="003F102E">
        <w:rPr>
          <w:rFonts w:eastAsia="MS Mincho"/>
          <w:lang w:val="fr-CH"/>
        </w:rPr>
        <w:t>ossibilités</w:t>
      </w:r>
      <w:r w:rsidR="00752323">
        <w:rPr>
          <w:rFonts w:eastAsia="MS Mincho"/>
          <w:lang w:val="fr-CH"/>
        </w:rPr>
        <w:t xml:space="preserve"> de coordination et de coopération entre</w:t>
      </w:r>
      <w:r w:rsidR="003F102E">
        <w:rPr>
          <w:rFonts w:eastAsia="MS Mincho"/>
          <w:lang w:val="fr-CH"/>
        </w:rPr>
        <w:t xml:space="preserve"> les trois conventions afin d’</w:t>
      </w:r>
      <w:r w:rsidR="00752323">
        <w:rPr>
          <w:rFonts w:eastAsia="MS Mincho"/>
          <w:lang w:val="fr-CH"/>
        </w:rPr>
        <w:t xml:space="preserve">assurer </w:t>
      </w:r>
      <w:r w:rsidR="003F102E">
        <w:rPr>
          <w:rFonts w:eastAsia="MS Mincho"/>
          <w:lang w:val="fr-CH"/>
        </w:rPr>
        <w:t>la</w:t>
      </w:r>
      <w:r w:rsidR="00752323">
        <w:rPr>
          <w:rFonts w:eastAsia="MS Mincho"/>
          <w:lang w:val="fr-CH"/>
        </w:rPr>
        <w:t xml:space="preserve"> cohérence </w:t>
      </w:r>
      <w:r w:rsidR="003F102E">
        <w:rPr>
          <w:rFonts w:eastAsia="MS Mincho"/>
          <w:lang w:val="fr-CH"/>
        </w:rPr>
        <w:t xml:space="preserve">des politiques et </w:t>
      </w:r>
      <w:r w:rsidR="006800CB">
        <w:rPr>
          <w:rFonts w:eastAsia="MS Mincho"/>
          <w:lang w:val="fr-CH"/>
        </w:rPr>
        <w:t xml:space="preserve">de </w:t>
      </w:r>
      <w:r w:rsidR="003F102E">
        <w:rPr>
          <w:rFonts w:eastAsia="MS Mincho"/>
          <w:lang w:val="fr-CH"/>
        </w:rPr>
        <w:t>renforcer l</w:t>
      </w:r>
      <w:r w:rsidR="00A06929">
        <w:rPr>
          <w:rFonts w:eastAsia="MS Mincho"/>
          <w:lang w:val="fr-CH"/>
        </w:rPr>
        <w:t xml:space="preserve">eur </w:t>
      </w:r>
      <w:r w:rsidR="003F102E">
        <w:rPr>
          <w:rFonts w:eastAsia="MS Mincho"/>
          <w:lang w:val="fr-CH"/>
        </w:rPr>
        <w:t xml:space="preserve">efficacité </w:t>
      </w:r>
      <w:r w:rsidR="00A06929">
        <w:rPr>
          <w:rFonts w:eastAsia="MS Mincho"/>
          <w:lang w:val="fr-CH"/>
        </w:rPr>
        <w:t>pour pouvoir alléger le fardeau administratif et optimiser l’utilisation</w:t>
      </w:r>
      <w:r w:rsidR="00351AA1">
        <w:rPr>
          <w:rFonts w:eastAsia="MS Mincho"/>
          <w:lang w:val="fr-CH"/>
        </w:rPr>
        <w:t xml:space="preserve"> </w:t>
      </w:r>
      <w:r w:rsidR="00A06929">
        <w:rPr>
          <w:rFonts w:eastAsia="MS Mincho"/>
          <w:lang w:val="fr-CH"/>
        </w:rPr>
        <w:t>des ressources à tous les niveaux.</w:t>
      </w:r>
    </w:p>
    <w:p w14:paraId="501214B8" w14:textId="0C211B3F" w:rsidR="00CD0D88" w:rsidRPr="00CD0D88" w:rsidRDefault="00CD0D88"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CD0D88">
        <w:rPr>
          <w:rFonts w:eastAsia="MS Mincho"/>
          <w:lang w:val="fr-CH"/>
        </w:rPr>
        <w:t>Depuis le fusionnement des secrétariats des conventions de Bâle, de Rotterdam et de Stockholm, les conférences des Parties à ces conventions ont approuvé des tableaux d’effectifs indicatifs aux</w:t>
      </w:r>
      <w:r w:rsidR="00D0650D">
        <w:rPr>
          <w:rFonts w:eastAsia="MS Mincho"/>
          <w:lang w:val="fr-CH"/>
        </w:rPr>
        <w:t xml:space="preserve"> fins d’établissement des coûts</w:t>
      </w:r>
      <w:r w:rsidRPr="00CD0D88">
        <w:rPr>
          <w:rFonts w:eastAsia="MS Mincho"/>
          <w:lang w:val="fr-CH"/>
        </w:rPr>
        <w:t xml:space="preserve"> et autorisé le Secrétaire exécutif à déterminer les</w:t>
      </w:r>
      <w:r w:rsidR="007D3BFA">
        <w:rPr>
          <w:rFonts w:eastAsia="MS Mincho"/>
          <w:lang w:val="fr-CH"/>
        </w:rPr>
        <w:t xml:space="preserve"> catégorie,</w:t>
      </w:r>
      <w:r w:rsidR="00510296">
        <w:rPr>
          <w:rFonts w:eastAsia="MS Mincho"/>
          <w:lang w:val="fr-CH"/>
        </w:rPr>
        <w:t xml:space="preserve"> le nombre </w:t>
      </w:r>
      <w:r w:rsidR="007D3BFA">
        <w:rPr>
          <w:rFonts w:eastAsia="MS Mincho"/>
          <w:lang w:val="fr-CH"/>
        </w:rPr>
        <w:t>et la structure d</w:t>
      </w:r>
      <w:r w:rsidR="00510296">
        <w:rPr>
          <w:rFonts w:eastAsia="MS Mincho"/>
          <w:lang w:val="fr-CH"/>
        </w:rPr>
        <w:t xml:space="preserve">es </w:t>
      </w:r>
      <w:r w:rsidRPr="00CD0D88">
        <w:rPr>
          <w:rFonts w:eastAsia="MS Mincho"/>
          <w:lang w:val="fr-CH"/>
        </w:rPr>
        <w:t>effectifs du secrétariat en faisant preuve de souplesse dans le cadre du montant total des dépenses de personnel figurant dans les diverses décisions budgétaires. La répartition des dépenses de personnel dans le cadre du Fonds général d’affectation spéciale est décidée par les trois conférences des Parties dans leurs décisions budgétaires respectives.</w:t>
      </w:r>
    </w:p>
    <w:p w14:paraId="5181C607" w14:textId="24F74F5B" w:rsidR="00351AA1" w:rsidRDefault="007D3BFA"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Un</w:t>
      </w:r>
      <w:r w:rsidR="00D13B85" w:rsidRPr="00D13B85">
        <w:rPr>
          <w:rFonts w:eastAsia="MS Mincho"/>
          <w:lang w:val="fr-CH"/>
        </w:rPr>
        <w:t xml:space="preserve"> fusionnement du </w:t>
      </w:r>
      <w:r w:rsidR="00D13B85">
        <w:rPr>
          <w:rFonts w:eastAsia="MS Mincho"/>
          <w:lang w:val="fr-CH"/>
        </w:rPr>
        <w:t>secré</w:t>
      </w:r>
      <w:r w:rsidR="00D13B85" w:rsidRPr="00D13B85">
        <w:rPr>
          <w:rFonts w:eastAsia="MS Mincho"/>
          <w:lang w:val="fr-CH"/>
        </w:rPr>
        <w:t xml:space="preserve">tariat </w:t>
      </w:r>
      <w:r w:rsidR="00D13B85">
        <w:rPr>
          <w:rFonts w:eastAsia="MS Mincho"/>
          <w:lang w:val="fr-CH"/>
        </w:rPr>
        <w:t>de la Co</w:t>
      </w:r>
      <w:r w:rsidR="00D13B85" w:rsidRPr="00D13B85">
        <w:rPr>
          <w:rFonts w:eastAsia="MS Mincho"/>
          <w:lang w:val="fr-CH"/>
        </w:rPr>
        <w:t>n</w:t>
      </w:r>
      <w:r w:rsidR="00D13B85">
        <w:rPr>
          <w:rFonts w:eastAsia="MS Mincho"/>
          <w:lang w:val="fr-CH"/>
        </w:rPr>
        <w:t>v</w:t>
      </w:r>
      <w:r w:rsidR="00D13B85" w:rsidRPr="00D13B85">
        <w:rPr>
          <w:rFonts w:eastAsia="MS Mincho"/>
          <w:lang w:val="fr-CH"/>
        </w:rPr>
        <w:t>ention de Minamata avec celui des conventions de B</w:t>
      </w:r>
      <w:r w:rsidR="00D13B85">
        <w:rPr>
          <w:rFonts w:eastAsia="MS Mincho"/>
          <w:lang w:val="fr-CH"/>
        </w:rPr>
        <w:t xml:space="preserve">âle, </w:t>
      </w:r>
      <w:r>
        <w:rPr>
          <w:rFonts w:eastAsia="MS Mincho"/>
          <w:lang w:val="fr-CH"/>
        </w:rPr>
        <w:t xml:space="preserve">de </w:t>
      </w:r>
      <w:r w:rsidR="00D13B85">
        <w:rPr>
          <w:rFonts w:eastAsia="MS Mincho"/>
          <w:lang w:val="fr-CH"/>
        </w:rPr>
        <w:t>Rotter</w:t>
      </w:r>
      <w:r w:rsidR="00FA111D">
        <w:rPr>
          <w:rFonts w:eastAsia="MS Mincho"/>
          <w:lang w:val="fr-CH"/>
        </w:rPr>
        <w:t xml:space="preserve">dam et </w:t>
      </w:r>
      <w:r>
        <w:rPr>
          <w:rFonts w:eastAsia="MS Mincho"/>
          <w:lang w:val="fr-CH"/>
        </w:rPr>
        <w:t xml:space="preserve">de </w:t>
      </w:r>
      <w:r w:rsidR="00FA111D">
        <w:rPr>
          <w:rFonts w:eastAsia="MS Mincho"/>
          <w:lang w:val="fr-CH"/>
        </w:rPr>
        <w:t>Stockholm requiert</w:t>
      </w:r>
      <w:r w:rsidR="00D13B85">
        <w:rPr>
          <w:rFonts w:eastAsia="MS Mincho"/>
          <w:lang w:val="fr-CH"/>
        </w:rPr>
        <w:t xml:space="preserve"> l’accord</w:t>
      </w:r>
      <w:r w:rsidR="00FA111D">
        <w:rPr>
          <w:rFonts w:eastAsia="MS Mincho"/>
          <w:lang w:val="fr-CH"/>
        </w:rPr>
        <w:t xml:space="preserve"> des conférences des Parties aux conventions de Bâle, </w:t>
      </w:r>
      <w:r w:rsidR="00496AFB">
        <w:rPr>
          <w:rFonts w:eastAsia="MS Mincho"/>
          <w:lang w:val="fr-CH"/>
        </w:rPr>
        <w:t xml:space="preserve">de </w:t>
      </w:r>
      <w:r w:rsidR="00FA111D">
        <w:rPr>
          <w:rFonts w:eastAsia="MS Mincho"/>
          <w:lang w:val="fr-CH"/>
        </w:rPr>
        <w:t xml:space="preserve">Rotterdam et </w:t>
      </w:r>
      <w:r w:rsidR="00496AFB">
        <w:rPr>
          <w:rFonts w:eastAsia="MS Mincho"/>
          <w:lang w:val="fr-CH"/>
        </w:rPr>
        <w:t xml:space="preserve">de </w:t>
      </w:r>
      <w:r w:rsidR="00FA111D">
        <w:rPr>
          <w:rFonts w:eastAsia="MS Mincho"/>
          <w:lang w:val="fr-CH"/>
        </w:rPr>
        <w:t xml:space="preserve">Stockholm. </w:t>
      </w:r>
      <w:r w:rsidR="00100615">
        <w:rPr>
          <w:rFonts w:eastAsia="MS Mincho"/>
          <w:lang w:val="fr-CH"/>
        </w:rPr>
        <w:t>D</w:t>
      </w:r>
      <w:r w:rsidR="004B7CFC">
        <w:rPr>
          <w:rFonts w:eastAsia="MS Mincho"/>
          <w:lang w:val="fr-CH"/>
        </w:rPr>
        <w:t xml:space="preserve">ans leurs décisions </w:t>
      </w:r>
      <w:r w:rsidR="00CB2CD7">
        <w:rPr>
          <w:rFonts w:eastAsia="MS Mincho"/>
          <w:lang w:val="fr-CH"/>
        </w:rPr>
        <w:t>respectives sur les programmes de travail et le</w:t>
      </w:r>
      <w:r w:rsidR="008854B5">
        <w:rPr>
          <w:rFonts w:eastAsia="MS Mincho"/>
          <w:lang w:val="fr-CH"/>
        </w:rPr>
        <w:t>s</w:t>
      </w:r>
      <w:r w:rsidR="00CB2CD7">
        <w:rPr>
          <w:rFonts w:eastAsia="MS Mincho"/>
          <w:lang w:val="fr-CH"/>
        </w:rPr>
        <w:t xml:space="preserve"> budget</w:t>
      </w:r>
      <w:r w:rsidR="008854B5">
        <w:rPr>
          <w:rFonts w:eastAsia="MS Mincho"/>
          <w:lang w:val="fr-CH"/>
        </w:rPr>
        <w:t>s</w:t>
      </w:r>
      <w:r w:rsidR="00100615">
        <w:rPr>
          <w:rFonts w:eastAsia="MS Mincho"/>
          <w:lang w:val="fr-CH"/>
        </w:rPr>
        <w:t xml:space="preserve"> prises au cours des réunions de 2017</w:t>
      </w:r>
      <w:r w:rsidR="00CB2CD7">
        <w:rPr>
          <w:rFonts w:eastAsia="MS Mincho"/>
          <w:lang w:val="fr-CH"/>
        </w:rPr>
        <w:t xml:space="preserve">, </w:t>
      </w:r>
      <w:r w:rsidR="00100615">
        <w:rPr>
          <w:rFonts w:eastAsia="MS Mincho"/>
          <w:lang w:val="fr-CH"/>
        </w:rPr>
        <w:t xml:space="preserve">les conférences des Parties </w:t>
      </w:r>
      <w:r w:rsidR="00CB2CD7">
        <w:rPr>
          <w:rFonts w:eastAsia="MS Mincho"/>
          <w:lang w:val="fr-CH"/>
        </w:rPr>
        <w:t xml:space="preserve">ont invité </w:t>
      </w:r>
      <w:r w:rsidR="00AD4D2C">
        <w:rPr>
          <w:rFonts w:eastAsia="MS Mincho"/>
          <w:lang w:val="fr-CH"/>
        </w:rPr>
        <w:t>le Secrétaire e</w:t>
      </w:r>
      <w:r w:rsidR="00CB2CD7">
        <w:rPr>
          <w:rFonts w:eastAsia="MS Mincho"/>
          <w:lang w:val="fr-CH"/>
        </w:rPr>
        <w:t xml:space="preserve">xécutif </w:t>
      </w:r>
      <w:r w:rsidR="00710A9D">
        <w:rPr>
          <w:rFonts w:eastAsia="MS Mincho"/>
          <w:lang w:val="fr-CH"/>
        </w:rPr>
        <w:t>« </w:t>
      </w:r>
      <w:r w:rsidR="00CB2CD7">
        <w:rPr>
          <w:rFonts w:eastAsia="MS Mincho"/>
          <w:lang w:val="fr-CH"/>
        </w:rPr>
        <w:t>à continuer de coopérer</w:t>
      </w:r>
      <w:r w:rsidR="00AD4D2C">
        <w:rPr>
          <w:rFonts w:eastAsia="MS Mincho"/>
          <w:lang w:val="fr-CH"/>
        </w:rPr>
        <w:t>, pour le</w:t>
      </w:r>
      <w:r w:rsidR="00CB2CD7">
        <w:rPr>
          <w:rFonts w:eastAsia="MS Mincho"/>
          <w:lang w:val="fr-CH"/>
        </w:rPr>
        <w:t xml:space="preserve">s questions </w:t>
      </w:r>
      <w:r w:rsidR="00AD4D2C">
        <w:rPr>
          <w:rFonts w:eastAsia="MS Mincho"/>
          <w:lang w:val="fr-CH"/>
        </w:rPr>
        <w:t>relatives aux programmes,</w:t>
      </w:r>
      <w:r w:rsidR="00CB2CD7">
        <w:rPr>
          <w:rFonts w:eastAsia="MS Mincho"/>
          <w:lang w:val="fr-CH"/>
        </w:rPr>
        <w:t xml:space="preserve"> avec le secrétariat provisoire de</w:t>
      </w:r>
      <w:r w:rsidR="00AD4D2C">
        <w:rPr>
          <w:rFonts w:eastAsia="MS Mincho"/>
          <w:lang w:val="fr-CH"/>
        </w:rPr>
        <w:t xml:space="preserve"> la Convention de Minamata et à fournir à ce dernier tout service de secrétariat nécessaire qui serait intégralement financé par la </w:t>
      </w:r>
      <w:r w:rsidR="00FC642D">
        <w:rPr>
          <w:rFonts w:eastAsia="MS Mincho"/>
          <w:lang w:val="fr-CH"/>
        </w:rPr>
        <w:t>Conférence des Parties à la Conv</w:t>
      </w:r>
      <w:r w:rsidR="00AD4D2C">
        <w:rPr>
          <w:rFonts w:eastAsia="MS Mincho"/>
          <w:lang w:val="fr-CH"/>
        </w:rPr>
        <w:t>ention de Minamata</w:t>
      </w:r>
      <w:r w:rsidR="00710A9D">
        <w:rPr>
          <w:rFonts w:eastAsia="MS Mincho"/>
          <w:lang w:val="fr-CH"/>
        </w:rPr>
        <w:t> »</w:t>
      </w:r>
      <w:r w:rsidR="00710A9D" w:rsidRPr="007E304A">
        <w:rPr>
          <w:rStyle w:val="FootnoteReference"/>
        </w:rPr>
        <w:footnoteReference w:id="8"/>
      </w:r>
      <w:r w:rsidR="00AD4D2C">
        <w:rPr>
          <w:rFonts w:eastAsia="MS Mincho"/>
          <w:lang w:val="fr-CH"/>
        </w:rPr>
        <w:t>.</w:t>
      </w:r>
    </w:p>
    <w:p w14:paraId="27A82E11" w14:textId="51F89465" w:rsidR="00867FEB" w:rsidRPr="00867FEB" w:rsidRDefault="001E7522"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 xml:space="preserve">S’agissant du </w:t>
      </w:r>
      <w:r w:rsidR="008854B5">
        <w:rPr>
          <w:rFonts w:eastAsia="MS Mincho"/>
          <w:lang w:val="fr-CH"/>
        </w:rPr>
        <w:t xml:space="preserve">fusionnement </w:t>
      </w:r>
      <w:r w:rsidR="00867FEB" w:rsidRPr="00867FEB">
        <w:rPr>
          <w:rFonts w:eastAsia="MS Mincho"/>
          <w:lang w:val="fr-CH"/>
        </w:rPr>
        <w:t xml:space="preserve">du </w:t>
      </w:r>
      <w:r w:rsidR="00E34695">
        <w:rPr>
          <w:rFonts w:eastAsia="MS Mincho"/>
          <w:lang w:val="fr-CH"/>
        </w:rPr>
        <w:t>secré</w:t>
      </w:r>
      <w:r w:rsidR="00867FEB" w:rsidRPr="00867FEB">
        <w:rPr>
          <w:rFonts w:eastAsia="MS Mincho"/>
          <w:lang w:val="fr-CH"/>
        </w:rPr>
        <w:t xml:space="preserve">tariat de la Convention </w:t>
      </w:r>
      <w:r w:rsidR="008854B5">
        <w:rPr>
          <w:rFonts w:eastAsia="MS Mincho"/>
          <w:lang w:val="fr-CH"/>
        </w:rPr>
        <w:t xml:space="preserve">de Minamata avec le </w:t>
      </w:r>
      <w:r w:rsidR="002F5A2E">
        <w:rPr>
          <w:rFonts w:eastAsia="MS Mincho"/>
          <w:lang w:val="fr-CH"/>
        </w:rPr>
        <w:t>S</w:t>
      </w:r>
      <w:r w:rsidR="00867FEB">
        <w:rPr>
          <w:rFonts w:eastAsia="MS Mincho"/>
          <w:lang w:val="fr-CH"/>
        </w:rPr>
        <w:t>ecrétariat des conventions de Bâle, de Rotterdam et de Stockholm</w:t>
      </w:r>
      <w:r w:rsidR="00E34695">
        <w:rPr>
          <w:rFonts w:eastAsia="MS Mincho"/>
          <w:lang w:val="fr-CH"/>
        </w:rPr>
        <w:t>, deux possibilités sont présentées pour cette option</w:t>
      </w:r>
      <w:r w:rsidR="006101A8">
        <w:rPr>
          <w:rFonts w:eastAsia="MS Mincho"/>
          <w:lang w:val="fr-CH"/>
        </w:rPr>
        <w:t> :</w:t>
      </w:r>
      <w:r w:rsidR="00E34695">
        <w:rPr>
          <w:rFonts w:eastAsia="MS Mincho"/>
          <w:lang w:val="fr-CH"/>
        </w:rPr>
        <w:t xml:space="preserve"> une in</w:t>
      </w:r>
      <w:r w:rsidR="001C33FA">
        <w:rPr>
          <w:rFonts w:eastAsia="MS Mincho"/>
          <w:lang w:val="fr-CH"/>
        </w:rPr>
        <w:t>corpora</w:t>
      </w:r>
      <w:r w:rsidR="00E34695">
        <w:rPr>
          <w:rFonts w:eastAsia="MS Mincho"/>
          <w:lang w:val="fr-CH"/>
        </w:rPr>
        <w:t xml:space="preserve">tion </w:t>
      </w:r>
      <w:r w:rsidR="00420546">
        <w:rPr>
          <w:rFonts w:eastAsia="MS Mincho"/>
          <w:lang w:val="fr-CH"/>
        </w:rPr>
        <w:t xml:space="preserve">des fonctions du secrétariat de la Convention de Minamata </w:t>
      </w:r>
      <w:r w:rsidR="00E34695">
        <w:rPr>
          <w:rFonts w:eastAsia="MS Mincho"/>
          <w:lang w:val="fr-CH"/>
        </w:rPr>
        <w:t>dans la structure</w:t>
      </w:r>
      <w:r w:rsidR="00420546">
        <w:rPr>
          <w:rFonts w:eastAsia="MS Mincho"/>
          <w:lang w:val="fr-CH"/>
        </w:rPr>
        <w:t xml:space="preserve"> actuelle du</w:t>
      </w:r>
      <w:r w:rsidR="00E34695">
        <w:rPr>
          <w:rFonts w:eastAsia="MS Mincho"/>
          <w:lang w:val="fr-CH"/>
        </w:rPr>
        <w:t xml:space="preserve"> secrétariat</w:t>
      </w:r>
      <w:r w:rsidR="00420546">
        <w:rPr>
          <w:rFonts w:eastAsia="MS Mincho"/>
          <w:lang w:val="fr-CH"/>
        </w:rPr>
        <w:t xml:space="preserve"> des trois autres conventions</w:t>
      </w:r>
      <w:r w:rsidR="00264A1C">
        <w:rPr>
          <w:rFonts w:eastAsia="MS Mincho"/>
          <w:lang w:val="fr-CH"/>
        </w:rPr>
        <w:t xml:space="preserve"> (lieux d’implantation : Genève)</w:t>
      </w:r>
      <w:r w:rsidR="00E34695">
        <w:rPr>
          <w:rFonts w:eastAsia="MS Mincho"/>
          <w:lang w:val="fr-CH"/>
        </w:rPr>
        <w:t xml:space="preserve"> </w:t>
      </w:r>
      <w:r w:rsidR="00264A1C">
        <w:rPr>
          <w:rFonts w:eastAsia="MS Mincho"/>
          <w:lang w:val="fr-CH"/>
        </w:rPr>
        <w:t>ou</w:t>
      </w:r>
      <w:r w:rsidR="006101A8">
        <w:rPr>
          <w:rFonts w:eastAsia="MS Mincho"/>
          <w:lang w:val="fr-CH"/>
        </w:rPr>
        <w:t xml:space="preserve"> le </w:t>
      </w:r>
      <w:r w:rsidR="008854B5">
        <w:rPr>
          <w:rFonts w:eastAsia="MS Mincho"/>
          <w:lang w:val="fr-CH"/>
        </w:rPr>
        <w:t>fusionnement</w:t>
      </w:r>
      <w:r w:rsidR="006101A8">
        <w:rPr>
          <w:rFonts w:eastAsia="MS Mincho"/>
          <w:lang w:val="fr-CH"/>
        </w:rPr>
        <w:t xml:space="preserve"> du secrétariat de</w:t>
      </w:r>
      <w:r w:rsidR="008B11EF">
        <w:rPr>
          <w:rFonts w:eastAsia="MS Mincho"/>
          <w:lang w:val="fr-CH"/>
        </w:rPr>
        <w:t xml:space="preserve"> la Convention de Minamata </w:t>
      </w:r>
      <w:r w:rsidR="008854B5">
        <w:rPr>
          <w:rFonts w:eastAsia="MS Mincho"/>
          <w:lang w:val="fr-CH"/>
        </w:rPr>
        <w:t>avec le</w:t>
      </w:r>
      <w:r w:rsidR="004C38F9">
        <w:rPr>
          <w:rFonts w:eastAsia="MS Mincho"/>
          <w:lang w:val="fr-CH"/>
        </w:rPr>
        <w:t xml:space="preserve"> secrétariat des</w:t>
      </w:r>
      <w:r w:rsidR="008B11EF">
        <w:rPr>
          <w:rFonts w:eastAsia="MS Mincho"/>
          <w:lang w:val="fr-CH"/>
        </w:rPr>
        <w:t xml:space="preserve"> conventions de Bâle, </w:t>
      </w:r>
      <w:r w:rsidR="006101A8">
        <w:rPr>
          <w:rFonts w:eastAsia="MS Mincho"/>
          <w:lang w:val="fr-CH"/>
        </w:rPr>
        <w:t xml:space="preserve">de </w:t>
      </w:r>
      <w:r w:rsidR="008B11EF">
        <w:rPr>
          <w:rFonts w:eastAsia="MS Mincho"/>
          <w:lang w:val="fr-CH"/>
        </w:rPr>
        <w:t xml:space="preserve">Rotterdam et </w:t>
      </w:r>
      <w:r w:rsidR="006101A8">
        <w:rPr>
          <w:rFonts w:eastAsia="MS Mincho"/>
          <w:lang w:val="fr-CH"/>
        </w:rPr>
        <w:t xml:space="preserve">de </w:t>
      </w:r>
      <w:r w:rsidR="008B11EF">
        <w:rPr>
          <w:rFonts w:eastAsia="MS Mincho"/>
          <w:lang w:val="fr-CH"/>
        </w:rPr>
        <w:t xml:space="preserve">Stockholm </w:t>
      </w:r>
      <w:r w:rsidR="004C38F9">
        <w:rPr>
          <w:rFonts w:eastAsia="MS Mincho"/>
          <w:lang w:val="fr-CH"/>
        </w:rPr>
        <w:t>par la création</w:t>
      </w:r>
      <w:r w:rsidR="008B11EF">
        <w:rPr>
          <w:rFonts w:eastAsia="MS Mincho"/>
          <w:lang w:val="fr-CH"/>
        </w:rPr>
        <w:t xml:space="preserve">, </w:t>
      </w:r>
      <w:r w:rsidR="00AE55C3">
        <w:rPr>
          <w:rFonts w:eastAsia="MS Mincho"/>
          <w:lang w:val="fr-CH"/>
        </w:rPr>
        <w:t>au cours de la période intérimaire</w:t>
      </w:r>
      <w:r w:rsidR="004C38F9">
        <w:rPr>
          <w:rFonts w:eastAsia="MS Mincho"/>
          <w:lang w:val="fr-CH"/>
        </w:rPr>
        <w:t>, d’un S</w:t>
      </w:r>
      <w:r w:rsidR="00422837">
        <w:rPr>
          <w:rFonts w:eastAsia="MS Mincho"/>
          <w:lang w:val="fr-CH"/>
        </w:rPr>
        <w:t>ervice</w:t>
      </w:r>
      <w:r w:rsidR="00AB5D9C">
        <w:rPr>
          <w:rFonts w:eastAsia="MS Mincho"/>
          <w:lang w:val="fr-CH"/>
        </w:rPr>
        <w:t xml:space="preserve"> </w:t>
      </w:r>
      <w:r w:rsidR="004C38F9">
        <w:rPr>
          <w:rFonts w:eastAsia="MS Mincho"/>
          <w:lang w:val="fr-CH"/>
        </w:rPr>
        <w:t xml:space="preserve">de la Convention de Minamata </w:t>
      </w:r>
      <w:r w:rsidR="00303649">
        <w:rPr>
          <w:rFonts w:eastAsia="MS Mincho"/>
          <w:lang w:val="fr-CH"/>
        </w:rPr>
        <w:t>au sein de celui</w:t>
      </w:r>
      <w:r w:rsidR="00303649">
        <w:rPr>
          <w:rFonts w:eastAsia="MS Mincho"/>
          <w:lang w:val="fr-CH"/>
        </w:rPr>
        <w:noBreakHyphen/>
        <w:t xml:space="preserve">ci </w:t>
      </w:r>
      <w:r w:rsidR="00AB5D9C">
        <w:rPr>
          <w:rFonts w:eastAsia="MS Mincho"/>
          <w:lang w:val="fr-CH"/>
        </w:rPr>
        <w:t>(lieux d’implantation : Genève)</w:t>
      </w:r>
      <w:r w:rsidR="00422837">
        <w:rPr>
          <w:rFonts w:eastAsia="MS Mincho"/>
          <w:lang w:val="fr-CH"/>
        </w:rPr>
        <w:t>.</w:t>
      </w:r>
    </w:p>
    <w:p w14:paraId="6D81A929" w14:textId="289D51AA" w:rsidR="00AB5D9C" w:rsidRPr="00AB5D9C" w:rsidRDefault="00783909" w:rsidP="00783909">
      <w:pPr>
        <w:pStyle w:val="CH3"/>
        <w:ind w:firstLine="0"/>
        <w:rPr>
          <w:rFonts w:eastAsia="MS Mincho"/>
          <w:lang w:val="fr-CH"/>
        </w:rPr>
      </w:pPr>
      <w:r>
        <w:rPr>
          <w:rFonts w:eastAsia="MS Mincho"/>
          <w:lang w:val="fr-CH"/>
        </w:rPr>
        <w:t>Option 1 </w:t>
      </w:r>
      <w:r w:rsidR="0041238C" w:rsidRPr="00AB5D9C">
        <w:rPr>
          <w:rFonts w:eastAsia="MS Mincho"/>
          <w:lang w:val="fr-CH"/>
        </w:rPr>
        <w:t>a)</w:t>
      </w:r>
      <w:r w:rsidR="00174A1C" w:rsidRPr="00AB5D9C">
        <w:rPr>
          <w:rFonts w:eastAsia="MS Mincho"/>
          <w:lang w:val="fr-CH"/>
        </w:rPr>
        <w:t xml:space="preserve"> </w:t>
      </w:r>
      <w:r w:rsidR="0042431C" w:rsidRPr="00AB5D9C">
        <w:rPr>
          <w:rFonts w:eastAsia="MS Mincho"/>
          <w:lang w:val="fr-CH"/>
        </w:rPr>
        <w:t>(</w:t>
      </w:r>
      <w:r w:rsidR="00AB5D9C" w:rsidRPr="00AB5D9C">
        <w:rPr>
          <w:rFonts w:eastAsia="MS Mincho"/>
          <w:lang w:val="fr-CH"/>
        </w:rPr>
        <w:t>fusionnement</w:t>
      </w:r>
      <w:r w:rsidR="0042431C" w:rsidRPr="00AB5D9C">
        <w:rPr>
          <w:rFonts w:eastAsia="MS Mincho"/>
          <w:lang w:val="fr-CH"/>
        </w:rPr>
        <w:t>)</w:t>
      </w:r>
      <w:r w:rsidR="00AB5D9C" w:rsidRPr="00AB5D9C">
        <w:rPr>
          <w:rFonts w:eastAsia="MS Mincho"/>
          <w:lang w:val="fr-CH"/>
        </w:rPr>
        <w:t> </w:t>
      </w:r>
      <w:r w:rsidR="0041238C" w:rsidRPr="00AB5D9C">
        <w:rPr>
          <w:rFonts w:eastAsia="MS Mincho"/>
          <w:lang w:val="fr-CH"/>
        </w:rPr>
        <w:t xml:space="preserve">: </w:t>
      </w:r>
      <w:r w:rsidR="00AB5D9C" w:rsidRPr="00AB5D9C">
        <w:rPr>
          <w:rFonts w:eastAsia="MS Mincho"/>
          <w:lang w:val="fr-CH"/>
        </w:rPr>
        <w:t xml:space="preserve">Incorporation des fonctions du </w:t>
      </w:r>
      <w:r w:rsidR="001C33FA">
        <w:rPr>
          <w:rFonts w:eastAsia="MS Mincho"/>
          <w:lang w:val="fr-CH"/>
        </w:rPr>
        <w:t>secré</w:t>
      </w:r>
      <w:r w:rsidR="00AB5D9C" w:rsidRPr="00AB5D9C">
        <w:rPr>
          <w:rFonts w:eastAsia="MS Mincho"/>
          <w:lang w:val="fr-CH"/>
        </w:rPr>
        <w:t xml:space="preserve">tariat de la Convention </w:t>
      </w:r>
      <w:r w:rsidR="00A2088D">
        <w:rPr>
          <w:rFonts w:eastAsia="MS Mincho"/>
          <w:lang w:val="fr-CH"/>
        </w:rPr>
        <w:br/>
      </w:r>
      <w:r w:rsidR="00AB5D9C" w:rsidRPr="00AB5D9C">
        <w:rPr>
          <w:rFonts w:eastAsia="MS Mincho"/>
          <w:lang w:val="fr-CH"/>
        </w:rPr>
        <w:t xml:space="preserve">de Minamata dans la structure actuelle du </w:t>
      </w:r>
      <w:r w:rsidR="002F5A2E">
        <w:rPr>
          <w:rFonts w:eastAsia="MS Mincho"/>
          <w:lang w:val="fr-CH"/>
        </w:rPr>
        <w:t>S</w:t>
      </w:r>
      <w:r w:rsidR="001C33FA">
        <w:rPr>
          <w:rFonts w:eastAsia="MS Mincho"/>
          <w:lang w:val="fr-CH"/>
        </w:rPr>
        <w:t>ecré</w:t>
      </w:r>
      <w:r w:rsidR="00AB5D9C" w:rsidRPr="00AB5D9C">
        <w:rPr>
          <w:rFonts w:eastAsia="MS Mincho"/>
          <w:lang w:val="fr-CH"/>
        </w:rPr>
        <w:t>tariat des conventions de B</w:t>
      </w:r>
      <w:r w:rsidR="00AB5D9C">
        <w:rPr>
          <w:rFonts w:eastAsia="MS Mincho"/>
          <w:lang w:val="fr-CH"/>
        </w:rPr>
        <w:t xml:space="preserve">âle, de Rotterdam et de Stockholm </w:t>
      </w:r>
    </w:p>
    <w:p w14:paraId="25029A57" w14:textId="10205FCA" w:rsidR="0041238C" w:rsidRPr="007E304A" w:rsidRDefault="0041238C" w:rsidP="0041238C">
      <w:pPr>
        <w:pStyle w:val="Normalnumber"/>
        <w:numPr>
          <w:ilvl w:val="0"/>
          <w:numId w:val="0"/>
        </w:numPr>
        <w:ind w:left="1247"/>
        <w:rPr>
          <w:rFonts w:eastAsia="MS Mincho"/>
        </w:rPr>
      </w:pPr>
      <w:r w:rsidRPr="007E304A">
        <w:rPr>
          <w:rFonts w:eastAsia="MS Mincho"/>
        </w:rPr>
        <w:t>L</w:t>
      </w:r>
      <w:r w:rsidR="00F07133">
        <w:rPr>
          <w:rFonts w:eastAsia="MS Mincho"/>
        </w:rPr>
        <w:t>ieu d’implantation</w:t>
      </w:r>
      <w:r w:rsidR="00A2088D">
        <w:rPr>
          <w:rFonts w:eastAsia="MS Mincho"/>
        </w:rPr>
        <w:t> </w:t>
      </w:r>
      <w:r w:rsidR="00F07133">
        <w:rPr>
          <w:rFonts w:eastAsia="MS Mincho"/>
        </w:rPr>
        <w:t>: Genève</w:t>
      </w:r>
    </w:p>
    <w:p w14:paraId="6FE7B885" w14:textId="77777777" w:rsidR="0041238C" w:rsidRPr="007E304A" w:rsidRDefault="0041238C" w:rsidP="00161024">
      <w:pPr>
        <w:pStyle w:val="Normalnumber"/>
        <w:numPr>
          <w:ilvl w:val="0"/>
          <w:numId w:val="0"/>
        </w:numPr>
        <w:ind w:left="1247"/>
        <w:outlineLvl w:val="0"/>
        <w:rPr>
          <w:rFonts w:eastAsia="MS Mincho"/>
          <w:b/>
          <w:bCs/>
        </w:rPr>
      </w:pPr>
      <w:r w:rsidRPr="007E304A">
        <w:rPr>
          <w:rFonts w:eastAsia="MS Mincho"/>
          <w:b/>
          <w:bCs/>
        </w:rPr>
        <w:lastRenderedPageBreak/>
        <w:t>Structure</w:t>
      </w:r>
    </w:p>
    <w:p w14:paraId="11F7EC8F" w14:textId="2FBB97D4" w:rsidR="005055F6" w:rsidRPr="005055F6" w:rsidRDefault="0055090B"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Cette option prévoit</w:t>
      </w:r>
      <w:r w:rsidR="00F642E6">
        <w:rPr>
          <w:rFonts w:eastAsia="MS Mincho"/>
          <w:lang w:val="fr-CH"/>
        </w:rPr>
        <w:t xml:space="preserve"> une incorporation</w:t>
      </w:r>
      <w:r>
        <w:rPr>
          <w:rFonts w:eastAsia="MS Mincho"/>
          <w:lang w:val="fr-CH"/>
        </w:rPr>
        <w:t xml:space="preserve"> total</w:t>
      </w:r>
      <w:r w:rsidR="00F642E6">
        <w:rPr>
          <w:rFonts w:eastAsia="MS Mincho"/>
          <w:lang w:val="fr-CH"/>
        </w:rPr>
        <w:t>e</w:t>
      </w:r>
      <w:r>
        <w:rPr>
          <w:rFonts w:eastAsia="MS Mincho"/>
          <w:lang w:val="fr-CH"/>
        </w:rPr>
        <w:t xml:space="preserve"> d</w:t>
      </w:r>
      <w:r w:rsidR="005055F6" w:rsidRPr="005055F6">
        <w:rPr>
          <w:rFonts w:eastAsia="MS Mincho"/>
          <w:lang w:val="fr-CH"/>
        </w:rPr>
        <w:t xml:space="preserve">es fonctions du </w:t>
      </w:r>
      <w:r w:rsidR="00CF6763">
        <w:rPr>
          <w:rFonts w:eastAsia="MS Mincho"/>
          <w:lang w:val="fr-CH"/>
        </w:rPr>
        <w:t>secré</w:t>
      </w:r>
      <w:r w:rsidR="005055F6" w:rsidRPr="005055F6">
        <w:rPr>
          <w:rFonts w:eastAsia="MS Mincho"/>
          <w:lang w:val="fr-CH"/>
        </w:rPr>
        <w:t xml:space="preserve">tariat </w:t>
      </w:r>
      <w:r w:rsidR="0055581E">
        <w:rPr>
          <w:rFonts w:eastAsia="MS Mincho"/>
          <w:lang w:val="fr-CH"/>
        </w:rPr>
        <w:t>de la Convention de Mina</w:t>
      </w:r>
      <w:r w:rsidR="005055F6" w:rsidRPr="005055F6">
        <w:rPr>
          <w:rFonts w:eastAsia="MS Mincho"/>
          <w:lang w:val="fr-CH"/>
        </w:rPr>
        <w:t xml:space="preserve">mata </w:t>
      </w:r>
      <w:r w:rsidR="00F642E6">
        <w:rPr>
          <w:rFonts w:eastAsia="MS Mincho"/>
          <w:lang w:val="fr-CH"/>
        </w:rPr>
        <w:t xml:space="preserve">dans </w:t>
      </w:r>
      <w:r w:rsidR="005055F6" w:rsidRPr="005055F6">
        <w:rPr>
          <w:rFonts w:eastAsia="MS Mincho"/>
          <w:lang w:val="fr-CH"/>
        </w:rPr>
        <w:t xml:space="preserve">la structure actuelle du </w:t>
      </w:r>
      <w:r w:rsidR="00CF6763">
        <w:rPr>
          <w:rFonts w:eastAsia="MS Mincho"/>
          <w:lang w:val="fr-CH"/>
        </w:rPr>
        <w:t>secré</w:t>
      </w:r>
      <w:r w:rsidR="005055F6" w:rsidRPr="005055F6">
        <w:rPr>
          <w:rFonts w:eastAsia="MS Mincho"/>
          <w:lang w:val="fr-CH"/>
        </w:rPr>
        <w:t xml:space="preserve">tariat des conventions de </w:t>
      </w:r>
      <w:r w:rsidR="005055F6">
        <w:rPr>
          <w:rFonts w:eastAsia="MS Mincho"/>
          <w:lang w:val="fr-CH"/>
        </w:rPr>
        <w:t xml:space="preserve">Bâle, </w:t>
      </w:r>
      <w:r w:rsidR="00F642E6">
        <w:rPr>
          <w:rFonts w:eastAsia="MS Mincho"/>
          <w:lang w:val="fr-CH"/>
        </w:rPr>
        <w:t xml:space="preserve">de </w:t>
      </w:r>
      <w:r w:rsidR="005055F6">
        <w:rPr>
          <w:rFonts w:eastAsia="MS Mincho"/>
          <w:lang w:val="fr-CH"/>
        </w:rPr>
        <w:t xml:space="preserve">Rotterdam et </w:t>
      </w:r>
      <w:r w:rsidR="00F642E6">
        <w:rPr>
          <w:rFonts w:eastAsia="MS Mincho"/>
          <w:lang w:val="fr-CH"/>
        </w:rPr>
        <w:t xml:space="preserve">de </w:t>
      </w:r>
      <w:r w:rsidR="005055F6">
        <w:rPr>
          <w:rFonts w:eastAsia="MS Mincho"/>
          <w:lang w:val="fr-CH"/>
        </w:rPr>
        <w:t xml:space="preserve">Stockholm. </w:t>
      </w:r>
      <w:r w:rsidR="002E001D">
        <w:rPr>
          <w:rFonts w:eastAsia="MS Mincho"/>
          <w:lang w:val="fr-CH"/>
        </w:rPr>
        <w:t>Les fonctions</w:t>
      </w:r>
      <w:r w:rsidR="00AB43CC">
        <w:rPr>
          <w:rFonts w:eastAsia="MS Mincho"/>
          <w:lang w:val="fr-CH"/>
        </w:rPr>
        <w:t xml:space="preserve"> exercées </w:t>
      </w:r>
      <w:r w:rsidR="002E001D">
        <w:rPr>
          <w:rFonts w:eastAsia="MS Mincho"/>
          <w:lang w:val="fr-CH"/>
        </w:rPr>
        <w:t xml:space="preserve">pour la Convention de Minamata et tous les autres postes correspondants seraient répartis entre les trois services du </w:t>
      </w:r>
      <w:r w:rsidR="00AB43CC">
        <w:rPr>
          <w:rFonts w:eastAsia="MS Mincho"/>
          <w:lang w:val="fr-CH"/>
        </w:rPr>
        <w:t xml:space="preserve">secrétariat </w:t>
      </w:r>
      <w:r w:rsidR="00AB43CC" w:rsidRPr="002E001D">
        <w:rPr>
          <w:lang w:val="fr-CH"/>
        </w:rPr>
        <w:t xml:space="preserve">(Service des opérations, Service de l’assistance technique et Service de l’appui scientifique) </w:t>
      </w:r>
      <w:r w:rsidR="008C7B8F">
        <w:rPr>
          <w:lang w:val="fr-CH"/>
        </w:rPr>
        <w:t>et le</w:t>
      </w:r>
      <w:r w:rsidR="00AB43CC" w:rsidRPr="002E001D">
        <w:rPr>
          <w:lang w:val="fr-CH"/>
        </w:rPr>
        <w:t xml:space="preserve"> Bureau exécutif du secrétariat de ces conventions.</w:t>
      </w:r>
      <w:r w:rsidR="00A60B76">
        <w:rPr>
          <w:lang w:val="fr-CH"/>
        </w:rPr>
        <w:t xml:space="preserve"> Les fonctions du secrétariat de la Convention de Minamata seraient exercées au sein de cette structure. La structure actuelle du secrétariat des conventions de Bâle, </w:t>
      </w:r>
      <w:r w:rsidR="00EF3978">
        <w:rPr>
          <w:lang w:val="fr-CH"/>
        </w:rPr>
        <w:t xml:space="preserve">de </w:t>
      </w:r>
      <w:r w:rsidR="00A60B76">
        <w:rPr>
          <w:lang w:val="fr-CH"/>
        </w:rPr>
        <w:t xml:space="preserve">Rotterdam et </w:t>
      </w:r>
      <w:r w:rsidR="00EF3978">
        <w:rPr>
          <w:lang w:val="fr-CH"/>
        </w:rPr>
        <w:t xml:space="preserve">de </w:t>
      </w:r>
      <w:r w:rsidR="00A60B76">
        <w:rPr>
          <w:lang w:val="fr-CH"/>
        </w:rPr>
        <w:t xml:space="preserve">Stockholm </w:t>
      </w:r>
      <w:r w:rsidR="008C7B8F">
        <w:rPr>
          <w:lang w:val="fr-CH"/>
        </w:rPr>
        <w:t>figure</w:t>
      </w:r>
      <w:r w:rsidR="00A60B76">
        <w:rPr>
          <w:lang w:val="fr-CH"/>
        </w:rPr>
        <w:t xml:space="preserve"> à l’a</w:t>
      </w:r>
      <w:r w:rsidR="00095742">
        <w:rPr>
          <w:lang w:val="fr-CH"/>
        </w:rPr>
        <w:t>ppendic</w:t>
      </w:r>
      <w:r w:rsidR="00A60B76">
        <w:rPr>
          <w:lang w:val="fr-CH"/>
        </w:rPr>
        <w:t xml:space="preserve">e III du présent rapport. </w:t>
      </w:r>
    </w:p>
    <w:p w14:paraId="6C093092" w14:textId="410FBA5C" w:rsidR="00ED559F" w:rsidRPr="0067176F" w:rsidRDefault="008C7B8F" w:rsidP="0067176F">
      <w:pPr>
        <w:pStyle w:val="CH4"/>
        <w:ind w:firstLine="0"/>
        <w:outlineLvl w:val="0"/>
        <w:rPr>
          <w:rFonts w:eastAsia="MS Mincho"/>
        </w:rPr>
      </w:pPr>
      <w:r>
        <w:rPr>
          <w:rFonts w:eastAsia="MS Mincho"/>
        </w:rPr>
        <w:t>Dotation en personnel</w:t>
      </w:r>
    </w:p>
    <w:p w14:paraId="136D424D" w14:textId="3CA9D21F" w:rsidR="0067176F" w:rsidRPr="00F73BE5" w:rsidRDefault="0067176F" w:rsidP="00F73BE5">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67176F">
        <w:rPr>
          <w:rFonts w:eastAsia="MS Mincho"/>
          <w:lang w:val="fr-CH"/>
        </w:rPr>
        <w:t xml:space="preserve">Cette option prévoit l’incorporation des fonctions du </w:t>
      </w:r>
      <w:r w:rsidR="0050700D">
        <w:rPr>
          <w:rFonts w:eastAsia="MS Mincho"/>
          <w:lang w:val="fr-CH"/>
        </w:rPr>
        <w:t>secré</w:t>
      </w:r>
      <w:r w:rsidRPr="0067176F">
        <w:rPr>
          <w:rFonts w:eastAsia="MS Mincho"/>
          <w:lang w:val="fr-CH"/>
        </w:rPr>
        <w:t>tariat de l</w:t>
      </w:r>
      <w:r w:rsidR="00095742">
        <w:rPr>
          <w:rFonts w:eastAsia="MS Mincho"/>
          <w:lang w:val="fr-CH"/>
        </w:rPr>
        <w:t>a Convention de Minamata dans la structure actuelle du secrétariat</w:t>
      </w:r>
      <w:r w:rsidRPr="0067176F">
        <w:rPr>
          <w:rFonts w:eastAsia="MS Mincho"/>
          <w:lang w:val="fr-CH"/>
        </w:rPr>
        <w:t xml:space="preserve"> conjoint tandis que les emplois du temps et les dépenses </w:t>
      </w:r>
      <w:r w:rsidR="00D605A5">
        <w:rPr>
          <w:rFonts w:eastAsia="MS Mincho"/>
          <w:lang w:val="fr-CH"/>
        </w:rPr>
        <w:t xml:space="preserve">afférentes à tous les postes des secrétariats fusionnés seraient déterminés et approuvés par chacune des conférences des Parties des quatre conventions. </w:t>
      </w:r>
      <w:r w:rsidR="00C15C50">
        <w:rPr>
          <w:rFonts w:eastAsia="MS Mincho"/>
          <w:lang w:val="fr-CH"/>
        </w:rPr>
        <w:t xml:space="preserve">Il est prévu que la Convention de Minamata </w:t>
      </w:r>
      <w:r w:rsidR="00006D9A">
        <w:rPr>
          <w:rFonts w:eastAsia="MS Mincho"/>
          <w:lang w:val="fr-CH"/>
        </w:rPr>
        <w:t xml:space="preserve">acquitte 20 % de la rémunération du poste </w:t>
      </w:r>
      <w:r w:rsidR="00021376">
        <w:rPr>
          <w:rFonts w:eastAsia="MS Mincho"/>
          <w:lang w:val="fr-CH"/>
        </w:rPr>
        <w:t xml:space="preserve">de Secrétaire exécutif et du poste </w:t>
      </w:r>
      <w:r w:rsidR="00006D9A">
        <w:rPr>
          <w:rFonts w:eastAsia="MS Mincho"/>
          <w:lang w:val="fr-CH"/>
        </w:rPr>
        <w:t xml:space="preserve">de Secrétaire exécutif adjoint ainsi que 20 % des rémunérations des postes restants actuellement inscrits au budget des fonds généraux d’affectation spéciale des trois conventions. </w:t>
      </w:r>
      <w:r w:rsidR="00BC79A9">
        <w:rPr>
          <w:rFonts w:eastAsia="MS Mincho"/>
          <w:lang w:val="fr-FR"/>
        </w:rPr>
        <w:t>Les 20 % correspondant aux postes du personnel de la Convention de Minamata ont été déterminés compte tenu du volume d’activités prévu des différentes conventions. Les</w:t>
      </w:r>
      <w:r w:rsidR="0050700D">
        <w:rPr>
          <w:rFonts w:eastAsia="MS Mincho"/>
          <w:lang w:val="fr-FR"/>
        </w:rPr>
        <w:t xml:space="preserve"> 80 % </w:t>
      </w:r>
      <w:r w:rsidR="00095742">
        <w:rPr>
          <w:rFonts w:eastAsia="MS Mincho"/>
          <w:lang w:val="fr-FR"/>
        </w:rPr>
        <w:t xml:space="preserve">restants </w:t>
      </w:r>
      <w:r w:rsidR="0050700D">
        <w:rPr>
          <w:rFonts w:eastAsia="MS Mincho"/>
          <w:lang w:val="fr-FR"/>
        </w:rPr>
        <w:t xml:space="preserve">seront alloués à la mise en œuvre des programmes de travail des conventions de Bâle, </w:t>
      </w:r>
      <w:r w:rsidR="00095742">
        <w:rPr>
          <w:rFonts w:eastAsia="MS Mincho"/>
          <w:lang w:val="fr-FR"/>
        </w:rPr>
        <w:t xml:space="preserve">de </w:t>
      </w:r>
      <w:r w:rsidR="0050700D">
        <w:rPr>
          <w:rFonts w:eastAsia="MS Mincho"/>
          <w:lang w:val="fr-FR"/>
        </w:rPr>
        <w:t xml:space="preserve">Rotterdam et </w:t>
      </w:r>
      <w:r w:rsidR="00095742">
        <w:rPr>
          <w:rFonts w:eastAsia="MS Mincho"/>
          <w:lang w:val="fr-FR"/>
        </w:rPr>
        <w:t xml:space="preserve">de </w:t>
      </w:r>
      <w:r w:rsidR="0050700D">
        <w:rPr>
          <w:rFonts w:eastAsia="MS Mincho"/>
          <w:lang w:val="fr-FR"/>
        </w:rPr>
        <w:t xml:space="preserve">Stockholm. </w:t>
      </w:r>
    </w:p>
    <w:p w14:paraId="0B9920C4" w14:textId="64215C8D" w:rsidR="00F73BE5" w:rsidRPr="009C590F" w:rsidRDefault="001B4D95" w:rsidP="009C590F">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9C590F">
        <w:rPr>
          <w:rFonts w:eastAsia="MS Mincho"/>
          <w:lang w:val="fr-CH"/>
        </w:rPr>
        <w:t>De ce fait, les fonctions de Secrétaire exécutif, de Secrétaire exécutif adjoint et de Chefs de services ainsi que nombre des fonctions exécutées aux fins de plus d’une convention, telles que la coordination des réunions, l’assistance juridique, la gouvernance, l’assistance technique et le renforcement des capacités, l’appui scientifique, la communication et la sensibilisation du public, la gestion de l’information et la technologie, l’administration, les questions financières, les ressources humaines et la mobilisation des ressources, seront assumées par le personnel en place, 20 % du coût étant acquittée par la Convention de Minamata.</w:t>
      </w:r>
      <w:r w:rsidR="00B04AA9" w:rsidRPr="009C590F">
        <w:rPr>
          <w:rFonts w:eastAsia="MS Mincho"/>
          <w:lang w:val="fr-CH"/>
        </w:rPr>
        <w:t xml:space="preserve"> Il convient de noter </w:t>
      </w:r>
      <w:r w:rsidR="0088200B" w:rsidRPr="009C590F">
        <w:rPr>
          <w:rFonts w:eastAsia="MS Mincho"/>
          <w:lang w:val="fr-CH"/>
        </w:rPr>
        <w:t xml:space="preserve">que les fonctions </w:t>
      </w:r>
      <w:r w:rsidR="00273D13" w:rsidRPr="009C590F">
        <w:rPr>
          <w:rFonts w:eastAsia="MS Mincho"/>
          <w:lang w:val="fr-CH"/>
        </w:rPr>
        <w:t xml:space="preserve">administratives et de gestion des fonds devront être financées par les </w:t>
      </w:r>
      <w:r w:rsidR="00C14891" w:rsidRPr="009C590F">
        <w:rPr>
          <w:rFonts w:eastAsia="MS Mincho"/>
          <w:lang w:val="fr-CH"/>
        </w:rPr>
        <w:t xml:space="preserve">dépenses d’appui au programme </w:t>
      </w:r>
      <w:r w:rsidR="00437E02" w:rsidRPr="009C590F">
        <w:rPr>
          <w:rFonts w:eastAsia="MS Mincho"/>
          <w:lang w:val="fr-CH"/>
        </w:rPr>
        <w:t>de</w:t>
      </w:r>
      <w:r w:rsidR="00C14891" w:rsidRPr="009C590F">
        <w:rPr>
          <w:rFonts w:eastAsia="MS Mincho"/>
          <w:lang w:val="fr-CH"/>
        </w:rPr>
        <w:t xml:space="preserve"> la Convention</w:t>
      </w:r>
      <w:r w:rsidR="00D15EFE" w:rsidRPr="009C590F">
        <w:rPr>
          <w:rFonts w:eastAsia="MS Mincho"/>
          <w:lang w:val="fr-CH"/>
        </w:rPr>
        <w:t xml:space="preserve"> de Minamata et ne seront pas </w:t>
      </w:r>
      <w:r w:rsidR="00BF31B8">
        <w:rPr>
          <w:rFonts w:eastAsia="MS Mincho"/>
          <w:lang w:val="fr-CH"/>
        </w:rPr>
        <w:t>répartie</w:t>
      </w:r>
      <w:r w:rsidR="00D15EFE" w:rsidRPr="009C590F">
        <w:rPr>
          <w:rFonts w:eastAsia="MS Mincho"/>
          <w:lang w:val="fr-CH"/>
        </w:rPr>
        <w:t xml:space="preserve">s entre les </w:t>
      </w:r>
      <w:r w:rsidR="00437E02" w:rsidRPr="009C590F">
        <w:rPr>
          <w:rFonts w:eastAsia="MS Mincho"/>
          <w:lang w:val="fr-CH"/>
        </w:rPr>
        <w:t xml:space="preserve">différentes </w:t>
      </w:r>
      <w:r w:rsidR="00D15EFE" w:rsidRPr="009C590F">
        <w:rPr>
          <w:rFonts w:eastAsia="MS Mincho"/>
          <w:lang w:val="fr-CH"/>
        </w:rPr>
        <w:t xml:space="preserve">conventions. </w:t>
      </w:r>
      <w:r w:rsidR="00D67B74" w:rsidRPr="009C590F">
        <w:rPr>
          <w:rFonts w:eastAsia="MS Mincho"/>
          <w:lang w:val="fr-CH"/>
        </w:rPr>
        <w:t>Un p</w:t>
      </w:r>
      <w:r w:rsidR="009C590F" w:rsidRPr="009C590F">
        <w:rPr>
          <w:rFonts w:eastAsia="MS Mincho"/>
          <w:lang w:val="fr-CH"/>
        </w:rPr>
        <w:t xml:space="preserve">oste de fonctionnaire d’administration et de </w:t>
      </w:r>
      <w:r w:rsidR="00D67B74" w:rsidRPr="009C590F">
        <w:rPr>
          <w:rFonts w:eastAsia="MS Mincho"/>
          <w:lang w:val="fr-CH"/>
        </w:rPr>
        <w:t>gestion des fonds (P-3) et un poste d’agent des services généraux seront créés et financé</w:t>
      </w:r>
      <w:r w:rsidR="00726A4D" w:rsidRPr="009C590F">
        <w:rPr>
          <w:rFonts w:eastAsia="MS Mincho"/>
          <w:lang w:val="fr-CH"/>
        </w:rPr>
        <w:t>s par</w:t>
      </w:r>
      <w:r w:rsidR="00451335">
        <w:rPr>
          <w:rFonts w:eastAsia="MS Mincho"/>
          <w:lang w:val="fr-CH"/>
        </w:rPr>
        <w:t xml:space="preserve"> des prélèvements sur</w:t>
      </w:r>
      <w:r w:rsidR="00726A4D" w:rsidRPr="009C590F">
        <w:rPr>
          <w:rFonts w:eastAsia="MS Mincho"/>
          <w:lang w:val="fr-CH"/>
        </w:rPr>
        <w:t xml:space="preserve"> les</w:t>
      </w:r>
      <w:r w:rsidR="00DF4D67" w:rsidRPr="009C590F">
        <w:rPr>
          <w:rFonts w:eastAsia="MS Mincho"/>
          <w:lang w:val="fr-CH"/>
        </w:rPr>
        <w:t xml:space="preserve"> dépenses d’appui au programme </w:t>
      </w:r>
      <w:r w:rsidR="00437E02" w:rsidRPr="009C590F">
        <w:rPr>
          <w:rFonts w:eastAsia="MS Mincho"/>
          <w:lang w:val="fr-CH"/>
        </w:rPr>
        <w:t>de</w:t>
      </w:r>
      <w:r w:rsidR="00DF4D67" w:rsidRPr="009C590F">
        <w:rPr>
          <w:rFonts w:eastAsia="MS Mincho"/>
          <w:lang w:val="fr-CH"/>
        </w:rPr>
        <w:t xml:space="preserve"> la Convention de Minamata.</w:t>
      </w:r>
    </w:p>
    <w:p w14:paraId="6D3D7C51" w14:textId="76E8D390" w:rsidR="002203A5" w:rsidRPr="00BF5269" w:rsidRDefault="002203A5" w:rsidP="002203A5">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2203A5">
        <w:rPr>
          <w:rFonts w:eastAsia="MS Mincho"/>
          <w:lang w:val="fr-FR"/>
        </w:rPr>
        <w:t xml:space="preserve">S’agissant du personnel supplémentaire nécessaire au </w:t>
      </w:r>
      <w:r w:rsidR="004E5BB6">
        <w:rPr>
          <w:rFonts w:eastAsia="MS Mincho"/>
          <w:lang w:val="fr-FR"/>
        </w:rPr>
        <w:t xml:space="preserve">nouveau </w:t>
      </w:r>
      <w:r w:rsidR="00735BFD">
        <w:rPr>
          <w:rFonts w:eastAsia="MS Mincho"/>
          <w:lang w:val="fr-FR"/>
        </w:rPr>
        <w:t>secrétariat</w:t>
      </w:r>
      <w:r w:rsidRPr="002203A5">
        <w:rPr>
          <w:rFonts w:eastAsia="MS Mincho"/>
          <w:lang w:val="fr-FR"/>
        </w:rPr>
        <w:t>, les postes ci-après</w:t>
      </w:r>
      <w:r w:rsidR="004E5BB6">
        <w:rPr>
          <w:rFonts w:eastAsia="MS Mincho"/>
          <w:lang w:val="fr-FR"/>
        </w:rPr>
        <w:t xml:space="preserve"> devront être pourvus :</w:t>
      </w:r>
      <w:r w:rsidR="00021376">
        <w:rPr>
          <w:rFonts w:eastAsia="MS Mincho"/>
          <w:lang w:val="fr-FR"/>
        </w:rPr>
        <w:t xml:space="preserve"> un poste </w:t>
      </w:r>
      <w:r w:rsidRPr="002203A5">
        <w:rPr>
          <w:rFonts w:eastAsia="MS Mincho"/>
          <w:lang w:val="fr-FR"/>
        </w:rPr>
        <w:t>P-4 (</w:t>
      </w:r>
      <w:r w:rsidR="008A0B2A">
        <w:rPr>
          <w:rFonts w:eastAsia="MS Mincho"/>
          <w:lang w:val="fr-FR"/>
        </w:rPr>
        <w:t xml:space="preserve">appui </w:t>
      </w:r>
      <w:r w:rsidRPr="002203A5">
        <w:rPr>
          <w:rFonts w:eastAsia="MS Mincho"/>
          <w:lang w:val="fr-FR"/>
        </w:rPr>
        <w:t xml:space="preserve">scientifique), </w:t>
      </w:r>
      <w:r w:rsidR="00D52962">
        <w:rPr>
          <w:rFonts w:eastAsia="MS Mincho"/>
          <w:lang w:val="fr-FR"/>
        </w:rPr>
        <w:t>u</w:t>
      </w:r>
      <w:r w:rsidR="00021376">
        <w:rPr>
          <w:rFonts w:eastAsia="MS Mincho"/>
          <w:lang w:val="fr-FR"/>
        </w:rPr>
        <w:t xml:space="preserve">n poste </w:t>
      </w:r>
      <w:r w:rsidR="00D52962">
        <w:rPr>
          <w:rFonts w:eastAsia="MS Mincho"/>
          <w:lang w:val="fr-FR"/>
        </w:rPr>
        <w:t>P-4 (renforcement des capacités</w:t>
      </w:r>
      <w:r w:rsidR="008A0B2A">
        <w:rPr>
          <w:rFonts w:eastAsia="MS Mincho"/>
          <w:lang w:val="fr-FR"/>
        </w:rPr>
        <w:t xml:space="preserve"> et a</w:t>
      </w:r>
      <w:r w:rsidR="00B932A3">
        <w:rPr>
          <w:rFonts w:eastAsia="MS Mincho"/>
          <w:lang w:val="fr-FR"/>
        </w:rPr>
        <w:t>ppui</w:t>
      </w:r>
      <w:r w:rsidR="008A0B2A">
        <w:rPr>
          <w:rFonts w:eastAsia="MS Mincho"/>
          <w:lang w:val="fr-FR"/>
        </w:rPr>
        <w:t xml:space="preserve"> technique</w:t>
      </w:r>
      <w:r w:rsidR="00D52962">
        <w:rPr>
          <w:rFonts w:eastAsia="MS Mincho"/>
          <w:lang w:val="fr-FR"/>
        </w:rPr>
        <w:t xml:space="preserve">), </w:t>
      </w:r>
      <w:r w:rsidR="00021376">
        <w:rPr>
          <w:rFonts w:eastAsia="MS Mincho"/>
          <w:lang w:val="fr-FR"/>
        </w:rPr>
        <w:t xml:space="preserve">un poste </w:t>
      </w:r>
      <w:r w:rsidRPr="002203A5">
        <w:rPr>
          <w:rFonts w:eastAsia="MS Mincho"/>
          <w:lang w:val="fr-FR"/>
        </w:rPr>
        <w:t>P-3 (</w:t>
      </w:r>
      <w:r w:rsidR="008A0B2A">
        <w:rPr>
          <w:rFonts w:eastAsia="MS Mincho"/>
          <w:lang w:val="fr-FR"/>
        </w:rPr>
        <w:t>appui scientifique</w:t>
      </w:r>
      <w:r w:rsidRPr="002203A5">
        <w:rPr>
          <w:rFonts w:eastAsia="MS Mincho"/>
          <w:lang w:val="fr-FR"/>
        </w:rPr>
        <w:t>),</w:t>
      </w:r>
      <w:r w:rsidR="00021376">
        <w:rPr>
          <w:rFonts w:eastAsia="MS Mincho"/>
          <w:lang w:val="fr-FR"/>
        </w:rPr>
        <w:t xml:space="preserve"> un poste </w:t>
      </w:r>
      <w:r w:rsidR="00B932A3">
        <w:rPr>
          <w:rFonts w:eastAsia="MS Mincho"/>
          <w:lang w:val="fr-FR"/>
        </w:rPr>
        <w:t>P-3 (renforcement des capacités et assistance technique),</w:t>
      </w:r>
      <w:r w:rsidR="00021376">
        <w:rPr>
          <w:rFonts w:eastAsia="MS Mincho"/>
          <w:lang w:val="fr-FR"/>
        </w:rPr>
        <w:t xml:space="preserve"> un poste</w:t>
      </w:r>
      <w:r w:rsidRPr="002203A5">
        <w:rPr>
          <w:rFonts w:eastAsia="MS Mincho"/>
          <w:lang w:val="fr-FR"/>
        </w:rPr>
        <w:t xml:space="preserve"> P-3 (coordination des réunions) et </w:t>
      </w:r>
      <w:r w:rsidR="00735BFD">
        <w:rPr>
          <w:rFonts w:eastAsia="MS Mincho"/>
          <w:lang w:val="fr-FR"/>
        </w:rPr>
        <w:t>quatre</w:t>
      </w:r>
      <w:r w:rsidRPr="002203A5">
        <w:rPr>
          <w:rFonts w:eastAsia="MS Mincho"/>
          <w:lang w:val="fr-FR"/>
        </w:rPr>
        <w:t xml:space="preserve"> postes de la catégorie des services généraux. Ces postes</w:t>
      </w:r>
      <w:r w:rsidR="00CA321B">
        <w:rPr>
          <w:rFonts w:eastAsia="MS Mincho"/>
          <w:lang w:val="fr-FR"/>
        </w:rPr>
        <w:t>,</w:t>
      </w:r>
      <w:r w:rsidRPr="002203A5">
        <w:rPr>
          <w:rFonts w:eastAsia="MS Mincho"/>
          <w:lang w:val="fr-FR"/>
        </w:rPr>
        <w:t xml:space="preserve"> </w:t>
      </w:r>
      <w:r w:rsidR="00021376">
        <w:rPr>
          <w:rFonts w:eastAsia="MS Mincho"/>
          <w:lang w:val="fr-FR"/>
        </w:rPr>
        <w:t>qui fourniraie</w:t>
      </w:r>
      <w:r w:rsidR="0087346E">
        <w:rPr>
          <w:rFonts w:eastAsia="MS Mincho"/>
          <w:lang w:val="fr-FR"/>
        </w:rPr>
        <w:t>nt des services à</w:t>
      </w:r>
      <w:r w:rsidR="00CA321B">
        <w:rPr>
          <w:rFonts w:eastAsia="MS Mincho"/>
          <w:lang w:val="fr-FR"/>
        </w:rPr>
        <w:t xml:space="preserve"> toutes les conventions,</w:t>
      </w:r>
      <w:r w:rsidR="00735BFD">
        <w:rPr>
          <w:rFonts w:eastAsia="MS Mincho"/>
          <w:lang w:val="fr-FR"/>
        </w:rPr>
        <w:t xml:space="preserve"> </w:t>
      </w:r>
      <w:r w:rsidRPr="002203A5">
        <w:rPr>
          <w:rFonts w:eastAsia="MS Mincho"/>
          <w:lang w:val="fr-FR"/>
        </w:rPr>
        <w:t xml:space="preserve">supposent des dépenses supplémentaires pour les Parties aux quatre conventions </w:t>
      </w:r>
      <w:r w:rsidR="00CA321B">
        <w:rPr>
          <w:rFonts w:eastAsia="MS Mincho"/>
          <w:lang w:val="fr-FR"/>
        </w:rPr>
        <w:t>qui</w:t>
      </w:r>
      <w:r w:rsidRPr="002203A5">
        <w:rPr>
          <w:rFonts w:eastAsia="MS Mincho"/>
          <w:lang w:val="fr-FR"/>
        </w:rPr>
        <w:t xml:space="preserve"> seraient </w:t>
      </w:r>
      <w:r w:rsidR="00CA321B">
        <w:rPr>
          <w:rFonts w:eastAsia="MS Mincho"/>
          <w:lang w:val="fr-FR"/>
        </w:rPr>
        <w:t>couverte</w:t>
      </w:r>
      <w:r w:rsidRPr="002203A5">
        <w:rPr>
          <w:rFonts w:eastAsia="MS Mincho"/>
          <w:lang w:val="fr-FR"/>
        </w:rPr>
        <w:t>s par le partage des coûts prévu par les qua</w:t>
      </w:r>
      <w:r w:rsidR="00383BB4">
        <w:rPr>
          <w:rFonts w:eastAsia="MS Mincho"/>
          <w:lang w:val="fr-FR"/>
        </w:rPr>
        <w:t>tre conventions :</w:t>
      </w:r>
      <w:r w:rsidRPr="002203A5">
        <w:rPr>
          <w:rFonts w:eastAsia="MS Mincho"/>
          <w:lang w:val="fr-FR"/>
        </w:rPr>
        <w:t xml:space="preserve"> la Convention de Minamata devrait acquitter </w:t>
      </w:r>
      <w:r w:rsidR="002D5E5E">
        <w:rPr>
          <w:rFonts w:eastAsia="MS Mincho"/>
          <w:lang w:val="fr-FR"/>
        </w:rPr>
        <w:t xml:space="preserve">20 % des postes </w:t>
      </w:r>
      <w:r w:rsidR="002D5E5E" w:rsidRPr="002D5E5E">
        <w:rPr>
          <w:lang w:val="fr-CH"/>
        </w:rPr>
        <w:t>actuellement inscrits au budget des fonds généraux d’affectation</w:t>
      </w:r>
      <w:r w:rsidR="0093441D">
        <w:rPr>
          <w:lang w:val="fr-CH"/>
        </w:rPr>
        <w:t xml:space="preserve"> spéciale des trois conventions de Bâle, </w:t>
      </w:r>
      <w:r w:rsidR="00BF31B8">
        <w:rPr>
          <w:lang w:val="fr-CH"/>
        </w:rPr>
        <w:t xml:space="preserve">de </w:t>
      </w:r>
      <w:r w:rsidR="0093441D">
        <w:rPr>
          <w:lang w:val="fr-CH"/>
        </w:rPr>
        <w:t xml:space="preserve">Rotterdam et </w:t>
      </w:r>
      <w:r w:rsidR="00BF31B8">
        <w:rPr>
          <w:lang w:val="fr-CH"/>
        </w:rPr>
        <w:t xml:space="preserve">de </w:t>
      </w:r>
      <w:r w:rsidR="0093441D">
        <w:rPr>
          <w:lang w:val="fr-CH"/>
        </w:rPr>
        <w:t>Stockholm, ainsi que des nouveaux postes.</w:t>
      </w:r>
    </w:p>
    <w:p w14:paraId="130765BC" w14:textId="7AC9212B" w:rsidR="0041238C" w:rsidRPr="00BF5269" w:rsidRDefault="00BF5269" w:rsidP="0093441D">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BF5269">
        <w:rPr>
          <w:lang w:val="fr-CH"/>
        </w:rPr>
        <w:t xml:space="preserve">Les économies que cette option permettrait aux Parties aux conventions de Bâle, de Rotterdam et de Stockholm de réaliser pourraient être partiellement réinvesties dans le renforcement de la structure </w:t>
      </w:r>
      <w:r w:rsidR="00021376">
        <w:rPr>
          <w:lang w:val="fr-CH"/>
        </w:rPr>
        <w:t xml:space="preserve">matricielle </w:t>
      </w:r>
      <w:r w:rsidRPr="00BF5269">
        <w:rPr>
          <w:lang w:val="fr-CH"/>
        </w:rPr>
        <w:t>du secrétariat conjoint, qui pourrait ainsi se doter de l’équivalent de 1,5 poste</w:t>
      </w:r>
      <w:r w:rsidR="00FA6D9E">
        <w:rPr>
          <w:lang w:val="fr-CH"/>
        </w:rPr>
        <w:t>s</w:t>
      </w:r>
      <w:r w:rsidRPr="00BF5269">
        <w:rPr>
          <w:lang w:val="fr-CH"/>
        </w:rPr>
        <w:t xml:space="preserve"> supplémentaire</w:t>
      </w:r>
      <w:r w:rsidR="00FA6D9E">
        <w:rPr>
          <w:lang w:val="fr-CH"/>
        </w:rPr>
        <w:t>s</w:t>
      </w:r>
      <w:r w:rsidRPr="00BF5269">
        <w:rPr>
          <w:lang w:val="fr-CH"/>
        </w:rPr>
        <w:t xml:space="preserve"> d’administrateur de programme P-3 (pour des fonctions telles que l’appui juridique, la gestion des connaissances, </w:t>
      </w:r>
      <w:r w:rsidR="00021376">
        <w:rPr>
          <w:lang w:val="fr-CH"/>
        </w:rPr>
        <w:t>la communication</w:t>
      </w:r>
      <w:r w:rsidRPr="00BF5269">
        <w:rPr>
          <w:lang w:val="fr-CH"/>
        </w:rPr>
        <w:t xml:space="preserve"> et les services informatiques).</w:t>
      </w:r>
    </w:p>
    <w:p w14:paraId="4E768B54" w14:textId="39E5804B" w:rsidR="0041238C" w:rsidRPr="00B959C3" w:rsidRDefault="0041238C" w:rsidP="006432A8">
      <w:pPr>
        <w:pStyle w:val="CH4"/>
        <w:outlineLvl w:val="0"/>
        <w:rPr>
          <w:rFonts w:eastAsia="MS Mincho"/>
        </w:rPr>
      </w:pPr>
      <w:r w:rsidRPr="00237265">
        <w:rPr>
          <w:rFonts w:eastAsia="MS Mincho"/>
          <w:lang w:val="fr-CH"/>
        </w:rPr>
        <w:tab/>
      </w:r>
      <w:r w:rsidRPr="00237265">
        <w:rPr>
          <w:rFonts w:eastAsia="MS Mincho"/>
          <w:lang w:val="fr-CH"/>
        </w:rPr>
        <w:tab/>
      </w:r>
      <w:r w:rsidR="002876F6">
        <w:rPr>
          <w:rFonts w:eastAsia="MS Mincho"/>
        </w:rPr>
        <w:t>Analyse</w:t>
      </w:r>
    </w:p>
    <w:p w14:paraId="167E1448" w14:textId="5EB02578" w:rsidR="00A0634F" w:rsidRPr="002207EF" w:rsidRDefault="002207EF" w:rsidP="00933462">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2207EF">
        <w:rPr>
          <w:rFonts w:eastAsia="MS Mincho"/>
          <w:lang w:val="fr-CH"/>
        </w:rPr>
        <w:t xml:space="preserve">L’exécution des fonctions du </w:t>
      </w:r>
      <w:r>
        <w:rPr>
          <w:rFonts w:eastAsia="MS Mincho"/>
          <w:lang w:val="fr-CH"/>
        </w:rPr>
        <w:t>secré</w:t>
      </w:r>
      <w:r w:rsidRPr="002207EF">
        <w:rPr>
          <w:rFonts w:eastAsia="MS Mincho"/>
          <w:lang w:val="fr-CH"/>
        </w:rPr>
        <w:t>tariat de la C</w:t>
      </w:r>
      <w:r>
        <w:rPr>
          <w:rFonts w:eastAsia="MS Mincho"/>
          <w:lang w:val="fr-CH"/>
        </w:rPr>
        <w:t>onvention de Minamata serait entièrement in</w:t>
      </w:r>
      <w:r w:rsidR="00A0634F">
        <w:rPr>
          <w:rFonts w:eastAsia="MS Mincho"/>
          <w:lang w:val="fr-CH"/>
        </w:rPr>
        <w:t>tégr</w:t>
      </w:r>
      <w:r>
        <w:rPr>
          <w:rFonts w:eastAsia="MS Mincho"/>
          <w:lang w:val="fr-CH"/>
        </w:rPr>
        <w:t xml:space="preserve">ée </w:t>
      </w:r>
      <w:r w:rsidR="00A0634F">
        <w:rPr>
          <w:rFonts w:eastAsia="MS Mincho"/>
          <w:lang w:val="fr-CH"/>
        </w:rPr>
        <w:t>à la</w:t>
      </w:r>
      <w:r>
        <w:rPr>
          <w:rFonts w:eastAsia="MS Mincho"/>
          <w:lang w:val="fr-CH"/>
        </w:rPr>
        <w:t xml:space="preserve"> structure</w:t>
      </w:r>
      <w:r w:rsidR="00A0634F">
        <w:rPr>
          <w:rFonts w:eastAsia="MS Mincho"/>
          <w:lang w:val="fr-CH"/>
        </w:rPr>
        <w:t xml:space="preserve"> de gestion</w:t>
      </w:r>
      <w:r>
        <w:rPr>
          <w:rFonts w:eastAsia="MS Mincho"/>
          <w:lang w:val="fr-CH"/>
        </w:rPr>
        <w:t xml:space="preserve"> matricielle du secrétariat </w:t>
      </w:r>
      <w:r w:rsidR="009C0E2E">
        <w:rPr>
          <w:rFonts w:eastAsia="MS Mincho"/>
          <w:lang w:val="fr-CH"/>
        </w:rPr>
        <w:t xml:space="preserve">des conventions de Bâle, </w:t>
      </w:r>
      <w:r w:rsidR="00383BB4">
        <w:rPr>
          <w:rFonts w:eastAsia="MS Mincho"/>
          <w:lang w:val="fr-CH"/>
        </w:rPr>
        <w:t xml:space="preserve">de </w:t>
      </w:r>
      <w:r w:rsidR="009C0E2E">
        <w:rPr>
          <w:rFonts w:eastAsia="MS Mincho"/>
          <w:lang w:val="fr-CH"/>
        </w:rPr>
        <w:t xml:space="preserve">Rotterdam et </w:t>
      </w:r>
      <w:r w:rsidR="00383BB4">
        <w:rPr>
          <w:rFonts w:eastAsia="MS Mincho"/>
          <w:lang w:val="fr-CH"/>
        </w:rPr>
        <w:t xml:space="preserve">de </w:t>
      </w:r>
      <w:r w:rsidR="009C0E2E">
        <w:rPr>
          <w:rFonts w:eastAsia="MS Mincho"/>
          <w:lang w:val="fr-CH"/>
        </w:rPr>
        <w:t>Stockholm, sous l’autorité d’</w:t>
      </w:r>
      <w:r w:rsidR="00B1710C">
        <w:rPr>
          <w:rFonts w:eastAsia="MS Mincho"/>
          <w:lang w:val="fr-CH"/>
        </w:rPr>
        <w:t>un Secrétaire exécutif co</w:t>
      </w:r>
      <w:r w:rsidR="009C0E2E">
        <w:rPr>
          <w:rFonts w:eastAsia="MS Mincho"/>
          <w:lang w:val="fr-CH"/>
        </w:rPr>
        <w:t xml:space="preserve">njoint </w:t>
      </w:r>
      <w:r w:rsidR="00B1710C">
        <w:rPr>
          <w:rFonts w:eastAsia="MS Mincho"/>
          <w:lang w:val="fr-CH"/>
        </w:rPr>
        <w:t xml:space="preserve">aux quatre conventions. </w:t>
      </w:r>
      <w:r w:rsidR="00933462">
        <w:rPr>
          <w:rFonts w:eastAsia="MS Mincho"/>
          <w:lang w:val="fr-CH"/>
        </w:rPr>
        <w:t>Chacune d’entre elles préservera</w:t>
      </w:r>
      <w:r w:rsidR="00021376">
        <w:rPr>
          <w:rFonts w:eastAsia="MS Mincho"/>
          <w:lang w:val="fr-CH"/>
        </w:rPr>
        <w:t>it</w:t>
      </w:r>
      <w:r w:rsidR="00933462">
        <w:rPr>
          <w:rFonts w:eastAsia="MS Mincho"/>
          <w:lang w:val="fr-CH"/>
        </w:rPr>
        <w:t xml:space="preserve"> son au</w:t>
      </w:r>
      <w:r w:rsidR="00B1710C">
        <w:rPr>
          <w:rFonts w:eastAsia="MS Mincho"/>
          <w:lang w:val="fr-CH"/>
        </w:rPr>
        <w:t xml:space="preserve">tonomie juridique </w:t>
      </w:r>
      <w:r w:rsidR="00933462">
        <w:rPr>
          <w:rFonts w:eastAsia="MS Mincho"/>
          <w:lang w:val="fr-CH"/>
        </w:rPr>
        <w:t>et celles de s</w:t>
      </w:r>
      <w:r w:rsidR="00811651">
        <w:rPr>
          <w:rFonts w:eastAsia="MS Mincho"/>
          <w:lang w:val="fr-CH"/>
        </w:rPr>
        <w:t>es programmes de travail.</w:t>
      </w:r>
    </w:p>
    <w:p w14:paraId="6AE92525" w14:textId="54A55814" w:rsidR="00C6317E" w:rsidRPr="00D616AD" w:rsidRDefault="00D616AD" w:rsidP="00D616AD">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D616AD">
        <w:rPr>
          <w:rFonts w:eastAsia="MS Mincho"/>
          <w:lang w:val="fr-CH"/>
        </w:rPr>
        <w:t xml:space="preserve">Les </w:t>
      </w:r>
      <w:r w:rsidR="00C871FE">
        <w:rPr>
          <w:rFonts w:eastAsia="MS Mincho"/>
          <w:lang w:val="fr-CH"/>
        </w:rPr>
        <w:t>fonction</w:t>
      </w:r>
      <w:r w:rsidRPr="00D616AD">
        <w:rPr>
          <w:rFonts w:eastAsia="MS Mincho"/>
          <w:lang w:val="fr-CH"/>
        </w:rPr>
        <w:t>s</w:t>
      </w:r>
      <w:r w:rsidR="00C6317E" w:rsidRPr="00D616AD">
        <w:rPr>
          <w:rFonts w:eastAsia="MS Mincho"/>
          <w:lang w:val="fr-CH"/>
        </w:rPr>
        <w:t xml:space="preserve"> du </w:t>
      </w:r>
      <w:r w:rsidR="00A56FA2" w:rsidRPr="00D616AD">
        <w:rPr>
          <w:rFonts w:eastAsia="MS Mincho"/>
          <w:lang w:val="fr-CH"/>
        </w:rPr>
        <w:t>secré</w:t>
      </w:r>
      <w:r w:rsidR="00C6317E" w:rsidRPr="00D616AD">
        <w:rPr>
          <w:rFonts w:eastAsia="MS Mincho"/>
          <w:lang w:val="fr-CH"/>
        </w:rPr>
        <w:t>tariat s</w:t>
      </w:r>
      <w:r>
        <w:rPr>
          <w:rFonts w:eastAsia="MS Mincho"/>
          <w:lang w:val="fr-CH"/>
        </w:rPr>
        <w:t xml:space="preserve">’organiseront </w:t>
      </w:r>
      <w:r w:rsidR="00C6317E" w:rsidRPr="00D616AD">
        <w:rPr>
          <w:rFonts w:eastAsia="MS Mincho"/>
          <w:lang w:val="fr-CH"/>
        </w:rPr>
        <w:t>autour des domaines de travail</w:t>
      </w:r>
      <w:r w:rsidR="00AC61C3" w:rsidRPr="00D616AD">
        <w:rPr>
          <w:rFonts w:eastAsia="MS Mincho"/>
          <w:lang w:val="fr-CH"/>
        </w:rPr>
        <w:t xml:space="preserve"> déjà existants</w:t>
      </w:r>
      <w:r>
        <w:rPr>
          <w:rFonts w:eastAsia="MS Mincho"/>
          <w:lang w:val="fr-CH"/>
        </w:rPr>
        <w:t xml:space="preserve"> (</w:t>
      </w:r>
      <w:r w:rsidR="00A56FA2" w:rsidRPr="00D616AD">
        <w:rPr>
          <w:rFonts w:eastAsia="MS Mincho"/>
          <w:lang w:val="fr-CH"/>
        </w:rPr>
        <w:t>questions scientif</w:t>
      </w:r>
      <w:r w:rsidR="00351758" w:rsidRPr="00D616AD">
        <w:rPr>
          <w:rFonts w:eastAsia="MS Mincho"/>
          <w:lang w:val="fr-CH"/>
        </w:rPr>
        <w:t>iques, assistance technique et</w:t>
      </w:r>
      <w:r w:rsidR="00566B5E" w:rsidRPr="00D616AD">
        <w:rPr>
          <w:rFonts w:eastAsia="MS Mincho"/>
          <w:lang w:val="fr-CH"/>
        </w:rPr>
        <w:t xml:space="preserve"> activités</w:t>
      </w:r>
      <w:r w:rsidR="00A56FA2" w:rsidRPr="00D616AD">
        <w:rPr>
          <w:rFonts w:eastAsia="MS Mincho"/>
          <w:lang w:val="fr-CH"/>
        </w:rPr>
        <w:t xml:space="preserve"> de</w:t>
      </w:r>
      <w:r w:rsidR="00566B5E" w:rsidRPr="00D616AD">
        <w:rPr>
          <w:rFonts w:eastAsia="MS Mincho"/>
          <w:lang w:val="fr-CH"/>
        </w:rPr>
        <w:t>s</w:t>
      </w:r>
      <w:r w:rsidR="00A56FA2" w:rsidRPr="00D616AD">
        <w:rPr>
          <w:rFonts w:eastAsia="MS Mincho"/>
          <w:lang w:val="fr-CH"/>
        </w:rPr>
        <w:t xml:space="preserve"> conventions</w:t>
      </w:r>
      <w:r>
        <w:rPr>
          <w:rFonts w:eastAsia="MS Mincho"/>
          <w:lang w:val="fr-CH"/>
        </w:rPr>
        <w:t>)</w:t>
      </w:r>
      <w:r w:rsidR="00C871FE">
        <w:rPr>
          <w:rFonts w:eastAsia="MS Mincho"/>
          <w:lang w:val="fr-CH"/>
        </w:rPr>
        <w:t xml:space="preserve"> et concerneront également le travail lié</w:t>
      </w:r>
      <w:r w:rsidR="00E24DB8">
        <w:rPr>
          <w:rFonts w:eastAsia="MS Mincho"/>
          <w:lang w:val="fr-CH"/>
        </w:rPr>
        <w:t xml:space="preserve"> au Bureau exécutif comme</w:t>
      </w:r>
      <w:r w:rsidR="00566B5E" w:rsidRPr="00D616AD">
        <w:rPr>
          <w:rFonts w:eastAsia="MS Mincho"/>
          <w:lang w:val="fr-CH"/>
        </w:rPr>
        <w:t xml:space="preserve"> </w:t>
      </w:r>
      <w:r w:rsidR="00721CE8">
        <w:rPr>
          <w:lang w:val="fr-CH"/>
        </w:rPr>
        <w:t>l’administration</w:t>
      </w:r>
      <w:r w:rsidR="00AB402B" w:rsidRPr="00D616AD">
        <w:rPr>
          <w:lang w:val="fr-CH"/>
        </w:rPr>
        <w:t>, les questions financières, les ressources humaines et</w:t>
      </w:r>
      <w:r w:rsidR="00812B91" w:rsidRPr="00D616AD">
        <w:rPr>
          <w:lang w:val="fr-CH"/>
        </w:rPr>
        <w:t xml:space="preserve"> la mobilis</w:t>
      </w:r>
      <w:r w:rsidR="00351758" w:rsidRPr="00D616AD">
        <w:rPr>
          <w:lang w:val="fr-CH"/>
        </w:rPr>
        <w:t>ation des ressources (voir appendic</w:t>
      </w:r>
      <w:r w:rsidR="00812B91" w:rsidRPr="00D616AD">
        <w:rPr>
          <w:lang w:val="fr-CH"/>
        </w:rPr>
        <w:t>e III). L’exécution des fonctions du secrétariat de la Convention de Minamata</w:t>
      </w:r>
      <w:r w:rsidR="00AE5FF6" w:rsidRPr="00D616AD">
        <w:rPr>
          <w:lang w:val="fr-CH"/>
        </w:rPr>
        <w:t xml:space="preserve"> serait entièrement </w:t>
      </w:r>
      <w:r w:rsidR="002101C9" w:rsidRPr="00D616AD">
        <w:rPr>
          <w:lang w:val="fr-CH"/>
        </w:rPr>
        <w:t>intégr</w:t>
      </w:r>
      <w:r w:rsidR="00AE5FF6" w:rsidRPr="00D616AD">
        <w:rPr>
          <w:lang w:val="fr-CH"/>
        </w:rPr>
        <w:t>ée dans la structure existante du secrétariat, qui fonctionne de cette manière depuis 2012.</w:t>
      </w:r>
    </w:p>
    <w:p w14:paraId="0AA9375F" w14:textId="5188CDCE" w:rsidR="00B44468" w:rsidRDefault="006B436C" w:rsidP="00B4446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lastRenderedPageBreak/>
        <w:t>Afin que l</w:t>
      </w:r>
      <w:r w:rsidR="00FA041F" w:rsidRPr="00FA041F">
        <w:rPr>
          <w:rFonts w:eastAsia="MS Mincho"/>
          <w:lang w:val="fr-CH"/>
        </w:rPr>
        <w:t xml:space="preserve">es fonctions supplémentaires du </w:t>
      </w:r>
      <w:r>
        <w:rPr>
          <w:rFonts w:eastAsia="MS Mincho"/>
          <w:lang w:val="fr-CH"/>
        </w:rPr>
        <w:t>secré</w:t>
      </w:r>
      <w:r w:rsidR="00FA041F" w:rsidRPr="00FA041F">
        <w:rPr>
          <w:rFonts w:eastAsia="MS Mincho"/>
          <w:lang w:val="fr-CH"/>
        </w:rPr>
        <w:t>tariat de la Convention de Minamata</w:t>
      </w:r>
      <w:r>
        <w:rPr>
          <w:rFonts w:eastAsia="MS Mincho"/>
          <w:lang w:val="fr-CH"/>
        </w:rPr>
        <w:t xml:space="preserve"> puissent être remplies</w:t>
      </w:r>
      <w:r w:rsidR="00FA041F" w:rsidRPr="00FA041F">
        <w:rPr>
          <w:rFonts w:eastAsia="MS Mincho"/>
          <w:lang w:val="fr-CH"/>
        </w:rPr>
        <w:t>,</w:t>
      </w:r>
      <w:r>
        <w:rPr>
          <w:rFonts w:eastAsia="MS Mincho"/>
          <w:lang w:val="fr-CH"/>
        </w:rPr>
        <w:t xml:space="preserve"> le secrétariat commun devrait obtenir un total de </w:t>
      </w:r>
      <w:r w:rsidR="00CD7E63">
        <w:rPr>
          <w:rFonts w:eastAsia="MS Mincho"/>
          <w:lang w:val="fr-CH"/>
        </w:rPr>
        <w:t>6,5 </w:t>
      </w:r>
      <w:r w:rsidR="00E24DB8">
        <w:rPr>
          <w:rFonts w:eastAsia="MS Mincho"/>
          <w:lang w:val="fr-CH"/>
        </w:rPr>
        <w:t>nouveaux</w:t>
      </w:r>
      <w:r>
        <w:rPr>
          <w:rFonts w:eastAsia="MS Mincho"/>
          <w:lang w:val="fr-CH"/>
        </w:rPr>
        <w:t xml:space="preserve"> postes </w:t>
      </w:r>
      <w:r w:rsidR="00396CDB">
        <w:rPr>
          <w:rFonts w:eastAsia="MS Mincho"/>
          <w:lang w:val="fr-CH"/>
        </w:rPr>
        <w:t xml:space="preserve">d’administrateur </w:t>
      </w:r>
      <w:r w:rsidR="00491AF5">
        <w:rPr>
          <w:rFonts w:eastAsia="MS Mincho"/>
          <w:lang w:val="fr-CH"/>
        </w:rPr>
        <w:t xml:space="preserve">nouveaux </w:t>
      </w:r>
      <w:r>
        <w:rPr>
          <w:rFonts w:eastAsia="MS Mincho"/>
          <w:lang w:val="fr-CH"/>
        </w:rPr>
        <w:t>et</w:t>
      </w:r>
      <w:r w:rsidR="00396CDB">
        <w:rPr>
          <w:rFonts w:eastAsia="MS Mincho"/>
          <w:lang w:val="fr-CH"/>
        </w:rPr>
        <w:t xml:space="preserve"> de</w:t>
      </w:r>
      <w:r>
        <w:rPr>
          <w:rFonts w:eastAsia="MS Mincho"/>
          <w:lang w:val="fr-CH"/>
        </w:rPr>
        <w:t xml:space="preserve"> </w:t>
      </w:r>
      <w:r w:rsidR="00E24DB8">
        <w:rPr>
          <w:rFonts w:eastAsia="MS Mincho"/>
          <w:lang w:val="fr-CH"/>
        </w:rPr>
        <w:t>4</w:t>
      </w:r>
      <w:r>
        <w:rPr>
          <w:rFonts w:eastAsia="MS Mincho"/>
          <w:lang w:val="fr-CH"/>
        </w:rPr>
        <w:t xml:space="preserve"> postes </w:t>
      </w:r>
      <w:r w:rsidR="00396CDB">
        <w:rPr>
          <w:rFonts w:eastAsia="MS Mincho"/>
          <w:lang w:val="fr-CH"/>
        </w:rPr>
        <w:t xml:space="preserve">d’agent </w:t>
      </w:r>
      <w:r w:rsidR="008F7398">
        <w:rPr>
          <w:rFonts w:eastAsia="MS Mincho"/>
          <w:lang w:val="fr-CH"/>
        </w:rPr>
        <w:t>des services généraux</w:t>
      </w:r>
      <w:r w:rsidR="00491AF5">
        <w:rPr>
          <w:rFonts w:eastAsia="MS Mincho"/>
          <w:lang w:val="fr-CH"/>
        </w:rPr>
        <w:t xml:space="preserve"> additionnels</w:t>
      </w:r>
      <w:r w:rsidR="008F7398">
        <w:rPr>
          <w:rFonts w:eastAsia="MS Mincho"/>
          <w:lang w:val="fr-CH"/>
        </w:rPr>
        <w:t xml:space="preserve">, soit deux </w:t>
      </w:r>
      <w:r w:rsidR="008F7398">
        <w:rPr>
          <w:lang w:val="fr-CH"/>
        </w:rPr>
        <w:t>postes d’administrateur et quatre postes d’</w:t>
      </w:r>
      <w:r w:rsidR="00491AF5">
        <w:rPr>
          <w:lang w:val="fr-CH"/>
        </w:rPr>
        <w:t xml:space="preserve">agent des services généraux </w:t>
      </w:r>
      <w:r w:rsidR="00E24DB8">
        <w:rPr>
          <w:lang w:val="fr-CH"/>
        </w:rPr>
        <w:t>supplémentaires par rapport</w:t>
      </w:r>
      <w:r w:rsidR="00491AF5">
        <w:rPr>
          <w:lang w:val="fr-CH"/>
        </w:rPr>
        <w:t xml:space="preserve"> </w:t>
      </w:r>
      <w:r w:rsidR="00C81511">
        <w:rPr>
          <w:lang w:val="fr-CH"/>
        </w:rPr>
        <w:t>à</w:t>
      </w:r>
      <w:r w:rsidR="008F7398">
        <w:rPr>
          <w:lang w:val="fr-CH"/>
        </w:rPr>
        <w:t xml:space="preserve"> la proposition présentée dans le document </w:t>
      </w:r>
      <w:r w:rsidR="008F7398" w:rsidRPr="008F7398">
        <w:rPr>
          <w:lang w:val="fr-CH"/>
        </w:rPr>
        <w:t>UNEP(DTIE)/Hg/INC.7/15</w:t>
      </w:r>
      <w:r w:rsidR="008F7398">
        <w:rPr>
          <w:lang w:val="fr-CH"/>
        </w:rPr>
        <w:t>.</w:t>
      </w:r>
      <w:r w:rsidR="00491AF5">
        <w:rPr>
          <w:lang w:val="fr-CH"/>
        </w:rPr>
        <w:t xml:space="preserve"> Les</w:t>
      </w:r>
      <w:r w:rsidR="00B44468">
        <w:rPr>
          <w:lang w:val="fr-CH"/>
        </w:rPr>
        <w:t xml:space="preserve"> dépenses afférentes au personnel en place au secrétariat des conventions </w:t>
      </w:r>
      <w:r w:rsidR="00B44468" w:rsidRPr="00B44468">
        <w:rPr>
          <w:rFonts w:eastAsia="MS Mincho"/>
          <w:lang w:val="fr-CH"/>
        </w:rPr>
        <w:t xml:space="preserve">de Bâle, de Rotterdam et de Stockholm </w:t>
      </w:r>
      <w:r w:rsidR="00B75F1F">
        <w:rPr>
          <w:rFonts w:eastAsia="MS Mincho"/>
          <w:lang w:val="fr-CH"/>
        </w:rPr>
        <w:t xml:space="preserve">et </w:t>
      </w:r>
      <w:r w:rsidR="00C81511">
        <w:rPr>
          <w:rFonts w:eastAsia="MS Mincho"/>
          <w:lang w:val="fr-CH"/>
        </w:rPr>
        <w:t>aux</w:t>
      </w:r>
      <w:r w:rsidR="00B75F1F">
        <w:rPr>
          <w:rFonts w:eastAsia="MS Mincho"/>
          <w:lang w:val="fr-CH"/>
        </w:rPr>
        <w:t xml:space="preserve"> postes supplémentaires requis pour un secrétariat commun qui rempli</w:t>
      </w:r>
      <w:r w:rsidR="006E66EB">
        <w:rPr>
          <w:rFonts w:eastAsia="MS Mincho"/>
          <w:lang w:val="fr-CH"/>
        </w:rPr>
        <w:t>rai</w:t>
      </w:r>
      <w:r w:rsidR="00B75F1F">
        <w:rPr>
          <w:rFonts w:eastAsia="MS Mincho"/>
          <w:lang w:val="fr-CH"/>
        </w:rPr>
        <w:t xml:space="preserve">t également les fonctions </w:t>
      </w:r>
      <w:r w:rsidR="006E66EB">
        <w:rPr>
          <w:rFonts w:eastAsia="MS Mincho"/>
          <w:lang w:val="fr-CH"/>
        </w:rPr>
        <w:t>de secrétariat de</w:t>
      </w:r>
      <w:r w:rsidR="00B75F1F">
        <w:rPr>
          <w:rFonts w:eastAsia="MS Mincho"/>
          <w:lang w:val="fr-CH"/>
        </w:rPr>
        <w:t xml:space="preserve"> la Convention de Minamata seraie</w:t>
      </w:r>
      <w:r w:rsidR="00B44468" w:rsidRPr="00B44468">
        <w:rPr>
          <w:rFonts w:eastAsia="MS Mincho"/>
          <w:lang w:val="fr-CH"/>
        </w:rPr>
        <w:t>nt réparties entre les quatre conventions.</w:t>
      </w:r>
      <w:r w:rsidR="006E66EB">
        <w:rPr>
          <w:rFonts w:eastAsia="MS Mincho"/>
          <w:lang w:val="fr-CH"/>
        </w:rPr>
        <w:t xml:space="preserve"> </w:t>
      </w:r>
      <w:r w:rsidR="00506D8B">
        <w:rPr>
          <w:rFonts w:eastAsia="MS Mincho"/>
          <w:lang w:val="fr-CH"/>
        </w:rPr>
        <w:t>En tenant compte</w:t>
      </w:r>
      <w:r w:rsidR="00224B5F">
        <w:rPr>
          <w:rFonts w:eastAsia="MS Mincho"/>
          <w:lang w:val="fr-CH"/>
        </w:rPr>
        <w:t xml:space="preserve"> des besoins en personnel mentionnés plus haut, le montant total des dépenses </w:t>
      </w:r>
      <w:r w:rsidR="002F5A2E">
        <w:rPr>
          <w:rFonts w:eastAsia="MS Mincho"/>
          <w:lang w:val="fr-CH"/>
        </w:rPr>
        <w:t>de personnel afférentes à la C</w:t>
      </w:r>
      <w:r w:rsidR="00224B5F">
        <w:rPr>
          <w:rFonts w:eastAsia="MS Mincho"/>
          <w:lang w:val="fr-CH"/>
        </w:rPr>
        <w:t>onvention de Min</w:t>
      </w:r>
      <w:r w:rsidR="00C81511">
        <w:rPr>
          <w:rFonts w:eastAsia="MS Mincho"/>
          <w:lang w:val="fr-CH"/>
        </w:rPr>
        <w:t>amata pour cette option (voir</w:t>
      </w:r>
      <w:r w:rsidR="00CD7E63">
        <w:rPr>
          <w:rFonts w:eastAsia="MS Mincho"/>
          <w:lang w:val="fr-CH"/>
        </w:rPr>
        <w:t xml:space="preserve"> tableau </w:t>
      </w:r>
      <w:r w:rsidR="00224B5F">
        <w:rPr>
          <w:rFonts w:eastAsia="MS Mincho"/>
          <w:lang w:val="fr-CH"/>
        </w:rPr>
        <w:t>2 de l’a</w:t>
      </w:r>
      <w:r w:rsidR="00C81511">
        <w:rPr>
          <w:rFonts w:eastAsia="MS Mincho"/>
          <w:lang w:val="fr-CH"/>
        </w:rPr>
        <w:t>ppendic</w:t>
      </w:r>
      <w:r w:rsidR="00CD7E63">
        <w:rPr>
          <w:rFonts w:eastAsia="MS Mincho"/>
          <w:lang w:val="fr-CH"/>
        </w:rPr>
        <w:t>e </w:t>
      </w:r>
      <w:r w:rsidR="00224B5F">
        <w:rPr>
          <w:rFonts w:eastAsia="MS Mincho"/>
          <w:lang w:val="fr-CH"/>
        </w:rPr>
        <w:t xml:space="preserve">II) </w:t>
      </w:r>
      <w:r w:rsidR="00C81511">
        <w:rPr>
          <w:rFonts w:eastAsia="MS Mincho"/>
          <w:lang w:val="fr-CH"/>
        </w:rPr>
        <w:t>s’élèverait</w:t>
      </w:r>
      <w:r w:rsidR="000D6DCA">
        <w:rPr>
          <w:rFonts w:eastAsia="MS Mincho"/>
          <w:lang w:val="fr-CH"/>
        </w:rPr>
        <w:t xml:space="preserve"> à </w:t>
      </w:r>
      <w:r w:rsidR="006F64C0">
        <w:rPr>
          <w:rFonts w:eastAsia="MS Mincho"/>
          <w:b/>
          <w:lang w:val="fr-CH"/>
        </w:rPr>
        <w:t>2 749 134 </w:t>
      </w:r>
      <w:r w:rsidR="000D6DCA">
        <w:rPr>
          <w:rFonts w:eastAsia="MS Mincho"/>
          <w:b/>
          <w:lang w:val="fr-CH"/>
        </w:rPr>
        <w:t>dollars par an.</w:t>
      </w:r>
    </w:p>
    <w:p w14:paraId="256282F8" w14:textId="0C606709" w:rsidR="008A3199" w:rsidRPr="00CA3712" w:rsidRDefault="00C81511" w:rsidP="008A3199">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 xml:space="preserve">Actuellement, le </w:t>
      </w:r>
      <w:r w:rsidR="008A3199">
        <w:rPr>
          <w:rFonts w:eastAsia="MS Mincho"/>
          <w:lang w:val="fr-CH"/>
        </w:rPr>
        <w:t>secré</w:t>
      </w:r>
      <w:r w:rsidR="008A3199" w:rsidRPr="008A3199">
        <w:rPr>
          <w:rFonts w:eastAsia="MS Mincho"/>
          <w:lang w:val="fr-CH"/>
        </w:rPr>
        <w:t>tariat provisoire</w:t>
      </w:r>
      <w:r w:rsidR="008659BA">
        <w:rPr>
          <w:rFonts w:eastAsia="MS Mincho"/>
          <w:lang w:val="fr-CH"/>
        </w:rPr>
        <w:t xml:space="preserve"> </w:t>
      </w:r>
      <w:r w:rsidR="00933479">
        <w:rPr>
          <w:rFonts w:eastAsia="MS Mincho"/>
          <w:lang w:val="fr-CH"/>
        </w:rPr>
        <w:t>couvre</w:t>
      </w:r>
      <w:r w:rsidR="008A3199" w:rsidRPr="008A3199">
        <w:rPr>
          <w:rFonts w:eastAsia="MS Mincho"/>
          <w:lang w:val="fr-CH"/>
        </w:rPr>
        <w:t xml:space="preserve"> une</w:t>
      </w:r>
      <w:r w:rsidR="008659BA">
        <w:rPr>
          <w:rFonts w:eastAsia="MS Mincho"/>
          <w:lang w:val="fr-CH"/>
        </w:rPr>
        <w:t xml:space="preserve"> variété</w:t>
      </w:r>
      <w:r w:rsidR="008A3199" w:rsidRPr="008A3199">
        <w:rPr>
          <w:rFonts w:eastAsia="MS Mincho"/>
          <w:lang w:val="fr-CH"/>
        </w:rPr>
        <w:t xml:space="preserve"> de t</w:t>
      </w:r>
      <w:r w:rsidR="008A3199">
        <w:rPr>
          <w:rFonts w:eastAsia="MS Mincho"/>
          <w:lang w:val="fr-CH"/>
        </w:rPr>
        <w:t xml:space="preserve">âches, </w:t>
      </w:r>
      <w:r w:rsidR="004211A6">
        <w:rPr>
          <w:rFonts w:eastAsia="MS Mincho"/>
          <w:lang w:val="fr-CH"/>
        </w:rPr>
        <w:t>y compris</w:t>
      </w:r>
      <w:r w:rsidR="008A3199">
        <w:rPr>
          <w:rFonts w:eastAsia="MS Mincho"/>
          <w:lang w:val="fr-CH"/>
        </w:rPr>
        <w:t xml:space="preserve"> </w:t>
      </w:r>
      <w:r w:rsidR="00190D01">
        <w:rPr>
          <w:rFonts w:eastAsia="MS Mincho"/>
          <w:lang w:val="fr-CH"/>
        </w:rPr>
        <w:t>la coordination politique, la gestion d</w:t>
      </w:r>
      <w:r w:rsidR="00933479">
        <w:rPr>
          <w:rFonts w:eastAsia="MS Mincho"/>
          <w:lang w:val="fr-CH"/>
        </w:rPr>
        <w:t>es réunions, l’établissement de</w:t>
      </w:r>
      <w:r w:rsidR="00190D01">
        <w:rPr>
          <w:rFonts w:eastAsia="MS Mincho"/>
          <w:lang w:val="fr-CH"/>
        </w:rPr>
        <w:t xml:space="preserve"> docume</w:t>
      </w:r>
      <w:r w:rsidR="00933479">
        <w:rPr>
          <w:rFonts w:eastAsia="MS Mincho"/>
          <w:lang w:val="fr-CH"/>
        </w:rPr>
        <w:t>nts, l’appui scientifique et technique</w:t>
      </w:r>
      <w:r w:rsidR="00190D01">
        <w:rPr>
          <w:rFonts w:eastAsia="MS Mincho"/>
          <w:lang w:val="fr-CH"/>
        </w:rPr>
        <w:t xml:space="preserve">, la sensibilisation et le renforcement des capacités. </w:t>
      </w:r>
      <w:r w:rsidR="004211A6">
        <w:rPr>
          <w:rFonts w:eastAsia="MS Mincho"/>
          <w:lang w:val="fr-CH"/>
        </w:rPr>
        <w:t>Ces fonctions sont similaires à celles exercées par le secrétariat</w:t>
      </w:r>
      <w:r w:rsidR="00C04B80">
        <w:rPr>
          <w:rFonts w:eastAsia="MS Mincho"/>
          <w:lang w:val="fr-CH"/>
        </w:rPr>
        <w:t xml:space="preserve"> des conventions de Bâle, </w:t>
      </w:r>
      <w:r w:rsidR="00933479">
        <w:rPr>
          <w:rFonts w:eastAsia="MS Mincho"/>
          <w:lang w:val="fr-CH"/>
        </w:rPr>
        <w:t xml:space="preserve">de </w:t>
      </w:r>
      <w:r w:rsidR="00C04B80">
        <w:rPr>
          <w:rFonts w:eastAsia="MS Mincho"/>
          <w:lang w:val="fr-CH"/>
        </w:rPr>
        <w:t xml:space="preserve">Rotterdam et </w:t>
      </w:r>
      <w:r w:rsidR="00933479">
        <w:rPr>
          <w:rFonts w:eastAsia="MS Mincho"/>
          <w:lang w:val="fr-CH"/>
        </w:rPr>
        <w:t xml:space="preserve">de </w:t>
      </w:r>
      <w:r w:rsidR="00C04B80">
        <w:rPr>
          <w:rFonts w:eastAsia="MS Mincho"/>
          <w:lang w:val="fr-CH"/>
        </w:rPr>
        <w:t xml:space="preserve">Stockholm. Le </w:t>
      </w:r>
      <w:r w:rsidR="00262A0E">
        <w:rPr>
          <w:rFonts w:eastAsia="MS Mincho"/>
          <w:lang w:val="fr-CH"/>
        </w:rPr>
        <w:t xml:space="preserve">transfert des fonctions assumées </w:t>
      </w:r>
      <w:r w:rsidR="00933479">
        <w:rPr>
          <w:rFonts w:eastAsia="MS Mincho"/>
          <w:lang w:val="fr-CH"/>
        </w:rPr>
        <w:t>du</w:t>
      </w:r>
      <w:r w:rsidR="00262A0E">
        <w:rPr>
          <w:rFonts w:eastAsia="MS Mincho"/>
          <w:lang w:val="fr-CH"/>
        </w:rPr>
        <w:t xml:space="preserve"> secrétariat provisoire dans </w:t>
      </w:r>
      <w:r w:rsidR="000E0700">
        <w:rPr>
          <w:rFonts w:eastAsia="MS Mincho"/>
          <w:lang w:val="fr-CH"/>
        </w:rPr>
        <w:t>les trois services et le B</w:t>
      </w:r>
      <w:r w:rsidR="00262A0E">
        <w:rPr>
          <w:rFonts w:eastAsia="MS Mincho"/>
          <w:lang w:val="fr-CH"/>
        </w:rPr>
        <w:t>ureau exécutif du secrétariat nécessitera un remaniement des rôles afin</w:t>
      </w:r>
      <w:r w:rsidR="00CC25A8">
        <w:rPr>
          <w:rFonts w:eastAsia="MS Mincho"/>
          <w:lang w:val="fr-CH"/>
        </w:rPr>
        <w:t xml:space="preserve"> de les adapter à</w:t>
      </w:r>
      <w:r w:rsidR="000E0700">
        <w:rPr>
          <w:rFonts w:eastAsia="MS Mincho"/>
          <w:lang w:val="fr-CH"/>
        </w:rPr>
        <w:t xml:space="preserve"> </w:t>
      </w:r>
      <w:r w:rsidR="00262A0E">
        <w:rPr>
          <w:rFonts w:eastAsia="MS Mincho"/>
          <w:lang w:val="fr-CH"/>
        </w:rPr>
        <w:t>la structure du secrétariat des convention</w:t>
      </w:r>
      <w:r w:rsidR="000E0700">
        <w:rPr>
          <w:rFonts w:eastAsia="MS Mincho"/>
          <w:lang w:val="fr-CH"/>
        </w:rPr>
        <w:t>s</w:t>
      </w:r>
      <w:r w:rsidR="00262A0E">
        <w:rPr>
          <w:rFonts w:eastAsia="MS Mincho"/>
          <w:lang w:val="fr-CH"/>
        </w:rPr>
        <w:t xml:space="preserve"> de Bâle, </w:t>
      </w:r>
      <w:r w:rsidR="00CC25A8">
        <w:rPr>
          <w:rFonts w:eastAsia="MS Mincho"/>
          <w:lang w:val="fr-CH"/>
        </w:rPr>
        <w:t xml:space="preserve">de </w:t>
      </w:r>
      <w:r w:rsidR="00262A0E">
        <w:rPr>
          <w:rFonts w:eastAsia="MS Mincho"/>
          <w:lang w:val="fr-CH"/>
        </w:rPr>
        <w:t xml:space="preserve">Rotterdam et </w:t>
      </w:r>
      <w:r w:rsidR="00CC25A8">
        <w:rPr>
          <w:rFonts w:eastAsia="MS Mincho"/>
          <w:lang w:val="fr-CH"/>
        </w:rPr>
        <w:t xml:space="preserve">de </w:t>
      </w:r>
      <w:r w:rsidR="00262A0E">
        <w:rPr>
          <w:rFonts w:eastAsia="MS Mincho"/>
          <w:lang w:val="fr-CH"/>
        </w:rPr>
        <w:t xml:space="preserve">Stockholm </w:t>
      </w:r>
      <w:r w:rsidR="00E32CF0">
        <w:rPr>
          <w:rFonts w:eastAsia="MS Mincho"/>
          <w:lang w:val="fr-CH"/>
        </w:rPr>
        <w:t xml:space="preserve">ainsi qu’un reclassement des postes. Cela devrait être similaire aux ajustements </w:t>
      </w:r>
      <w:r w:rsidR="00CC25A8">
        <w:rPr>
          <w:rFonts w:eastAsia="MS Mincho"/>
          <w:lang w:val="fr-CH"/>
        </w:rPr>
        <w:t>effectués lors du</w:t>
      </w:r>
      <w:r w:rsidR="00E32CF0">
        <w:rPr>
          <w:rFonts w:eastAsia="MS Mincho"/>
          <w:lang w:val="fr-CH"/>
        </w:rPr>
        <w:t xml:space="preserve"> </w:t>
      </w:r>
      <w:r w:rsidR="0079602E">
        <w:rPr>
          <w:rFonts w:eastAsia="MS Mincho"/>
          <w:lang w:val="fr-CH"/>
        </w:rPr>
        <w:t>f</w:t>
      </w:r>
      <w:r w:rsidR="00E32CF0">
        <w:rPr>
          <w:rFonts w:eastAsia="MS Mincho"/>
          <w:lang w:val="fr-CH"/>
        </w:rPr>
        <w:t xml:space="preserve">usionnement </w:t>
      </w:r>
      <w:r w:rsidR="00721CE8">
        <w:rPr>
          <w:rFonts w:eastAsia="MS Mincho"/>
          <w:lang w:val="fr-CH"/>
        </w:rPr>
        <w:t xml:space="preserve">initial </w:t>
      </w:r>
      <w:r w:rsidR="00E32CF0">
        <w:rPr>
          <w:rFonts w:eastAsia="MS Mincho"/>
          <w:lang w:val="fr-CH"/>
        </w:rPr>
        <w:t xml:space="preserve">des </w:t>
      </w:r>
      <w:r w:rsidR="00721CE8">
        <w:rPr>
          <w:rFonts w:eastAsia="MS Mincho"/>
          <w:lang w:val="fr-CH"/>
        </w:rPr>
        <w:t>S</w:t>
      </w:r>
      <w:r w:rsidR="0079602E">
        <w:rPr>
          <w:rFonts w:eastAsia="MS Mincho"/>
          <w:lang w:val="fr-CH"/>
        </w:rPr>
        <w:t>ecrétariats</w:t>
      </w:r>
      <w:r w:rsidR="00CA3712">
        <w:rPr>
          <w:rFonts w:eastAsia="MS Mincho"/>
          <w:lang w:val="fr-CH"/>
        </w:rPr>
        <w:t xml:space="preserve"> de</w:t>
      </w:r>
      <w:r w:rsidR="00721CE8">
        <w:rPr>
          <w:rFonts w:eastAsia="MS Mincho"/>
          <w:lang w:val="fr-CH"/>
        </w:rPr>
        <w:t>s</w:t>
      </w:r>
      <w:r w:rsidR="00CA3712">
        <w:rPr>
          <w:rFonts w:eastAsia="MS Mincho"/>
          <w:lang w:val="fr-CH"/>
        </w:rPr>
        <w:t xml:space="preserve"> conventions</w:t>
      </w:r>
      <w:r w:rsidR="00721CE8">
        <w:rPr>
          <w:rFonts w:eastAsia="MS Mincho"/>
          <w:lang w:val="fr-CH"/>
        </w:rPr>
        <w:t xml:space="preserve"> de Bâle</w:t>
      </w:r>
      <w:r w:rsidR="002F5A2E">
        <w:rPr>
          <w:rFonts w:eastAsia="MS Mincho"/>
          <w:lang w:val="fr-CH"/>
        </w:rPr>
        <w:t>, de Rotterdam et de Stockholm</w:t>
      </w:r>
      <w:r w:rsidR="008A3199" w:rsidRPr="00CA3712">
        <w:rPr>
          <w:rFonts w:eastAsia="MS Mincho"/>
          <w:lang w:val="fr-CH"/>
        </w:rPr>
        <w:t xml:space="preserve">. </w:t>
      </w:r>
      <w:r w:rsidR="0079602E" w:rsidRPr="00CA3712">
        <w:rPr>
          <w:rFonts w:eastAsia="MS Mincho"/>
          <w:lang w:val="fr-CH"/>
        </w:rPr>
        <w:t xml:space="preserve">Comme </w:t>
      </w:r>
      <w:r w:rsidR="00CC25A8">
        <w:rPr>
          <w:rFonts w:eastAsia="MS Mincho"/>
          <w:lang w:val="fr-CH"/>
        </w:rPr>
        <w:t>pour toute modification d’une</w:t>
      </w:r>
      <w:r w:rsidR="0079602E" w:rsidRPr="00CA3712">
        <w:rPr>
          <w:rFonts w:eastAsia="MS Mincho"/>
          <w:lang w:val="fr-CH"/>
        </w:rPr>
        <w:t xml:space="preserve"> structure, il sera nécessaire, conformément aux règles en vigueur à l’Organisation des Nations Unies, de modifi</w:t>
      </w:r>
      <w:r w:rsidR="00DA6631" w:rsidRPr="00CA3712">
        <w:rPr>
          <w:rFonts w:eastAsia="MS Mincho"/>
          <w:lang w:val="fr-CH"/>
        </w:rPr>
        <w:t>er le système de gestion.</w:t>
      </w:r>
      <w:r w:rsidR="00CA3712">
        <w:rPr>
          <w:rFonts w:eastAsia="MS Mincho"/>
          <w:lang w:val="fr-CH"/>
        </w:rPr>
        <w:t xml:space="preserve"> Le personnel déjà</w:t>
      </w:r>
      <w:r w:rsidR="00241AB0">
        <w:rPr>
          <w:rFonts w:eastAsia="MS Mincho"/>
          <w:lang w:val="fr-CH"/>
        </w:rPr>
        <w:t xml:space="preserve"> en place devra</w:t>
      </w:r>
      <w:r w:rsidR="00CA3712">
        <w:rPr>
          <w:rFonts w:eastAsia="MS Mincho"/>
          <w:lang w:val="fr-CH"/>
        </w:rPr>
        <w:t xml:space="preserve"> </w:t>
      </w:r>
      <w:r w:rsidR="00241AB0">
        <w:rPr>
          <w:rFonts w:eastAsia="MS Mincho"/>
          <w:lang w:val="fr-CH"/>
        </w:rPr>
        <w:t>développer se</w:t>
      </w:r>
      <w:r w:rsidR="00CA3712">
        <w:rPr>
          <w:rFonts w:eastAsia="MS Mincho"/>
          <w:lang w:val="fr-CH"/>
        </w:rPr>
        <w:t xml:space="preserve">s connaissances </w:t>
      </w:r>
      <w:r w:rsidR="00AA42DB">
        <w:rPr>
          <w:rFonts w:eastAsia="MS Mincho"/>
          <w:lang w:val="fr-CH"/>
        </w:rPr>
        <w:t>sur le</w:t>
      </w:r>
      <w:r w:rsidR="00CA3712">
        <w:rPr>
          <w:rFonts w:eastAsia="MS Mincho"/>
          <w:lang w:val="fr-CH"/>
        </w:rPr>
        <w:t xml:space="preserve"> mercure et</w:t>
      </w:r>
      <w:r w:rsidR="000579BF">
        <w:rPr>
          <w:rFonts w:eastAsia="MS Mincho"/>
          <w:lang w:val="fr-CH"/>
        </w:rPr>
        <w:t xml:space="preserve"> sur</w:t>
      </w:r>
      <w:r w:rsidR="00CA3712">
        <w:rPr>
          <w:rFonts w:eastAsia="MS Mincho"/>
          <w:lang w:val="fr-CH"/>
        </w:rPr>
        <w:t xml:space="preserve"> </w:t>
      </w:r>
      <w:r w:rsidR="00AA42DB">
        <w:rPr>
          <w:rFonts w:eastAsia="MS Mincho"/>
          <w:lang w:val="fr-CH"/>
        </w:rPr>
        <w:t>la Conventio</w:t>
      </w:r>
      <w:r w:rsidR="00241AB0">
        <w:rPr>
          <w:rFonts w:eastAsia="MS Mincho"/>
          <w:lang w:val="fr-CH"/>
        </w:rPr>
        <w:t xml:space="preserve">n de Minamata, </w:t>
      </w:r>
      <w:r w:rsidR="0030776D">
        <w:rPr>
          <w:rFonts w:eastAsia="MS Mincho"/>
          <w:lang w:val="fr-CH"/>
        </w:rPr>
        <w:t>et intégrer le travail relatif à</w:t>
      </w:r>
      <w:r w:rsidR="00AA42DB">
        <w:rPr>
          <w:rFonts w:eastAsia="MS Mincho"/>
          <w:lang w:val="fr-CH"/>
        </w:rPr>
        <w:t xml:space="preserve"> cette convention dans leurs activités actuelles </w:t>
      </w:r>
      <w:r w:rsidR="0030776D">
        <w:rPr>
          <w:rFonts w:eastAsia="MS Mincho"/>
          <w:lang w:val="fr-CH"/>
        </w:rPr>
        <w:t>lors</w:t>
      </w:r>
      <w:r w:rsidR="00AA42DB">
        <w:rPr>
          <w:rFonts w:eastAsia="MS Mincho"/>
          <w:lang w:val="fr-CH"/>
        </w:rPr>
        <w:t xml:space="preserve">qu’il remplira ces fonctions supplémentaires. </w:t>
      </w:r>
    </w:p>
    <w:p w14:paraId="3FE8693E" w14:textId="653088C7" w:rsidR="000579BF" w:rsidRDefault="000579BF"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579BF">
        <w:rPr>
          <w:rFonts w:eastAsia="MS Mincho"/>
          <w:lang w:val="fr-CH"/>
        </w:rPr>
        <w:t>On peut s’attendre à ce</w:t>
      </w:r>
      <w:r w:rsidR="00CA2842">
        <w:rPr>
          <w:rFonts w:eastAsia="MS Mincho"/>
          <w:lang w:val="fr-CH"/>
        </w:rPr>
        <w:t xml:space="preserve"> que, du fait de ces arrangements, </w:t>
      </w:r>
      <w:r w:rsidRPr="000579BF">
        <w:rPr>
          <w:rFonts w:eastAsia="MS Mincho"/>
          <w:lang w:val="fr-CH"/>
        </w:rPr>
        <w:t xml:space="preserve">la coopération et les synergies </w:t>
      </w:r>
      <w:r w:rsidR="00CA2842">
        <w:rPr>
          <w:rFonts w:eastAsia="MS Mincho"/>
          <w:lang w:val="fr-CH"/>
        </w:rPr>
        <w:t xml:space="preserve">en matière </w:t>
      </w:r>
      <w:r w:rsidR="0088777D">
        <w:rPr>
          <w:rFonts w:eastAsia="MS Mincho"/>
          <w:lang w:val="fr-CH"/>
        </w:rPr>
        <w:t>de fonctionnement se développe</w:t>
      </w:r>
      <w:r w:rsidR="00CA2842">
        <w:rPr>
          <w:rFonts w:eastAsia="MS Mincho"/>
          <w:lang w:val="fr-CH"/>
        </w:rPr>
        <w:t>nt dans un certain nombre de domaines des quatre conventions, qu’il s’agisse d’activités scientifiques et techniques, du renforcement des capacités et de l’</w:t>
      </w:r>
      <w:r w:rsidR="0030776D">
        <w:rPr>
          <w:rFonts w:eastAsia="MS Mincho"/>
          <w:lang w:val="fr-CH"/>
        </w:rPr>
        <w:t xml:space="preserve">assistance technique ou </w:t>
      </w:r>
      <w:r w:rsidR="00164B3B">
        <w:rPr>
          <w:rFonts w:eastAsia="MS Mincho"/>
          <w:lang w:val="fr-CH"/>
        </w:rPr>
        <w:t xml:space="preserve">des activités </w:t>
      </w:r>
      <w:r w:rsidR="006A01FD">
        <w:rPr>
          <w:rFonts w:eastAsia="MS Mincho"/>
          <w:lang w:val="fr-CH"/>
        </w:rPr>
        <w:t>touchant aux</w:t>
      </w:r>
      <w:r w:rsidR="00CA2842">
        <w:rPr>
          <w:rFonts w:eastAsia="MS Mincho"/>
          <w:lang w:val="fr-CH"/>
        </w:rPr>
        <w:t xml:space="preserve"> politiques</w:t>
      </w:r>
      <w:r w:rsidR="006A01FD">
        <w:rPr>
          <w:rFonts w:eastAsia="MS Mincho"/>
          <w:lang w:val="fr-CH"/>
        </w:rPr>
        <w:t>, au domaine juridique et à</w:t>
      </w:r>
      <w:r w:rsidR="00CA2842">
        <w:rPr>
          <w:rFonts w:eastAsia="MS Mincho"/>
          <w:lang w:val="fr-CH"/>
        </w:rPr>
        <w:t xml:space="preserve"> la gouvernance. </w:t>
      </w:r>
      <w:r w:rsidR="002B4B50">
        <w:rPr>
          <w:rFonts w:eastAsia="MS Mincho"/>
          <w:lang w:val="fr-CH"/>
        </w:rPr>
        <w:t xml:space="preserve">De nouvelles possibilités en matière d’activités conjointes sont prévues et aideront les pays à </w:t>
      </w:r>
      <w:r w:rsidR="00297724">
        <w:rPr>
          <w:rFonts w:eastAsia="MS Mincho"/>
          <w:lang w:val="fr-CH"/>
        </w:rPr>
        <w:t>poursuivre</w:t>
      </w:r>
      <w:r w:rsidR="002B4B50">
        <w:rPr>
          <w:rFonts w:eastAsia="MS Mincho"/>
          <w:lang w:val="fr-CH"/>
        </w:rPr>
        <w:t xml:space="preserve"> leur mise en œuvre des convention</w:t>
      </w:r>
      <w:r w:rsidR="002F60E1">
        <w:rPr>
          <w:rFonts w:eastAsia="MS Mincho"/>
          <w:lang w:val="fr-CH"/>
        </w:rPr>
        <w:t>s</w:t>
      </w:r>
      <w:r w:rsidR="002B4B50">
        <w:rPr>
          <w:rFonts w:eastAsia="MS Mincho"/>
          <w:lang w:val="fr-CH"/>
        </w:rPr>
        <w:t xml:space="preserve"> de Bâl</w:t>
      </w:r>
      <w:r w:rsidR="002F60E1">
        <w:rPr>
          <w:rFonts w:eastAsia="MS Mincho"/>
          <w:lang w:val="fr-CH"/>
        </w:rPr>
        <w:t xml:space="preserve">e, de Rotterdam et de Stockholm </w:t>
      </w:r>
      <w:r w:rsidR="002F60E1">
        <w:rPr>
          <w:rFonts w:eastAsia="MS Mincho"/>
          <w:lang w:val="fr-FR"/>
        </w:rPr>
        <w:t>et à mettre en place le dispositif nécessaire à l’application de la Convention de Minamata</w:t>
      </w:r>
      <w:r w:rsidR="00297724">
        <w:rPr>
          <w:rFonts w:eastAsia="MS Mincho"/>
          <w:lang w:val="fr-FR"/>
        </w:rPr>
        <w:t xml:space="preserve">. En outre, cette option peut permettre d’améliorer l’exécution des tâches au niveau régional grâce à une utilisation coordonnée des centres régionaux des conventions de Bâle et de Stockholm, </w:t>
      </w:r>
      <w:r w:rsidR="00AE3FB6">
        <w:rPr>
          <w:rFonts w:eastAsia="MS Mincho"/>
          <w:lang w:val="fr-FR"/>
        </w:rPr>
        <w:t>y compris les tâche</w:t>
      </w:r>
      <w:r w:rsidR="00EE0EAC">
        <w:rPr>
          <w:rFonts w:eastAsia="MS Mincho"/>
          <w:lang w:val="fr-FR"/>
        </w:rPr>
        <w:t>s</w:t>
      </w:r>
      <w:r w:rsidR="00AE3FB6">
        <w:rPr>
          <w:rFonts w:eastAsia="MS Mincho"/>
          <w:lang w:val="fr-FR"/>
        </w:rPr>
        <w:t xml:space="preserve"> relevant du programme conjoint d’assistance technique.</w:t>
      </w:r>
    </w:p>
    <w:p w14:paraId="4F712845" w14:textId="3F4145D6" w:rsidR="0041238C" w:rsidRPr="0000549F" w:rsidRDefault="004556E2" w:rsidP="00EE0EAC">
      <w:pPr>
        <w:pStyle w:val="CH3"/>
        <w:ind w:firstLine="0"/>
        <w:rPr>
          <w:rFonts w:eastAsia="MS Mincho"/>
          <w:lang w:val="fr-CH"/>
        </w:rPr>
      </w:pPr>
      <w:r>
        <w:rPr>
          <w:rFonts w:eastAsia="MS Mincho"/>
          <w:lang w:val="fr-CH"/>
        </w:rPr>
        <w:t>Option </w:t>
      </w:r>
      <w:r w:rsidR="00B529FD" w:rsidRPr="0000549F">
        <w:rPr>
          <w:rFonts w:eastAsia="MS Mincho"/>
          <w:lang w:val="fr-CH"/>
        </w:rPr>
        <w:t>1</w:t>
      </w:r>
      <w:r>
        <w:rPr>
          <w:rFonts w:eastAsia="MS Mincho"/>
          <w:lang w:val="fr-CH"/>
        </w:rPr>
        <w:t> </w:t>
      </w:r>
      <w:r w:rsidR="0041238C" w:rsidRPr="0000549F">
        <w:rPr>
          <w:rFonts w:eastAsia="MS Mincho"/>
          <w:lang w:val="fr-CH"/>
        </w:rPr>
        <w:t>b)</w:t>
      </w:r>
      <w:r w:rsidR="00174A1C" w:rsidRPr="0000549F">
        <w:rPr>
          <w:rFonts w:eastAsia="MS Mincho"/>
          <w:lang w:val="fr-CH"/>
        </w:rPr>
        <w:t xml:space="preserve"> </w:t>
      </w:r>
      <w:r w:rsidR="0042431C" w:rsidRPr="0000549F">
        <w:rPr>
          <w:rFonts w:eastAsia="MS Mincho"/>
          <w:lang w:val="fr-CH"/>
        </w:rPr>
        <w:t>(</w:t>
      </w:r>
      <w:r w:rsidR="00B529FD" w:rsidRPr="0000549F">
        <w:rPr>
          <w:rFonts w:eastAsia="MS Mincho"/>
          <w:lang w:val="fr-CH"/>
        </w:rPr>
        <w:t>intégration sous forme de Service</w:t>
      </w:r>
      <w:r w:rsidR="0042431C" w:rsidRPr="0000549F">
        <w:rPr>
          <w:rFonts w:eastAsia="MS Mincho"/>
          <w:lang w:val="fr-CH"/>
        </w:rPr>
        <w:t>)</w:t>
      </w:r>
      <w:r w:rsidR="00721CE8">
        <w:rPr>
          <w:rFonts w:eastAsia="MS Mincho"/>
          <w:lang w:val="fr-CH"/>
        </w:rPr>
        <w:t> </w:t>
      </w:r>
      <w:r w:rsidR="0041238C" w:rsidRPr="0000549F">
        <w:rPr>
          <w:rFonts w:eastAsia="MS Mincho"/>
          <w:lang w:val="fr-CH"/>
        </w:rPr>
        <w:t xml:space="preserve">: </w:t>
      </w:r>
      <w:r w:rsidR="00721CE8">
        <w:rPr>
          <w:rFonts w:eastAsia="MS Mincho"/>
          <w:lang w:val="fr-CH"/>
        </w:rPr>
        <w:t>Fusionnement</w:t>
      </w:r>
      <w:r w:rsidR="00B529FD" w:rsidRPr="0000549F">
        <w:rPr>
          <w:rFonts w:eastAsia="MS Mincho"/>
          <w:lang w:val="fr-CH"/>
        </w:rPr>
        <w:t xml:space="preserve"> du </w:t>
      </w:r>
      <w:r w:rsidR="00721CE8">
        <w:rPr>
          <w:rFonts w:eastAsia="MS Mincho"/>
          <w:lang w:val="fr-CH"/>
        </w:rPr>
        <w:t>s</w:t>
      </w:r>
      <w:r w:rsidR="0000549F" w:rsidRPr="0000549F">
        <w:rPr>
          <w:rFonts w:eastAsia="MS Mincho"/>
          <w:lang w:val="fr-CH"/>
        </w:rPr>
        <w:t>ecré</w:t>
      </w:r>
      <w:r w:rsidR="00B529FD" w:rsidRPr="0000549F">
        <w:rPr>
          <w:rFonts w:eastAsia="MS Mincho"/>
          <w:lang w:val="fr-CH"/>
        </w:rPr>
        <w:t xml:space="preserve">tariat </w:t>
      </w:r>
      <w:r w:rsidR="008362F7">
        <w:rPr>
          <w:rFonts w:eastAsia="MS Mincho"/>
          <w:lang w:val="fr-CH"/>
        </w:rPr>
        <w:br/>
      </w:r>
      <w:r w:rsidR="00B529FD" w:rsidRPr="0000549F">
        <w:rPr>
          <w:rFonts w:eastAsia="MS Mincho"/>
          <w:lang w:val="fr-CH"/>
        </w:rPr>
        <w:t>de l</w:t>
      </w:r>
      <w:r w:rsidR="0000549F" w:rsidRPr="0000549F">
        <w:rPr>
          <w:rFonts w:eastAsia="MS Mincho"/>
          <w:lang w:val="fr-CH"/>
        </w:rPr>
        <w:t xml:space="preserve">a Convention de Minamata </w:t>
      </w:r>
      <w:r w:rsidR="00721CE8">
        <w:rPr>
          <w:rFonts w:eastAsia="MS Mincho"/>
          <w:lang w:val="fr-CH"/>
        </w:rPr>
        <w:t>avec le S</w:t>
      </w:r>
      <w:r w:rsidR="00B529FD" w:rsidRPr="0000549F">
        <w:rPr>
          <w:rFonts w:eastAsia="MS Mincho"/>
          <w:lang w:val="fr-CH"/>
        </w:rPr>
        <w:t xml:space="preserve">ecrétariat des conventions de Bâle, </w:t>
      </w:r>
      <w:r w:rsidR="00EF3978">
        <w:rPr>
          <w:rFonts w:eastAsia="MS Mincho"/>
          <w:lang w:val="fr-CH"/>
        </w:rPr>
        <w:t xml:space="preserve">de </w:t>
      </w:r>
      <w:r w:rsidR="00B529FD" w:rsidRPr="0000549F">
        <w:rPr>
          <w:rFonts w:eastAsia="MS Mincho"/>
          <w:lang w:val="fr-CH"/>
        </w:rPr>
        <w:t xml:space="preserve">Rotterdam </w:t>
      </w:r>
      <w:r w:rsidR="008362F7">
        <w:rPr>
          <w:rFonts w:eastAsia="MS Mincho"/>
          <w:lang w:val="fr-CH"/>
        </w:rPr>
        <w:br/>
      </w:r>
      <w:r w:rsidR="00B529FD" w:rsidRPr="0000549F">
        <w:rPr>
          <w:rFonts w:eastAsia="MS Mincho"/>
          <w:lang w:val="fr-CH"/>
        </w:rPr>
        <w:t xml:space="preserve">et </w:t>
      </w:r>
      <w:r w:rsidR="00EF3978">
        <w:rPr>
          <w:rFonts w:eastAsia="MS Mincho"/>
          <w:lang w:val="fr-CH"/>
        </w:rPr>
        <w:t xml:space="preserve">de </w:t>
      </w:r>
      <w:r w:rsidR="00B529FD" w:rsidRPr="0000549F">
        <w:rPr>
          <w:rFonts w:eastAsia="MS Mincho"/>
          <w:lang w:val="fr-CH"/>
        </w:rPr>
        <w:t>Stockholm</w:t>
      </w:r>
      <w:r w:rsidR="0000549F" w:rsidRPr="0000549F">
        <w:rPr>
          <w:rFonts w:eastAsia="MS Mincho"/>
          <w:lang w:val="fr-CH"/>
        </w:rPr>
        <w:t xml:space="preserve"> par la </w:t>
      </w:r>
      <w:r w:rsidR="0000549F">
        <w:rPr>
          <w:rFonts w:eastAsia="MS Mincho"/>
          <w:lang w:val="fr-CH"/>
        </w:rPr>
        <w:t>cré</w:t>
      </w:r>
      <w:r w:rsidR="0000549F" w:rsidRPr="0000549F">
        <w:rPr>
          <w:rFonts w:eastAsia="MS Mincho"/>
          <w:lang w:val="fr-CH"/>
        </w:rPr>
        <w:t xml:space="preserve">ation, au cours de la période intérimaire, d’un Service </w:t>
      </w:r>
      <w:r w:rsidR="008362F7">
        <w:rPr>
          <w:rFonts w:eastAsia="MS Mincho"/>
          <w:lang w:val="fr-CH"/>
        </w:rPr>
        <w:br/>
      </w:r>
      <w:r w:rsidR="0000549F" w:rsidRPr="0000549F">
        <w:rPr>
          <w:rFonts w:eastAsia="MS Mincho"/>
          <w:lang w:val="fr-CH"/>
        </w:rPr>
        <w:t>de la Co</w:t>
      </w:r>
      <w:r w:rsidR="00C64B37">
        <w:rPr>
          <w:rFonts w:eastAsia="MS Mincho"/>
          <w:lang w:val="fr-CH"/>
        </w:rPr>
        <w:t>n</w:t>
      </w:r>
      <w:r w:rsidR="0000549F" w:rsidRPr="0000549F">
        <w:rPr>
          <w:rFonts w:eastAsia="MS Mincho"/>
          <w:lang w:val="fr-CH"/>
        </w:rPr>
        <w:t>vention de Minamata au sein de celui</w:t>
      </w:r>
      <w:r w:rsidR="0000549F" w:rsidRPr="0000549F">
        <w:rPr>
          <w:rFonts w:eastAsia="MS Mincho"/>
          <w:lang w:val="fr-CH"/>
        </w:rPr>
        <w:noBreakHyphen/>
        <w:t>ci</w:t>
      </w:r>
      <w:r w:rsidR="0041238C" w:rsidRPr="0000549F">
        <w:rPr>
          <w:rFonts w:eastAsia="MS Mincho"/>
          <w:lang w:val="fr-CH"/>
        </w:rPr>
        <w:t xml:space="preserve"> </w:t>
      </w:r>
    </w:p>
    <w:p w14:paraId="4322C15F" w14:textId="1E0A6955" w:rsidR="0041238C" w:rsidRPr="007E304A" w:rsidRDefault="0000549F" w:rsidP="0041238C">
      <w:pPr>
        <w:pStyle w:val="Normalnumber"/>
        <w:numPr>
          <w:ilvl w:val="0"/>
          <w:numId w:val="0"/>
        </w:numPr>
        <w:ind w:left="1247"/>
        <w:rPr>
          <w:rFonts w:eastAsia="MS Mincho"/>
          <w:u w:val="single"/>
        </w:rPr>
      </w:pPr>
      <w:r>
        <w:rPr>
          <w:rFonts w:eastAsia="MS Mincho"/>
        </w:rPr>
        <w:t xml:space="preserve">Lieu </w:t>
      </w:r>
      <w:r w:rsidRPr="008F1D0A">
        <w:rPr>
          <w:rFonts w:eastAsia="MS Mincho"/>
          <w:lang w:val="fr-CH"/>
        </w:rPr>
        <w:t>d’implantation</w:t>
      </w:r>
      <w:r w:rsidR="00651E3B">
        <w:rPr>
          <w:rFonts w:eastAsia="MS Mincho"/>
          <w:lang w:val="fr-CH"/>
        </w:rPr>
        <w:t> </w:t>
      </w:r>
      <w:r>
        <w:rPr>
          <w:rFonts w:eastAsia="MS Mincho"/>
        </w:rPr>
        <w:t>: Genève</w:t>
      </w:r>
    </w:p>
    <w:p w14:paraId="27613F57" w14:textId="77777777" w:rsidR="0041238C" w:rsidRPr="00B959C3" w:rsidRDefault="0041238C" w:rsidP="006432A8">
      <w:pPr>
        <w:pStyle w:val="CH4"/>
        <w:outlineLvl w:val="0"/>
        <w:rPr>
          <w:rFonts w:eastAsia="MS Mincho"/>
        </w:rPr>
      </w:pPr>
      <w:r w:rsidRPr="007E304A">
        <w:rPr>
          <w:rFonts w:eastAsia="MS Mincho"/>
        </w:rPr>
        <w:tab/>
      </w:r>
      <w:r w:rsidRPr="007E304A">
        <w:rPr>
          <w:rFonts w:eastAsia="MS Mincho"/>
        </w:rPr>
        <w:tab/>
        <w:t xml:space="preserve">Structure </w:t>
      </w:r>
    </w:p>
    <w:p w14:paraId="75CA7440" w14:textId="2D35F592" w:rsidR="00621DFF" w:rsidRDefault="00621DFF"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621DFF">
        <w:rPr>
          <w:rFonts w:eastAsia="MS Mincho"/>
          <w:lang w:val="fr-CH"/>
        </w:rPr>
        <w:t xml:space="preserve">Cette option prévoit la </w:t>
      </w:r>
      <w:r>
        <w:rPr>
          <w:rFonts w:eastAsia="MS Mincho"/>
          <w:lang w:val="fr-CH"/>
        </w:rPr>
        <w:t>cré</w:t>
      </w:r>
      <w:r w:rsidRPr="00621DFF">
        <w:rPr>
          <w:rFonts w:eastAsia="MS Mincho"/>
          <w:lang w:val="fr-CH"/>
        </w:rPr>
        <w:t xml:space="preserve">ation d’un service de la Convention de Minamata </w:t>
      </w:r>
      <w:r w:rsidR="00EB3FF1">
        <w:rPr>
          <w:rFonts w:eastAsia="MS Mincho"/>
          <w:lang w:val="fr-CH"/>
        </w:rPr>
        <w:t xml:space="preserve">placé sous l’autorité conjointe d’un Secrétaire exécutif du secrétariat des conventions de Bâle, </w:t>
      </w:r>
      <w:r w:rsidR="004B1A6D">
        <w:rPr>
          <w:rFonts w:eastAsia="MS Mincho"/>
          <w:lang w:val="fr-CH"/>
        </w:rPr>
        <w:t xml:space="preserve">de </w:t>
      </w:r>
      <w:r w:rsidR="00EB3FF1">
        <w:rPr>
          <w:rFonts w:eastAsia="MS Mincho"/>
          <w:lang w:val="fr-CH"/>
        </w:rPr>
        <w:t xml:space="preserve">Rotterdam et </w:t>
      </w:r>
      <w:r w:rsidR="004B1A6D">
        <w:rPr>
          <w:rFonts w:eastAsia="MS Mincho"/>
          <w:lang w:val="fr-CH"/>
        </w:rPr>
        <w:t xml:space="preserve">de </w:t>
      </w:r>
      <w:r w:rsidR="00EB3FF1">
        <w:rPr>
          <w:rFonts w:eastAsia="MS Mincho"/>
          <w:lang w:val="fr-CH"/>
        </w:rPr>
        <w:t>Stockholm</w:t>
      </w:r>
      <w:r w:rsidR="00721CE8">
        <w:rPr>
          <w:rFonts w:eastAsia="MS Mincho"/>
          <w:lang w:val="fr-CH"/>
        </w:rPr>
        <w:t xml:space="preserve"> et de la Convention de Minamata</w:t>
      </w:r>
      <w:r w:rsidR="004B1A6D">
        <w:rPr>
          <w:rFonts w:eastAsia="MS Mincho"/>
          <w:lang w:val="fr-CH"/>
        </w:rPr>
        <w:t xml:space="preserve">. </w:t>
      </w:r>
      <w:r w:rsidR="00923AAC">
        <w:rPr>
          <w:rFonts w:eastAsia="MS Mincho"/>
          <w:lang w:val="fr-CH"/>
        </w:rPr>
        <w:t>Alors que l</w:t>
      </w:r>
      <w:r w:rsidR="00E51EAB">
        <w:rPr>
          <w:rFonts w:eastAsia="MS Mincho"/>
          <w:lang w:val="fr-CH"/>
        </w:rPr>
        <w:t xml:space="preserve">e Secrétaire exécutif s’acquitterait des fonctions de </w:t>
      </w:r>
      <w:r w:rsidR="00CC4B23">
        <w:rPr>
          <w:rFonts w:eastAsia="MS Mincho"/>
          <w:lang w:val="fr-CH"/>
        </w:rPr>
        <w:t>supervision générale, de direction exécutive et de</w:t>
      </w:r>
      <w:r w:rsidR="00923AAC">
        <w:rPr>
          <w:rFonts w:eastAsia="MS Mincho"/>
          <w:lang w:val="fr-CH"/>
        </w:rPr>
        <w:t xml:space="preserve"> contrôle des quatre conventions</w:t>
      </w:r>
      <w:r w:rsidR="0030776D">
        <w:rPr>
          <w:rFonts w:eastAsia="MS Mincho"/>
          <w:lang w:val="fr-CH"/>
        </w:rPr>
        <w:t>,</w:t>
      </w:r>
      <w:r w:rsidR="00CC4B23">
        <w:rPr>
          <w:rFonts w:eastAsia="MS Mincho"/>
          <w:lang w:val="fr-CH"/>
        </w:rPr>
        <w:t xml:space="preserve"> </w:t>
      </w:r>
      <w:r w:rsidR="00923AAC">
        <w:rPr>
          <w:rFonts w:eastAsia="MS Mincho"/>
          <w:lang w:val="fr-CH"/>
        </w:rPr>
        <w:t xml:space="preserve">le Service de la Convention de Minamata serait, lui, chargé </w:t>
      </w:r>
      <w:r w:rsidR="00D4038E">
        <w:rPr>
          <w:rFonts w:eastAsia="MS Mincho"/>
          <w:lang w:val="fr-CH"/>
        </w:rPr>
        <w:t xml:space="preserve">plus précisément </w:t>
      </w:r>
      <w:r w:rsidR="005D6CB7">
        <w:rPr>
          <w:rFonts w:eastAsia="MS Mincho"/>
          <w:lang w:val="fr-CH"/>
        </w:rPr>
        <w:t>de coordonner et d’organiser l</w:t>
      </w:r>
      <w:r w:rsidR="00923AAC">
        <w:rPr>
          <w:rFonts w:eastAsia="MS Mincho"/>
          <w:lang w:val="fr-CH"/>
        </w:rPr>
        <w:t xml:space="preserve">es activités </w:t>
      </w:r>
      <w:r w:rsidR="005D6CB7">
        <w:rPr>
          <w:rFonts w:eastAsia="MS Mincho"/>
          <w:lang w:val="fr-CH"/>
        </w:rPr>
        <w:t>de politique générale</w:t>
      </w:r>
      <w:r w:rsidR="00D4038E">
        <w:rPr>
          <w:rFonts w:eastAsia="MS Mincho"/>
          <w:lang w:val="fr-CH"/>
        </w:rPr>
        <w:t xml:space="preserve"> et de </w:t>
      </w:r>
      <w:r w:rsidR="005D363C">
        <w:rPr>
          <w:rFonts w:eastAsia="MS Mincho"/>
          <w:lang w:val="fr-CH"/>
        </w:rPr>
        <w:t>fond</w:t>
      </w:r>
      <w:r w:rsidR="00D4038E">
        <w:rPr>
          <w:rFonts w:eastAsia="MS Mincho"/>
          <w:lang w:val="fr-CH"/>
        </w:rPr>
        <w:t xml:space="preserve"> </w:t>
      </w:r>
      <w:r w:rsidR="00923AAC">
        <w:rPr>
          <w:rFonts w:eastAsia="MS Mincho"/>
          <w:lang w:val="fr-CH"/>
        </w:rPr>
        <w:t>liées aux fonctions du secrétariat de la Convention de Minamata.</w:t>
      </w:r>
      <w:r w:rsidR="00C67820">
        <w:rPr>
          <w:rFonts w:eastAsia="MS Mincho"/>
          <w:lang w:val="fr-CH"/>
        </w:rPr>
        <w:t xml:space="preserve"> Chaque convention conserverait son </w:t>
      </w:r>
      <w:r w:rsidR="005D363C">
        <w:rPr>
          <w:rFonts w:eastAsia="MS Mincho"/>
          <w:lang w:val="fr-CH"/>
        </w:rPr>
        <w:t xml:space="preserve">autonomie juridique </w:t>
      </w:r>
      <w:r w:rsidR="00C67820">
        <w:rPr>
          <w:rFonts w:eastAsia="MS Mincho"/>
          <w:lang w:val="fr-CH"/>
        </w:rPr>
        <w:t>et celle de s</w:t>
      </w:r>
      <w:r w:rsidR="005D363C">
        <w:rPr>
          <w:rFonts w:eastAsia="MS Mincho"/>
          <w:lang w:val="fr-CH"/>
        </w:rPr>
        <w:t xml:space="preserve">es programmes de travail. </w:t>
      </w:r>
    </w:p>
    <w:p w14:paraId="7899F9FB" w14:textId="34F37390" w:rsidR="00C67820" w:rsidRDefault="0014614E"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 xml:space="preserve">Le Service de la </w:t>
      </w:r>
      <w:r w:rsidR="000239E5">
        <w:rPr>
          <w:rFonts w:eastAsia="MS Mincho"/>
          <w:lang w:val="fr-CH"/>
        </w:rPr>
        <w:t xml:space="preserve">Convention de Minamata serait appuyé </w:t>
      </w:r>
      <w:r>
        <w:rPr>
          <w:rFonts w:eastAsia="MS Mincho"/>
          <w:lang w:val="fr-CH"/>
        </w:rPr>
        <w:t xml:space="preserve">par le Secrétaire exécutif adjoint pour toutes les questions administratives </w:t>
      </w:r>
      <w:r w:rsidR="000239E5">
        <w:rPr>
          <w:rFonts w:eastAsia="MS Mincho"/>
          <w:lang w:val="fr-CH"/>
        </w:rPr>
        <w:t>et autres arrangements</w:t>
      </w:r>
      <w:r w:rsidR="001F5956">
        <w:rPr>
          <w:rFonts w:eastAsia="MS Mincho"/>
          <w:lang w:val="fr-CH"/>
        </w:rPr>
        <w:t xml:space="preserve"> nécessaires à la bonne exécution des fonctions du secrétariat de la Convention de Minamata. Le Chef du Service de la Convention de Minamata serait également appuyé par </w:t>
      </w:r>
      <w:r w:rsidR="00B17F33">
        <w:rPr>
          <w:rFonts w:eastAsia="MS Mincho"/>
          <w:lang w:val="fr-CH"/>
        </w:rPr>
        <w:t>celui du</w:t>
      </w:r>
      <w:r w:rsidR="00D06895">
        <w:rPr>
          <w:rFonts w:eastAsia="MS Mincho"/>
          <w:lang w:val="fr-CH"/>
        </w:rPr>
        <w:t xml:space="preserve"> Service </w:t>
      </w:r>
      <w:r w:rsidR="00FE5B50">
        <w:rPr>
          <w:rFonts w:eastAsia="MS Mincho"/>
          <w:lang w:val="fr-CH"/>
        </w:rPr>
        <w:t>des opérations</w:t>
      </w:r>
      <w:r w:rsidR="00F100B1">
        <w:rPr>
          <w:rFonts w:eastAsia="MS Mincho"/>
          <w:lang w:val="fr-CH"/>
        </w:rPr>
        <w:t xml:space="preserve"> des conventions</w:t>
      </w:r>
      <w:r w:rsidR="001F5956">
        <w:rPr>
          <w:rFonts w:eastAsia="MS Mincho"/>
          <w:lang w:val="fr-CH"/>
        </w:rPr>
        <w:t xml:space="preserve"> </w:t>
      </w:r>
      <w:r w:rsidR="00D06895">
        <w:rPr>
          <w:rFonts w:eastAsia="MS Mincho"/>
          <w:lang w:val="fr-CH"/>
        </w:rPr>
        <w:t xml:space="preserve">pour les tâches liées à l’organisation des réunions de la Conférence des Parties à la Convention de Minamata et </w:t>
      </w:r>
      <w:r w:rsidR="009E6C72">
        <w:rPr>
          <w:rFonts w:eastAsia="MS Mincho"/>
          <w:lang w:val="fr-CH"/>
        </w:rPr>
        <w:t xml:space="preserve">de </w:t>
      </w:r>
      <w:r w:rsidR="00D06895">
        <w:rPr>
          <w:rFonts w:eastAsia="MS Mincho"/>
          <w:lang w:val="fr-CH"/>
        </w:rPr>
        <w:t xml:space="preserve">ses organes subsidiaires. </w:t>
      </w:r>
      <w:r w:rsidR="00AD2405">
        <w:rPr>
          <w:rFonts w:eastAsia="MS Mincho"/>
          <w:lang w:val="fr-CH"/>
        </w:rPr>
        <w:t>L’appui apporté par le Secrétaire exécutif adjoint au Chef du Service de la Convention de M</w:t>
      </w:r>
      <w:r w:rsidR="00467EA8">
        <w:rPr>
          <w:rFonts w:eastAsia="MS Mincho"/>
          <w:lang w:val="fr-CH"/>
        </w:rPr>
        <w:t>ina</w:t>
      </w:r>
      <w:r w:rsidR="00AD2405">
        <w:rPr>
          <w:rFonts w:eastAsia="MS Mincho"/>
          <w:lang w:val="fr-CH"/>
        </w:rPr>
        <w:t>mata serait</w:t>
      </w:r>
      <w:r w:rsidR="00D56BB4">
        <w:rPr>
          <w:rFonts w:eastAsia="MS Mincho"/>
          <w:lang w:val="fr-CH"/>
        </w:rPr>
        <w:t xml:space="preserve"> effectué</w:t>
      </w:r>
      <w:r w:rsidR="00AD2405">
        <w:rPr>
          <w:rFonts w:eastAsia="MS Mincho"/>
          <w:lang w:val="fr-CH"/>
        </w:rPr>
        <w:t xml:space="preserve"> sous la </w:t>
      </w:r>
      <w:r w:rsidR="008E5D5E">
        <w:rPr>
          <w:rFonts w:eastAsia="MS Mincho"/>
          <w:lang w:val="fr-CH"/>
        </w:rPr>
        <w:t xml:space="preserve">supervision générale et la direction du Secrétaire exécutif. </w:t>
      </w:r>
    </w:p>
    <w:p w14:paraId="77578BFC" w14:textId="321E58E8" w:rsidR="00D56BB4" w:rsidRPr="00D56BB4" w:rsidRDefault="000F5809" w:rsidP="006F64C0">
      <w:pPr>
        <w:pStyle w:val="Normal-pool"/>
        <w:keepNext/>
        <w:keepLines/>
        <w:numPr>
          <w:ilvl w:val="0"/>
          <w:numId w:val="134"/>
        </w:numPr>
        <w:tabs>
          <w:tab w:val="clear" w:pos="1247"/>
          <w:tab w:val="clear" w:pos="1814"/>
          <w:tab w:val="clear" w:pos="2381"/>
          <w:tab w:val="clear" w:pos="2948"/>
          <w:tab w:val="clear" w:pos="3515"/>
          <w:tab w:val="clear" w:pos="4082"/>
          <w:tab w:val="left" w:pos="624"/>
        </w:tabs>
        <w:spacing w:after="120"/>
        <w:ind w:left="1253" w:firstLine="0"/>
        <w:rPr>
          <w:rFonts w:eastAsia="MS Mincho"/>
          <w:lang w:val="fr-CH"/>
        </w:rPr>
      </w:pPr>
      <w:r>
        <w:rPr>
          <w:rFonts w:eastAsia="MS Mincho"/>
          <w:lang w:val="fr-CH"/>
        </w:rPr>
        <w:lastRenderedPageBreak/>
        <w:t xml:space="preserve">Ce mode de fonctionnement serait en place jusqu’à ce qu’une décision soit prise visant à </w:t>
      </w:r>
      <w:r w:rsidR="00347052">
        <w:rPr>
          <w:rFonts w:eastAsia="MS Mincho"/>
          <w:lang w:val="fr-CH"/>
        </w:rPr>
        <w:t>incorporer entièrement</w:t>
      </w:r>
      <w:r>
        <w:rPr>
          <w:rFonts w:eastAsia="MS Mincho"/>
          <w:lang w:val="fr-CH"/>
        </w:rPr>
        <w:t xml:space="preserve"> les fonctions de secrétariat de la Convention de Minamata </w:t>
      </w:r>
      <w:r w:rsidR="00347052">
        <w:rPr>
          <w:rFonts w:eastAsia="MS Mincho"/>
          <w:lang w:val="fr-CH"/>
        </w:rPr>
        <w:t>dans</w:t>
      </w:r>
      <w:r>
        <w:rPr>
          <w:rFonts w:eastAsia="MS Mincho"/>
          <w:lang w:val="fr-CH"/>
        </w:rPr>
        <w:t xml:space="preserve"> la structure actuelle du secrétariat des conventions de Bâle, de Rotterdam et de Stockholm, </w:t>
      </w:r>
      <w:r w:rsidR="00347052">
        <w:rPr>
          <w:rFonts w:eastAsia="MS Mincho"/>
          <w:lang w:val="fr-CH"/>
        </w:rPr>
        <w:t>comme présenté à l’option1 a).</w:t>
      </w:r>
    </w:p>
    <w:p w14:paraId="0F1F0C38" w14:textId="545105AC" w:rsidR="0041238C" w:rsidRPr="00B959C3" w:rsidRDefault="00E1358D" w:rsidP="00E1358D">
      <w:pPr>
        <w:pStyle w:val="CH4"/>
        <w:ind w:firstLine="0"/>
        <w:outlineLvl w:val="0"/>
        <w:rPr>
          <w:rFonts w:eastAsia="MS Mincho"/>
        </w:rPr>
      </w:pPr>
      <w:r>
        <w:rPr>
          <w:rFonts w:eastAsia="MS Mincho"/>
        </w:rPr>
        <w:t>Dotation en personnel</w:t>
      </w:r>
    </w:p>
    <w:p w14:paraId="40B87895" w14:textId="749026AE" w:rsidR="00E6779E" w:rsidRPr="00E6779E" w:rsidRDefault="00E6779E"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E6779E">
        <w:rPr>
          <w:rFonts w:eastAsia="MS Mincho"/>
          <w:lang w:val="fr-CH"/>
        </w:rPr>
        <w:t>Le Service de la Convention de Minamata serait composé d</w:t>
      </w:r>
      <w:r>
        <w:rPr>
          <w:rFonts w:eastAsia="MS Mincho"/>
          <w:lang w:val="fr-CH"/>
        </w:rPr>
        <w:t xml:space="preserve">u personnel suivant : </w:t>
      </w:r>
      <w:r w:rsidR="00DA2151">
        <w:rPr>
          <w:rFonts w:eastAsia="MS Mincho"/>
          <w:lang w:val="fr-CH"/>
        </w:rPr>
        <w:t xml:space="preserve">un chef </w:t>
      </w:r>
      <w:r w:rsidR="00FE5B50">
        <w:rPr>
          <w:rFonts w:eastAsia="MS Mincho"/>
          <w:lang w:val="fr-CH"/>
        </w:rPr>
        <w:t>du service</w:t>
      </w:r>
      <w:r w:rsidR="00F100B1">
        <w:rPr>
          <w:rFonts w:eastAsia="MS Mincho"/>
          <w:lang w:val="fr-CH"/>
        </w:rPr>
        <w:t xml:space="preserve"> chargé </w:t>
      </w:r>
      <w:r w:rsidR="00C30A6B">
        <w:rPr>
          <w:rFonts w:eastAsia="MS Mincho"/>
          <w:lang w:val="fr-CH"/>
        </w:rPr>
        <w:t xml:space="preserve">de la politique générale </w:t>
      </w:r>
      <w:r w:rsidR="00DA2151">
        <w:rPr>
          <w:rFonts w:eastAsia="MS Mincho"/>
          <w:lang w:val="fr-CH"/>
        </w:rPr>
        <w:t xml:space="preserve">et de la coordination </w:t>
      </w:r>
      <w:r w:rsidR="00FA6D9E">
        <w:rPr>
          <w:rFonts w:eastAsia="MS Mincho"/>
          <w:lang w:val="fr-CH"/>
        </w:rPr>
        <w:t xml:space="preserve">(D-1), un </w:t>
      </w:r>
      <w:r w:rsidR="000E3E77">
        <w:rPr>
          <w:rFonts w:eastAsia="MS Mincho"/>
          <w:lang w:val="fr-CH"/>
        </w:rPr>
        <w:t>spécialiste des questions scientifiques (P-4), un spécialiste des questions scientifiques et techniques (P-3)</w:t>
      </w:r>
      <w:r w:rsidR="009D3A07">
        <w:rPr>
          <w:rFonts w:eastAsia="MS Mincho"/>
          <w:lang w:val="fr-CH"/>
        </w:rPr>
        <w:t>, un fonctionnaire chargé de l’appui technique et du renforcement des capac</w:t>
      </w:r>
      <w:r w:rsidR="00721CE8">
        <w:rPr>
          <w:rFonts w:eastAsia="MS Mincho"/>
          <w:lang w:val="fr-CH"/>
        </w:rPr>
        <w:t>ités (P-3), un administrateur chargé de la</w:t>
      </w:r>
      <w:r w:rsidR="009D3A07">
        <w:rPr>
          <w:rFonts w:eastAsia="MS Mincho"/>
          <w:lang w:val="fr-CH"/>
        </w:rPr>
        <w:t xml:space="preserve"> gestion des connaissances </w:t>
      </w:r>
      <w:r w:rsidR="00255348">
        <w:rPr>
          <w:rFonts w:eastAsia="MS Mincho"/>
          <w:lang w:val="fr-CH"/>
        </w:rPr>
        <w:t xml:space="preserve">et </w:t>
      </w:r>
      <w:r w:rsidR="00721CE8">
        <w:rPr>
          <w:rFonts w:eastAsia="MS Mincho"/>
          <w:lang w:val="fr-CH"/>
        </w:rPr>
        <w:t xml:space="preserve">de </w:t>
      </w:r>
      <w:r w:rsidR="00255348">
        <w:rPr>
          <w:rFonts w:eastAsia="MS Mincho"/>
          <w:lang w:val="fr-CH"/>
        </w:rPr>
        <w:t>la communication des données (P-3) et quatre postes de la catégorie des services généraux.</w:t>
      </w:r>
    </w:p>
    <w:p w14:paraId="698370EB" w14:textId="2F83EA65" w:rsidR="00255348" w:rsidRPr="00C30CD2" w:rsidRDefault="00682A3C" w:rsidP="00C30CD2">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C30CD2">
        <w:rPr>
          <w:rFonts w:eastAsia="MS Mincho"/>
          <w:lang w:val="fr-CH"/>
        </w:rPr>
        <w:t>Par ailleurs</w:t>
      </w:r>
      <w:r w:rsidR="007C4506" w:rsidRPr="00C30CD2">
        <w:rPr>
          <w:rFonts w:eastAsia="MS Mincho"/>
          <w:lang w:val="fr-CH"/>
        </w:rPr>
        <w:t>, afin d’</w:t>
      </w:r>
      <w:r w:rsidRPr="00C30CD2">
        <w:rPr>
          <w:rFonts w:eastAsia="MS Mincho"/>
          <w:lang w:val="fr-CH"/>
        </w:rPr>
        <w:t>amélior</w:t>
      </w:r>
      <w:r w:rsidR="007C4506" w:rsidRPr="00C30CD2">
        <w:rPr>
          <w:rFonts w:eastAsia="MS Mincho"/>
          <w:lang w:val="fr-CH"/>
        </w:rPr>
        <w:t xml:space="preserve">er la capacité de la structure matricielle </w:t>
      </w:r>
      <w:r w:rsidRPr="00C30CD2">
        <w:rPr>
          <w:rFonts w:eastAsia="MS Mincho"/>
          <w:lang w:val="fr-CH"/>
        </w:rPr>
        <w:t>à</w:t>
      </w:r>
      <w:r w:rsidR="007C4506" w:rsidRPr="00C30CD2">
        <w:rPr>
          <w:rFonts w:eastAsia="MS Mincho"/>
          <w:lang w:val="fr-CH"/>
        </w:rPr>
        <w:t xml:space="preserve"> répondre aux besoins du Service de la Convention de Minamata, </w:t>
      </w:r>
      <w:r w:rsidR="009B45D9" w:rsidRPr="00C30CD2">
        <w:rPr>
          <w:rFonts w:eastAsia="MS Mincho"/>
          <w:lang w:val="fr-CH"/>
        </w:rPr>
        <w:t xml:space="preserve">il faut prévoir </w:t>
      </w:r>
      <w:r w:rsidR="00651E3B">
        <w:rPr>
          <w:rFonts w:eastAsia="MS Mincho"/>
          <w:lang w:val="fr-CH"/>
        </w:rPr>
        <w:t>l’équivalent de 1,5 </w:t>
      </w:r>
      <w:r w:rsidR="009B45D9" w:rsidRPr="00C30CD2">
        <w:rPr>
          <w:rFonts w:eastAsia="MS Mincho"/>
          <w:lang w:val="fr-CH"/>
        </w:rPr>
        <w:t>postes</w:t>
      </w:r>
      <w:r w:rsidR="00651E3B">
        <w:rPr>
          <w:rFonts w:eastAsia="MS Mincho"/>
          <w:lang w:val="fr-CH"/>
        </w:rPr>
        <w:t> </w:t>
      </w:r>
      <w:r w:rsidR="007C4506" w:rsidRPr="00C30CD2">
        <w:rPr>
          <w:rFonts w:eastAsia="MS Mincho"/>
          <w:lang w:val="fr-CH"/>
        </w:rPr>
        <w:t xml:space="preserve">P-3 </w:t>
      </w:r>
      <w:r w:rsidR="00C30A6B">
        <w:rPr>
          <w:rFonts w:eastAsia="MS Mincho"/>
          <w:lang w:val="fr-CH"/>
        </w:rPr>
        <w:t>sous la direction du c</w:t>
      </w:r>
      <w:r w:rsidRPr="00C30CD2">
        <w:rPr>
          <w:rFonts w:eastAsia="MS Mincho"/>
          <w:lang w:val="fr-CH"/>
        </w:rPr>
        <w:t xml:space="preserve">hef </w:t>
      </w:r>
      <w:r w:rsidR="00DB2328" w:rsidRPr="00C30CD2">
        <w:rPr>
          <w:rFonts w:eastAsia="MS Mincho"/>
          <w:lang w:val="fr-CH"/>
        </w:rPr>
        <w:t>du Service des opérations des conventions</w:t>
      </w:r>
      <w:r w:rsidR="00C30CD2">
        <w:rPr>
          <w:rFonts w:eastAsia="MS Mincho"/>
          <w:lang w:val="fr-CH"/>
        </w:rPr>
        <w:t xml:space="preserve"> </w:t>
      </w:r>
      <w:r w:rsidR="009B45D9" w:rsidRPr="00C30CD2">
        <w:rPr>
          <w:rFonts w:eastAsia="MS Mincho"/>
          <w:lang w:val="fr-CH"/>
        </w:rPr>
        <w:t xml:space="preserve">pour </w:t>
      </w:r>
      <w:r w:rsidRPr="00C30CD2">
        <w:rPr>
          <w:rFonts w:eastAsia="MS Mincho"/>
          <w:lang w:val="fr-CH"/>
        </w:rPr>
        <w:t>couvrir les</w:t>
      </w:r>
      <w:r w:rsidR="009B45D9" w:rsidRPr="00C30CD2">
        <w:rPr>
          <w:rFonts w:eastAsia="MS Mincho"/>
          <w:lang w:val="fr-CH"/>
        </w:rPr>
        <w:t xml:space="preserve"> dépenses</w:t>
      </w:r>
      <w:r w:rsidRPr="00C30CD2">
        <w:rPr>
          <w:rFonts w:eastAsia="MS Mincho"/>
          <w:lang w:val="fr-CH"/>
        </w:rPr>
        <w:t xml:space="preserve"> </w:t>
      </w:r>
      <w:r w:rsidR="009B45D9" w:rsidRPr="00C30CD2">
        <w:rPr>
          <w:rFonts w:eastAsia="MS Mincho"/>
          <w:lang w:val="fr-CH"/>
        </w:rPr>
        <w:t>afférentes aux fonctions en matière juridique, de communication et de sensibilisation du public, de</w:t>
      </w:r>
      <w:r w:rsidR="00D97FC9" w:rsidRPr="00C30CD2">
        <w:rPr>
          <w:rFonts w:eastAsia="MS Mincho"/>
          <w:lang w:val="fr-CH"/>
        </w:rPr>
        <w:t xml:space="preserve"> technologies de l’information et de gestion de l’information.</w:t>
      </w:r>
      <w:r w:rsidRPr="00C30CD2">
        <w:rPr>
          <w:rFonts w:eastAsia="MS Mincho"/>
          <w:lang w:val="fr-CH"/>
        </w:rPr>
        <w:t xml:space="preserve"> </w:t>
      </w:r>
    </w:p>
    <w:p w14:paraId="78ED889B" w14:textId="75758855" w:rsidR="00D97FC9" w:rsidRPr="00045D9A" w:rsidRDefault="00045D9A"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45D9A">
        <w:rPr>
          <w:rFonts w:eastAsia="MS Mincho"/>
          <w:lang w:val="fr-CH"/>
        </w:rPr>
        <w:t>Tout comme dans l’option</w:t>
      </w:r>
      <w:r w:rsidR="00651E3B">
        <w:rPr>
          <w:rFonts w:eastAsia="MS Mincho"/>
          <w:lang w:val="fr-CH"/>
        </w:rPr>
        <w:t> </w:t>
      </w:r>
      <w:r w:rsidRPr="00045D9A">
        <w:rPr>
          <w:rFonts w:eastAsia="MS Mincho"/>
          <w:lang w:val="fr-CH"/>
        </w:rPr>
        <w:t>1</w:t>
      </w:r>
      <w:r w:rsidR="00651E3B">
        <w:rPr>
          <w:rFonts w:eastAsia="MS Mincho"/>
          <w:lang w:val="fr-CH"/>
        </w:rPr>
        <w:t> </w:t>
      </w:r>
      <w:r w:rsidRPr="00045D9A">
        <w:rPr>
          <w:rFonts w:eastAsia="MS Mincho"/>
          <w:lang w:val="fr-CH"/>
        </w:rPr>
        <w:t xml:space="preserve">a), </w:t>
      </w:r>
      <w:r>
        <w:rPr>
          <w:rFonts w:eastAsia="MS Mincho"/>
          <w:lang w:val="fr-CH"/>
        </w:rPr>
        <w:t>où le personnel déjà en place du secrétariat des conventions de Bâle</w:t>
      </w:r>
      <w:r w:rsidR="001B60B1">
        <w:rPr>
          <w:rFonts w:eastAsia="MS Mincho"/>
          <w:lang w:val="fr-CH"/>
        </w:rPr>
        <w:t xml:space="preserve">, de Rotterdam et de Stockholm </w:t>
      </w:r>
      <w:r>
        <w:rPr>
          <w:rFonts w:eastAsia="MS Mincho"/>
          <w:lang w:val="fr-CH"/>
        </w:rPr>
        <w:t xml:space="preserve">exécuterait également les fonctions </w:t>
      </w:r>
      <w:r w:rsidR="001B60B1">
        <w:rPr>
          <w:rFonts w:eastAsia="MS Mincho"/>
          <w:lang w:val="fr-CH"/>
        </w:rPr>
        <w:t>relatives à la</w:t>
      </w:r>
      <w:r>
        <w:rPr>
          <w:rFonts w:eastAsia="MS Mincho"/>
          <w:lang w:val="fr-CH"/>
        </w:rPr>
        <w:t xml:space="preserve"> Convention de Minamata, ces </w:t>
      </w:r>
      <w:r w:rsidR="00530193">
        <w:rPr>
          <w:rFonts w:eastAsia="MS Mincho"/>
          <w:lang w:val="fr-CH"/>
        </w:rPr>
        <w:t>postes seraient cofinancés</w:t>
      </w:r>
      <w:r w:rsidR="00921ED9">
        <w:rPr>
          <w:rFonts w:eastAsia="MS Mincho"/>
          <w:lang w:val="fr-CH"/>
        </w:rPr>
        <w:t xml:space="preserve"> par</w:t>
      </w:r>
      <w:r w:rsidR="00530193">
        <w:rPr>
          <w:rFonts w:eastAsia="MS Mincho"/>
          <w:lang w:val="fr-CH"/>
        </w:rPr>
        <w:t xml:space="preserve"> les quatre conventions.</w:t>
      </w:r>
      <w:r w:rsidR="00921ED9">
        <w:rPr>
          <w:rFonts w:eastAsia="MS Mincho"/>
          <w:lang w:val="fr-CH"/>
        </w:rPr>
        <w:t xml:space="preserve"> Á cet égard, </w:t>
      </w:r>
      <w:r w:rsidR="00E27AE0">
        <w:rPr>
          <w:rFonts w:eastAsia="MS Mincho"/>
          <w:lang w:val="fr-CH"/>
        </w:rPr>
        <w:t>aux fins</w:t>
      </w:r>
      <w:r w:rsidR="00921ED9">
        <w:rPr>
          <w:rFonts w:eastAsia="MS Mincho"/>
          <w:lang w:val="fr-CH"/>
        </w:rPr>
        <w:t xml:space="preserve"> de calculs, </w:t>
      </w:r>
      <w:r w:rsidR="00E27AE0">
        <w:rPr>
          <w:rFonts w:eastAsia="MS Mincho"/>
          <w:lang w:val="fr-CH"/>
        </w:rPr>
        <w:t>il a été estimé que</w:t>
      </w:r>
      <w:r w:rsidR="001B60B1">
        <w:rPr>
          <w:rFonts w:eastAsia="MS Mincho"/>
          <w:lang w:val="fr-CH"/>
        </w:rPr>
        <w:t xml:space="preserve"> la Convention de Minamata devrait s’acquitter de</w:t>
      </w:r>
      <w:r w:rsidR="00E27AE0">
        <w:rPr>
          <w:rFonts w:eastAsia="MS Mincho"/>
          <w:lang w:val="fr-CH"/>
        </w:rPr>
        <w:t xml:space="preserve"> 40 % d’un poste de catégorie</w:t>
      </w:r>
      <w:r w:rsidR="00651E3B">
        <w:rPr>
          <w:rFonts w:eastAsia="MS Mincho"/>
          <w:lang w:val="fr-CH"/>
        </w:rPr>
        <w:t> </w:t>
      </w:r>
      <w:r w:rsidR="00E27AE0">
        <w:rPr>
          <w:rFonts w:eastAsia="MS Mincho"/>
          <w:lang w:val="fr-CH"/>
        </w:rPr>
        <w:t>D-2</w:t>
      </w:r>
      <w:r w:rsidR="00921ED9">
        <w:rPr>
          <w:rFonts w:eastAsia="MS Mincho"/>
          <w:lang w:val="fr-CH"/>
        </w:rPr>
        <w:t xml:space="preserve"> </w:t>
      </w:r>
      <w:r w:rsidR="00E27AE0">
        <w:rPr>
          <w:rFonts w:eastAsia="MS Mincho"/>
          <w:lang w:val="fr-CH"/>
        </w:rPr>
        <w:t xml:space="preserve">(Secrétaire exécutif), </w:t>
      </w:r>
      <w:r w:rsidR="001B60B1">
        <w:rPr>
          <w:rFonts w:eastAsia="MS Mincho"/>
          <w:lang w:val="fr-CH"/>
        </w:rPr>
        <w:t xml:space="preserve">de </w:t>
      </w:r>
      <w:r w:rsidR="00E27AE0">
        <w:rPr>
          <w:rFonts w:eastAsia="MS Mincho"/>
          <w:lang w:val="fr-CH"/>
        </w:rPr>
        <w:t xml:space="preserve">20 % d’un poste de catégorie D-1 </w:t>
      </w:r>
      <w:r w:rsidR="00E918DA">
        <w:rPr>
          <w:rFonts w:eastAsia="MS Mincho"/>
          <w:lang w:val="fr-CH"/>
        </w:rPr>
        <w:t xml:space="preserve">(Secrétaire exécutif adjoint) et </w:t>
      </w:r>
      <w:r w:rsidR="001B60B1">
        <w:rPr>
          <w:rFonts w:eastAsia="MS Mincho"/>
          <w:lang w:val="fr-CH"/>
        </w:rPr>
        <w:t xml:space="preserve">de </w:t>
      </w:r>
      <w:r w:rsidR="00651E3B">
        <w:rPr>
          <w:rFonts w:eastAsia="MS Mincho"/>
          <w:lang w:val="fr-CH"/>
        </w:rPr>
        <w:t>40 % d’un poste de catégorie </w:t>
      </w:r>
      <w:r w:rsidR="00E918DA">
        <w:rPr>
          <w:rFonts w:eastAsia="MS Mincho"/>
          <w:lang w:val="fr-CH"/>
        </w:rPr>
        <w:t>P-5 (Chef de service</w:t>
      </w:r>
      <w:r w:rsidR="00517FB7">
        <w:rPr>
          <w:rFonts w:eastAsia="MS Mincho"/>
          <w:lang w:val="fr-CH"/>
        </w:rPr>
        <w:t xml:space="preserve"> des opérations </w:t>
      </w:r>
      <w:r w:rsidR="00E918DA">
        <w:rPr>
          <w:rFonts w:eastAsia="MS Mincho"/>
          <w:lang w:val="fr-CH"/>
        </w:rPr>
        <w:t>des conventions)</w:t>
      </w:r>
      <w:r w:rsidR="00517FB7">
        <w:rPr>
          <w:rFonts w:eastAsia="MS Mincho"/>
          <w:lang w:val="fr-CH"/>
        </w:rPr>
        <w:t>, ce qui représente</w:t>
      </w:r>
      <w:r w:rsidR="009D5C37">
        <w:rPr>
          <w:rFonts w:eastAsia="MS Mincho"/>
          <w:lang w:val="fr-CH"/>
        </w:rPr>
        <w:t>rait</w:t>
      </w:r>
      <w:r w:rsidR="00517FB7">
        <w:rPr>
          <w:rFonts w:eastAsia="MS Mincho"/>
          <w:lang w:val="fr-CH"/>
        </w:rPr>
        <w:t xml:space="preserve"> sa contribution </w:t>
      </w:r>
      <w:r w:rsidR="004A42B6">
        <w:rPr>
          <w:rFonts w:eastAsia="MS Mincho"/>
          <w:lang w:val="fr-CH"/>
        </w:rPr>
        <w:t>au fonctionnement de l’organisme</w:t>
      </w:r>
      <w:r w:rsidR="00517FB7">
        <w:rPr>
          <w:rFonts w:eastAsia="MS Mincho"/>
          <w:lang w:val="fr-CH"/>
        </w:rPr>
        <w:t xml:space="preserve">. </w:t>
      </w:r>
    </w:p>
    <w:p w14:paraId="4F598961" w14:textId="6E2D7C93" w:rsidR="001E33E9" w:rsidRDefault="001E33E9" w:rsidP="001E33E9">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Il convient de noter que les fonctions administratives et de gestion des fo</w:t>
      </w:r>
      <w:r w:rsidR="004A42B6">
        <w:rPr>
          <w:rFonts w:eastAsia="MS Mincho"/>
          <w:lang w:val="fr-CH"/>
        </w:rPr>
        <w:t>nds devront être financées par d</w:t>
      </w:r>
      <w:r>
        <w:rPr>
          <w:rFonts w:eastAsia="MS Mincho"/>
          <w:lang w:val="fr-CH"/>
        </w:rPr>
        <w:t>es</w:t>
      </w:r>
      <w:r w:rsidR="004A42B6">
        <w:rPr>
          <w:rFonts w:eastAsia="MS Mincho"/>
          <w:lang w:val="fr-CH"/>
        </w:rPr>
        <w:t xml:space="preserve"> prélèvement</w:t>
      </w:r>
      <w:r w:rsidR="0092059B">
        <w:rPr>
          <w:rFonts w:eastAsia="MS Mincho"/>
          <w:lang w:val="fr-CH"/>
        </w:rPr>
        <w:t>s</w:t>
      </w:r>
      <w:r w:rsidR="004A42B6">
        <w:rPr>
          <w:rFonts w:eastAsia="MS Mincho"/>
          <w:lang w:val="fr-CH"/>
        </w:rPr>
        <w:t xml:space="preserve"> sur les</w:t>
      </w:r>
      <w:r>
        <w:rPr>
          <w:rFonts w:eastAsia="MS Mincho"/>
          <w:lang w:val="fr-CH"/>
        </w:rPr>
        <w:t xml:space="preserve"> dépenses d’appui au programme de la Convention de Minamata et </w:t>
      </w:r>
      <w:r w:rsidR="00C32A0C">
        <w:rPr>
          <w:rFonts w:eastAsia="MS Mincho"/>
          <w:lang w:val="fr-CH"/>
        </w:rPr>
        <w:t xml:space="preserve">que ces frais </w:t>
      </w:r>
      <w:r>
        <w:rPr>
          <w:rFonts w:eastAsia="MS Mincho"/>
          <w:lang w:val="fr-CH"/>
        </w:rPr>
        <w:t xml:space="preserve">ne seront pas </w:t>
      </w:r>
      <w:r w:rsidR="0092059B">
        <w:rPr>
          <w:rFonts w:eastAsia="MS Mincho"/>
          <w:lang w:val="fr-CH"/>
        </w:rPr>
        <w:t>réparti</w:t>
      </w:r>
      <w:r>
        <w:rPr>
          <w:rFonts w:eastAsia="MS Mincho"/>
          <w:lang w:val="fr-CH"/>
        </w:rPr>
        <w:t xml:space="preserve">s entre les différentes conventions. Un poste de fonctionnaire </w:t>
      </w:r>
      <w:r w:rsidR="009C590F">
        <w:rPr>
          <w:rFonts w:eastAsia="MS Mincho"/>
          <w:lang w:val="fr-CH"/>
        </w:rPr>
        <w:t xml:space="preserve">d’administration et de </w:t>
      </w:r>
      <w:r>
        <w:rPr>
          <w:rFonts w:eastAsia="MS Mincho"/>
          <w:lang w:val="fr-CH"/>
        </w:rPr>
        <w:t xml:space="preserve">gestion des fonds (P-3) et un poste d’agent des services généraux seront </w:t>
      </w:r>
      <w:r w:rsidR="0092059B">
        <w:rPr>
          <w:rFonts w:eastAsia="MS Mincho"/>
          <w:lang w:val="fr-CH"/>
        </w:rPr>
        <w:t xml:space="preserve">ainsi </w:t>
      </w:r>
      <w:r>
        <w:rPr>
          <w:rFonts w:eastAsia="MS Mincho"/>
          <w:lang w:val="fr-CH"/>
        </w:rPr>
        <w:t>créés et financés.</w:t>
      </w:r>
    </w:p>
    <w:p w14:paraId="3DB1E9F8" w14:textId="1C7D3FCC" w:rsidR="0041238C" w:rsidRPr="00B959C3" w:rsidRDefault="001B226B" w:rsidP="001B226B">
      <w:pPr>
        <w:pStyle w:val="CH4"/>
        <w:ind w:left="0" w:firstLine="0"/>
        <w:outlineLvl w:val="0"/>
        <w:rPr>
          <w:rFonts w:eastAsia="MS Mincho"/>
        </w:rPr>
      </w:pPr>
      <w:r>
        <w:rPr>
          <w:rFonts w:eastAsia="MS Mincho"/>
          <w:b w:val="0"/>
          <w:lang w:val="fr-CH"/>
        </w:rPr>
        <w:tab/>
      </w:r>
      <w:r>
        <w:rPr>
          <w:rFonts w:eastAsia="MS Mincho"/>
          <w:b w:val="0"/>
          <w:lang w:val="fr-CH"/>
        </w:rPr>
        <w:tab/>
      </w:r>
      <w:r w:rsidR="00F1129D">
        <w:rPr>
          <w:rFonts w:eastAsia="MS Mincho"/>
        </w:rPr>
        <w:t>Analyse</w:t>
      </w:r>
    </w:p>
    <w:p w14:paraId="4FC9A7FC" w14:textId="1E53E6D9" w:rsidR="000C43AE" w:rsidRPr="000C43AE" w:rsidRDefault="000C43AE"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C43AE">
        <w:rPr>
          <w:rFonts w:eastAsia="MS Mincho"/>
          <w:lang w:val="fr-CH"/>
        </w:rPr>
        <w:t>En</w:t>
      </w:r>
      <w:r>
        <w:rPr>
          <w:rFonts w:eastAsia="MS Mincho"/>
          <w:lang w:val="fr-CH"/>
        </w:rPr>
        <w:t xml:space="preserve"> t</w:t>
      </w:r>
      <w:r w:rsidRPr="000C43AE">
        <w:rPr>
          <w:rFonts w:eastAsia="MS Mincho"/>
          <w:lang w:val="fr-CH"/>
        </w:rPr>
        <w:t>ant qu’organ</w:t>
      </w:r>
      <w:r>
        <w:rPr>
          <w:rFonts w:eastAsia="MS Mincho"/>
          <w:lang w:val="fr-CH"/>
        </w:rPr>
        <w:t>ism</w:t>
      </w:r>
      <w:r w:rsidRPr="000C43AE">
        <w:rPr>
          <w:rFonts w:eastAsia="MS Mincho"/>
          <w:lang w:val="fr-CH"/>
        </w:rPr>
        <w:t>e séparé et</w:t>
      </w:r>
      <w:r>
        <w:rPr>
          <w:rFonts w:eastAsia="MS Mincho"/>
          <w:lang w:val="fr-CH"/>
        </w:rPr>
        <w:t xml:space="preserve"> spécialement con</w:t>
      </w:r>
      <w:r w:rsidR="008175CE">
        <w:rPr>
          <w:rFonts w:eastAsia="MS Mincho"/>
          <w:lang w:val="fr-CH"/>
        </w:rPr>
        <w:t>çu pour</w:t>
      </w:r>
      <w:r w:rsidRPr="000C43AE">
        <w:rPr>
          <w:rFonts w:eastAsia="MS Mincho"/>
          <w:lang w:val="fr-CH"/>
        </w:rPr>
        <w:t xml:space="preserve"> la Convention de Minamata</w:t>
      </w:r>
      <w:r w:rsidR="008175CE">
        <w:rPr>
          <w:rFonts w:eastAsia="MS Mincho"/>
          <w:lang w:val="fr-CH"/>
        </w:rPr>
        <w:t>, ce Ser</w:t>
      </w:r>
      <w:r w:rsidR="00A53A36">
        <w:rPr>
          <w:rFonts w:eastAsia="MS Mincho"/>
          <w:lang w:val="fr-CH"/>
        </w:rPr>
        <w:t xml:space="preserve">vice </w:t>
      </w:r>
      <w:r w:rsidR="00721CE8">
        <w:rPr>
          <w:rFonts w:eastAsia="MS Mincho"/>
          <w:lang w:val="fr-CH"/>
        </w:rPr>
        <w:t>permettrait d’</w:t>
      </w:r>
      <w:r w:rsidR="00A50129">
        <w:rPr>
          <w:rFonts w:eastAsia="MS Mincho"/>
          <w:lang w:val="fr-CH"/>
        </w:rPr>
        <w:t>accorder une attention plus soutenue aux questions relatives au mercure et à la Convention de Minamata</w:t>
      </w:r>
      <w:r w:rsidR="008D28EC">
        <w:rPr>
          <w:rFonts w:eastAsia="MS Mincho"/>
          <w:lang w:val="fr-CH"/>
        </w:rPr>
        <w:t>,</w:t>
      </w:r>
      <w:r w:rsidR="00A50129">
        <w:rPr>
          <w:rFonts w:eastAsia="MS Mincho"/>
          <w:lang w:val="fr-CH"/>
        </w:rPr>
        <w:t xml:space="preserve"> </w:t>
      </w:r>
      <w:r w:rsidR="00A53A36">
        <w:rPr>
          <w:rFonts w:eastAsia="MS Mincho"/>
          <w:lang w:val="fr-CH"/>
        </w:rPr>
        <w:t xml:space="preserve">qui en est </w:t>
      </w:r>
      <w:r w:rsidR="008D28EC">
        <w:rPr>
          <w:rFonts w:eastAsia="MS Mincho"/>
          <w:lang w:val="fr-CH"/>
        </w:rPr>
        <w:t>aux premiers stades de son développement</w:t>
      </w:r>
      <w:r w:rsidR="00A53A36">
        <w:rPr>
          <w:rFonts w:eastAsia="MS Mincho"/>
          <w:lang w:val="fr-CH"/>
        </w:rPr>
        <w:t xml:space="preserve">, et </w:t>
      </w:r>
      <w:r w:rsidR="00062855">
        <w:rPr>
          <w:rFonts w:eastAsia="MS Mincho"/>
          <w:lang w:val="fr-CH"/>
        </w:rPr>
        <w:t xml:space="preserve">lui </w:t>
      </w:r>
      <w:r w:rsidR="00A53A36">
        <w:rPr>
          <w:rFonts w:eastAsia="MS Mincho"/>
          <w:lang w:val="fr-CH"/>
        </w:rPr>
        <w:t xml:space="preserve">permettrait </w:t>
      </w:r>
      <w:r w:rsidR="000B7D2D">
        <w:rPr>
          <w:rFonts w:eastAsia="MS Mincho"/>
          <w:lang w:val="fr-CH"/>
        </w:rPr>
        <w:t>de tirer parti des fonction</w:t>
      </w:r>
      <w:r w:rsidR="00C2536E">
        <w:rPr>
          <w:rFonts w:eastAsia="MS Mincho"/>
          <w:lang w:val="fr-CH"/>
        </w:rPr>
        <w:t>s stratégiques et génériques clés d</w:t>
      </w:r>
      <w:r w:rsidR="000B7D2D">
        <w:rPr>
          <w:rFonts w:eastAsia="MS Mincho"/>
          <w:lang w:val="fr-CH"/>
        </w:rPr>
        <w:t xml:space="preserve">u reste du secrétariat. </w:t>
      </w:r>
      <w:r w:rsidR="00C2536E">
        <w:rPr>
          <w:rFonts w:eastAsia="MS Mincho"/>
          <w:lang w:val="fr-CH"/>
        </w:rPr>
        <w:t>Le Service de la Conventi</w:t>
      </w:r>
      <w:r w:rsidR="00513B7F">
        <w:rPr>
          <w:rFonts w:eastAsia="MS Mincho"/>
          <w:lang w:val="fr-CH"/>
        </w:rPr>
        <w:t>o</w:t>
      </w:r>
      <w:r w:rsidR="00C2536E">
        <w:rPr>
          <w:rFonts w:eastAsia="MS Mincho"/>
          <w:lang w:val="fr-CH"/>
        </w:rPr>
        <w:t xml:space="preserve">n de Minamata serait chargé des </w:t>
      </w:r>
      <w:r w:rsidR="008D28EC">
        <w:rPr>
          <w:rFonts w:eastAsia="MS Mincho"/>
          <w:lang w:val="fr-CH"/>
        </w:rPr>
        <w:t>activités</w:t>
      </w:r>
      <w:r w:rsidR="004B06DB">
        <w:rPr>
          <w:rFonts w:eastAsia="MS Mincho"/>
          <w:lang w:val="fr-CH"/>
        </w:rPr>
        <w:t xml:space="preserve"> </w:t>
      </w:r>
      <w:r w:rsidR="0092059B">
        <w:rPr>
          <w:rFonts w:eastAsia="MS Mincho"/>
          <w:lang w:val="fr-CH"/>
        </w:rPr>
        <w:t>de fond et de politique générale</w:t>
      </w:r>
      <w:r w:rsidR="004B06DB">
        <w:rPr>
          <w:rFonts w:eastAsia="MS Mincho"/>
          <w:lang w:val="fr-CH"/>
        </w:rPr>
        <w:t xml:space="preserve"> contenues dans le programme de travail de la convention, notamment la préparation de documents, l’élaboration d’outils scientifiques et technique</w:t>
      </w:r>
      <w:r w:rsidR="00F82F0D">
        <w:rPr>
          <w:rFonts w:eastAsia="MS Mincho"/>
          <w:lang w:val="fr-CH"/>
        </w:rPr>
        <w:t xml:space="preserve">s, </w:t>
      </w:r>
      <w:r w:rsidR="005E40F6">
        <w:rPr>
          <w:rFonts w:eastAsia="MS Mincho"/>
          <w:lang w:val="fr-CH"/>
        </w:rPr>
        <w:t>l’</w:t>
      </w:r>
      <w:r w:rsidR="009F6837">
        <w:rPr>
          <w:rFonts w:eastAsia="MS Mincho"/>
          <w:lang w:val="fr-CH"/>
        </w:rPr>
        <w:t>assistance</w:t>
      </w:r>
      <w:r w:rsidR="004B06DB">
        <w:rPr>
          <w:rFonts w:eastAsia="MS Mincho"/>
          <w:lang w:val="fr-CH"/>
        </w:rPr>
        <w:t xml:space="preserve"> technique et </w:t>
      </w:r>
      <w:r w:rsidR="005E40F6">
        <w:rPr>
          <w:rFonts w:eastAsia="MS Mincho"/>
          <w:lang w:val="fr-CH"/>
        </w:rPr>
        <w:t>le</w:t>
      </w:r>
      <w:r w:rsidR="009F6837">
        <w:rPr>
          <w:rFonts w:eastAsia="MS Mincho"/>
          <w:lang w:val="fr-CH"/>
        </w:rPr>
        <w:t xml:space="preserve"> renforcement des capacités</w:t>
      </w:r>
      <w:r w:rsidR="004264F6">
        <w:rPr>
          <w:rFonts w:eastAsia="MS Mincho"/>
          <w:lang w:val="fr-CH"/>
        </w:rPr>
        <w:t>,</w:t>
      </w:r>
      <w:r w:rsidR="009F6837">
        <w:rPr>
          <w:rFonts w:eastAsia="MS Mincho"/>
          <w:lang w:val="fr-CH"/>
        </w:rPr>
        <w:t xml:space="preserve"> et </w:t>
      </w:r>
      <w:r w:rsidR="00B961E1">
        <w:rPr>
          <w:rFonts w:eastAsia="MS Mincho"/>
          <w:lang w:val="fr-CH"/>
        </w:rPr>
        <w:t>de fournir un appui</w:t>
      </w:r>
      <w:r w:rsidR="001C43EC">
        <w:rPr>
          <w:rFonts w:eastAsia="MS Mincho"/>
          <w:lang w:val="fr-CH"/>
        </w:rPr>
        <w:t xml:space="preserve"> aux</w:t>
      </w:r>
      <w:r w:rsidR="009F6837">
        <w:rPr>
          <w:rFonts w:eastAsia="MS Mincho"/>
          <w:lang w:val="fr-CH"/>
        </w:rPr>
        <w:t xml:space="preserve"> parties </w:t>
      </w:r>
      <w:r w:rsidR="00F82F0D">
        <w:rPr>
          <w:rFonts w:eastAsia="MS Mincho"/>
          <w:lang w:val="fr-CH"/>
        </w:rPr>
        <w:t>dans le domaine de la</w:t>
      </w:r>
      <w:r w:rsidR="00CD2D4F">
        <w:rPr>
          <w:rFonts w:eastAsia="MS Mincho"/>
          <w:lang w:val="fr-CH"/>
        </w:rPr>
        <w:t xml:space="preserve"> communication de</w:t>
      </w:r>
      <w:r w:rsidR="00F82F0D">
        <w:rPr>
          <w:rFonts w:eastAsia="MS Mincho"/>
          <w:lang w:val="fr-CH"/>
        </w:rPr>
        <w:t>s</w:t>
      </w:r>
      <w:r w:rsidR="00CD2D4F">
        <w:rPr>
          <w:rFonts w:eastAsia="MS Mincho"/>
          <w:lang w:val="fr-CH"/>
        </w:rPr>
        <w:t xml:space="preserve"> don</w:t>
      </w:r>
      <w:r w:rsidR="001C43EC">
        <w:rPr>
          <w:rFonts w:eastAsia="MS Mincho"/>
          <w:lang w:val="fr-CH"/>
        </w:rPr>
        <w:t>nées et d</w:t>
      </w:r>
      <w:r w:rsidR="00F82F0D">
        <w:rPr>
          <w:rFonts w:eastAsia="MS Mincho"/>
          <w:lang w:val="fr-CH"/>
        </w:rPr>
        <w:t xml:space="preserve">es </w:t>
      </w:r>
      <w:r w:rsidR="00CD2D4F">
        <w:rPr>
          <w:rFonts w:eastAsia="MS Mincho"/>
          <w:lang w:val="fr-CH"/>
        </w:rPr>
        <w:t>échange</w:t>
      </w:r>
      <w:r w:rsidR="00F82F0D">
        <w:rPr>
          <w:rFonts w:eastAsia="MS Mincho"/>
          <w:lang w:val="fr-CH"/>
        </w:rPr>
        <w:t>s</w:t>
      </w:r>
      <w:r w:rsidR="009F6837">
        <w:rPr>
          <w:rFonts w:eastAsia="MS Mincho"/>
          <w:lang w:val="fr-CH"/>
        </w:rPr>
        <w:t xml:space="preserve"> d’information.</w:t>
      </w:r>
      <w:r w:rsidR="00B64B19">
        <w:rPr>
          <w:rFonts w:eastAsia="MS Mincho"/>
          <w:lang w:val="fr-CH"/>
        </w:rPr>
        <w:t xml:space="preserve"> Cette option </w:t>
      </w:r>
      <w:r w:rsidR="0092059B">
        <w:rPr>
          <w:rFonts w:eastAsia="MS Mincho"/>
          <w:lang w:val="fr-CH"/>
        </w:rPr>
        <w:t xml:space="preserve">lui </w:t>
      </w:r>
      <w:r w:rsidR="00B64B19">
        <w:rPr>
          <w:rFonts w:eastAsia="MS Mincho"/>
          <w:lang w:val="fr-CH"/>
        </w:rPr>
        <w:t>permettrait en outre de s’</w:t>
      </w:r>
      <w:r w:rsidR="0033707B">
        <w:rPr>
          <w:rFonts w:eastAsia="MS Mincho"/>
          <w:lang w:val="fr-CH"/>
        </w:rPr>
        <w:t>appuyer sur d</w:t>
      </w:r>
      <w:r w:rsidR="00B64B19">
        <w:rPr>
          <w:rFonts w:eastAsia="MS Mincho"/>
          <w:lang w:val="fr-CH"/>
        </w:rPr>
        <w:t xml:space="preserve">es liens </w:t>
      </w:r>
      <w:r w:rsidR="0033707B">
        <w:rPr>
          <w:rFonts w:eastAsia="MS Mincho"/>
          <w:lang w:val="fr-CH"/>
        </w:rPr>
        <w:t xml:space="preserve">déjà </w:t>
      </w:r>
      <w:r w:rsidR="00380E3C">
        <w:rPr>
          <w:rFonts w:eastAsia="MS Mincho"/>
          <w:lang w:val="fr-CH"/>
        </w:rPr>
        <w:t>établis</w:t>
      </w:r>
      <w:r w:rsidR="0033707B">
        <w:rPr>
          <w:rFonts w:eastAsia="MS Mincho"/>
          <w:lang w:val="fr-CH"/>
        </w:rPr>
        <w:t xml:space="preserve"> avec d</w:t>
      </w:r>
      <w:r w:rsidR="00B64B19">
        <w:rPr>
          <w:rFonts w:eastAsia="MS Mincho"/>
          <w:lang w:val="fr-CH"/>
        </w:rPr>
        <w:t>es activités</w:t>
      </w:r>
      <w:r w:rsidR="001A098F">
        <w:rPr>
          <w:rFonts w:eastAsia="MS Mincho"/>
          <w:lang w:val="fr-CH"/>
        </w:rPr>
        <w:t xml:space="preserve"> en cours</w:t>
      </w:r>
      <w:r w:rsidR="00B64B19">
        <w:rPr>
          <w:rFonts w:eastAsia="MS Mincho"/>
          <w:lang w:val="fr-CH"/>
        </w:rPr>
        <w:t xml:space="preserve"> de gestion des connaissances et d’apprentissage en ligne dans le cadre d’accords multilatéraux, dont le portail </w:t>
      </w:r>
      <w:r w:rsidR="007D36D4">
        <w:rPr>
          <w:rFonts w:eastAsia="MS Mincho"/>
          <w:lang w:val="fr-CH"/>
        </w:rPr>
        <w:t>d</w:t>
      </w:r>
      <w:r w:rsidR="00570D64">
        <w:rPr>
          <w:rFonts w:eastAsia="MS Mincho"/>
          <w:lang w:val="fr-CH"/>
        </w:rPr>
        <w:t>’échanges d’information</w:t>
      </w:r>
      <w:r w:rsidR="001D5071">
        <w:rPr>
          <w:rFonts w:eastAsia="MS Mincho"/>
          <w:lang w:val="fr-CH"/>
        </w:rPr>
        <w:t>s</w:t>
      </w:r>
      <w:r w:rsidR="00570D64">
        <w:rPr>
          <w:rFonts w:eastAsia="MS Mincho"/>
          <w:lang w:val="fr-CH"/>
        </w:rPr>
        <w:t xml:space="preserve"> et d’apprentissage en ligne</w:t>
      </w:r>
      <w:r w:rsidR="007D36D4">
        <w:rPr>
          <w:rFonts w:eastAsia="MS Mincho"/>
          <w:lang w:val="fr-CH"/>
        </w:rPr>
        <w:t xml:space="preserve"> inforMEA </w:t>
      </w:r>
      <w:r w:rsidR="00E37EE1">
        <w:rPr>
          <w:rFonts w:eastAsia="MS Mincho"/>
          <w:lang w:val="fr-CH"/>
        </w:rPr>
        <w:t xml:space="preserve">et le portail de </w:t>
      </w:r>
      <w:r w:rsidR="001A65B9">
        <w:rPr>
          <w:rFonts w:eastAsia="MS Mincho"/>
          <w:lang w:val="fr-CH"/>
        </w:rPr>
        <w:t>communication d’information</w:t>
      </w:r>
      <w:r w:rsidR="001D5071">
        <w:rPr>
          <w:rFonts w:eastAsia="MS Mincho"/>
          <w:lang w:val="fr-CH"/>
        </w:rPr>
        <w:t>s</w:t>
      </w:r>
      <w:r w:rsidR="00CD10A5">
        <w:rPr>
          <w:rFonts w:eastAsia="MS Mincho"/>
          <w:lang w:val="fr-CH"/>
        </w:rPr>
        <w:t xml:space="preserve"> créé</w:t>
      </w:r>
      <w:r w:rsidR="00C4446E">
        <w:rPr>
          <w:rFonts w:eastAsia="MS Mincho"/>
          <w:lang w:val="fr-CH"/>
        </w:rPr>
        <w:t xml:space="preserve"> par le C</w:t>
      </w:r>
      <w:r w:rsidR="00E37EE1">
        <w:rPr>
          <w:rFonts w:eastAsia="MS Mincho"/>
          <w:lang w:val="fr-CH"/>
        </w:rPr>
        <w:t>entre</w:t>
      </w:r>
      <w:r w:rsidR="00C4446E">
        <w:rPr>
          <w:rFonts w:eastAsia="MS Mincho"/>
          <w:lang w:val="fr-CH"/>
        </w:rPr>
        <w:t xml:space="preserve"> mondial de surveillance pour la</w:t>
      </w:r>
      <w:r w:rsidR="00721CE8">
        <w:rPr>
          <w:rFonts w:eastAsia="MS Mincho"/>
          <w:lang w:val="fr-CH"/>
        </w:rPr>
        <w:t xml:space="preserve"> conservation</w:t>
      </w:r>
      <w:r w:rsidR="00034433">
        <w:rPr>
          <w:rFonts w:eastAsia="MS Mincho"/>
          <w:lang w:val="fr-CH"/>
        </w:rPr>
        <w:t>,</w:t>
      </w:r>
      <w:r w:rsidR="00C4446E">
        <w:rPr>
          <w:rFonts w:eastAsia="MS Mincho"/>
          <w:lang w:val="fr-CH"/>
        </w:rPr>
        <w:t xml:space="preserve"> </w:t>
      </w:r>
      <w:r w:rsidR="001A65B9">
        <w:rPr>
          <w:rFonts w:eastAsia="MS Mincho"/>
          <w:lang w:val="fr-CH"/>
        </w:rPr>
        <w:t xml:space="preserve">afin de pouvoir s’informer sur les meilleures pratiques </w:t>
      </w:r>
      <w:r w:rsidR="009B2A64">
        <w:rPr>
          <w:rFonts w:eastAsia="MS Mincho"/>
          <w:lang w:val="fr-CH"/>
        </w:rPr>
        <w:t>et utiliser</w:t>
      </w:r>
      <w:r w:rsidR="001A65B9">
        <w:rPr>
          <w:rFonts w:eastAsia="MS Mincho"/>
          <w:lang w:val="fr-CH"/>
        </w:rPr>
        <w:t xml:space="preserve"> des </w:t>
      </w:r>
      <w:r w:rsidR="009B2A64">
        <w:rPr>
          <w:rFonts w:eastAsia="MS Mincho"/>
          <w:lang w:val="fr-CH"/>
        </w:rPr>
        <w:t>échelles d’économie</w:t>
      </w:r>
      <w:r w:rsidR="001A65B9">
        <w:rPr>
          <w:rFonts w:eastAsia="MS Mincho"/>
          <w:lang w:val="fr-CH"/>
        </w:rPr>
        <w:t xml:space="preserve">. </w:t>
      </w:r>
    </w:p>
    <w:p w14:paraId="3233F4DD" w14:textId="2DA7C9B0" w:rsidR="00FD6C08" w:rsidRPr="00FD6C08" w:rsidRDefault="00FD6C08"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FD6C08">
        <w:rPr>
          <w:rFonts w:eastAsia="MS Mincho"/>
          <w:lang w:val="fr-CH"/>
        </w:rPr>
        <w:t>Le Service de la Convention de Minamata s’</w:t>
      </w:r>
      <w:r>
        <w:rPr>
          <w:rFonts w:eastAsia="MS Mincho"/>
          <w:lang w:val="fr-CH"/>
        </w:rPr>
        <w:t>appuierait sur le Secrétaire exé</w:t>
      </w:r>
      <w:r w:rsidRPr="00FD6C08">
        <w:rPr>
          <w:rFonts w:eastAsia="MS Mincho"/>
          <w:lang w:val="fr-CH"/>
        </w:rPr>
        <w:t xml:space="preserve">cutif adjoint pour </w:t>
      </w:r>
      <w:r w:rsidR="006759FB">
        <w:rPr>
          <w:rFonts w:eastAsia="MS Mincho"/>
          <w:lang w:val="fr-CH"/>
        </w:rPr>
        <w:t>gérer le</w:t>
      </w:r>
      <w:r w:rsidR="00CD10A5">
        <w:rPr>
          <w:rFonts w:eastAsia="MS Mincho"/>
          <w:lang w:val="fr-CH"/>
        </w:rPr>
        <w:t xml:space="preserve">s questions administratives et les </w:t>
      </w:r>
      <w:r w:rsidR="006759FB">
        <w:rPr>
          <w:rFonts w:eastAsia="MS Mincho"/>
          <w:lang w:val="fr-CH"/>
        </w:rPr>
        <w:t>autres activités nécessaires</w:t>
      </w:r>
      <w:r w:rsidR="004B422E">
        <w:rPr>
          <w:rFonts w:eastAsia="MS Mincho"/>
          <w:lang w:val="fr-CH"/>
        </w:rPr>
        <w:t xml:space="preserve"> </w:t>
      </w:r>
      <w:r w:rsidR="00CD10A5">
        <w:rPr>
          <w:rFonts w:eastAsia="MS Mincho"/>
          <w:lang w:val="fr-CH"/>
        </w:rPr>
        <w:t>pour</w:t>
      </w:r>
      <w:r w:rsidR="004B422E">
        <w:rPr>
          <w:rFonts w:eastAsia="MS Mincho"/>
          <w:lang w:val="fr-CH"/>
        </w:rPr>
        <w:t xml:space="preserve"> s’acquitter efficacement</w:t>
      </w:r>
      <w:r w:rsidR="00FD484C">
        <w:rPr>
          <w:rFonts w:eastAsia="MS Mincho"/>
          <w:lang w:val="fr-CH"/>
        </w:rPr>
        <w:t xml:space="preserve"> </w:t>
      </w:r>
      <w:r w:rsidR="004B422E">
        <w:rPr>
          <w:rFonts w:eastAsia="MS Mincho"/>
          <w:lang w:val="fr-CH"/>
        </w:rPr>
        <w:t>des fonctions du secrétariat de la Convention de Minamata.</w:t>
      </w:r>
      <w:r w:rsidR="00FD484C">
        <w:rPr>
          <w:rFonts w:eastAsia="MS Mincho"/>
          <w:lang w:val="fr-CH"/>
        </w:rPr>
        <w:t xml:space="preserve"> Quant à l’organisation des réunions, le Service de la Convention de Minamata </w:t>
      </w:r>
      <w:r w:rsidR="00441EA3">
        <w:rPr>
          <w:rFonts w:eastAsia="MS Mincho"/>
          <w:lang w:val="fr-CH"/>
        </w:rPr>
        <w:t>pourrai</w:t>
      </w:r>
      <w:r w:rsidR="006371F0">
        <w:rPr>
          <w:rFonts w:eastAsia="MS Mincho"/>
          <w:lang w:val="fr-CH"/>
        </w:rPr>
        <w:t xml:space="preserve">t faire appel au </w:t>
      </w:r>
      <w:r w:rsidR="006371F0" w:rsidRPr="00CD10A5">
        <w:rPr>
          <w:rFonts w:eastAsia="MS Mincho"/>
          <w:lang w:val="fr-CH"/>
        </w:rPr>
        <w:t xml:space="preserve">Chef du Service des </w:t>
      </w:r>
      <w:r w:rsidR="00DB2328" w:rsidRPr="00CD10A5">
        <w:rPr>
          <w:rFonts w:eastAsia="MS Mincho"/>
          <w:lang w:val="fr-CH"/>
        </w:rPr>
        <w:t>opérations des</w:t>
      </w:r>
      <w:r w:rsidR="006371F0" w:rsidRPr="00CD10A5">
        <w:rPr>
          <w:rFonts w:eastAsia="MS Mincho"/>
          <w:lang w:val="fr-CH"/>
        </w:rPr>
        <w:t xml:space="preserve"> convention</w:t>
      </w:r>
      <w:r w:rsidR="00DB2328" w:rsidRPr="00CD10A5">
        <w:rPr>
          <w:rFonts w:eastAsia="MS Mincho"/>
          <w:lang w:val="fr-CH"/>
        </w:rPr>
        <w:t>s</w:t>
      </w:r>
      <w:r w:rsidR="006371F0">
        <w:rPr>
          <w:rFonts w:eastAsia="MS Mincho"/>
          <w:lang w:val="fr-CH"/>
        </w:rPr>
        <w:t xml:space="preserve"> pour qu’il coordonne la préparation</w:t>
      </w:r>
      <w:r w:rsidR="00721CE8">
        <w:rPr>
          <w:rFonts w:eastAsia="MS Mincho"/>
          <w:lang w:val="fr-CH"/>
        </w:rPr>
        <w:t xml:space="preserve"> des réunions</w:t>
      </w:r>
      <w:r w:rsidR="006371F0">
        <w:rPr>
          <w:rFonts w:eastAsia="MS Mincho"/>
          <w:lang w:val="fr-CH"/>
        </w:rPr>
        <w:t xml:space="preserve"> de la Conférence des Parties à la Convention</w:t>
      </w:r>
      <w:r w:rsidR="00002EC2">
        <w:rPr>
          <w:rFonts w:eastAsia="MS Mincho"/>
          <w:lang w:val="fr-CH"/>
        </w:rPr>
        <w:t xml:space="preserve"> de Minamata et </w:t>
      </w:r>
      <w:r w:rsidR="00B41BB6">
        <w:rPr>
          <w:rFonts w:eastAsia="MS Mincho"/>
          <w:lang w:val="fr-CH"/>
        </w:rPr>
        <w:t xml:space="preserve">de </w:t>
      </w:r>
      <w:r w:rsidR="00002EC2">
        <w:rPr>
          <w:rFonts w:eastAsia="MS Mincho"/>
          <w:lang w:val="fr-CH"/>
        </w:rPr>
        <w:t xml:space="preserve">ses organes </w:t>
      </w:r>
      <w:r w:rsidR="006371F0">
        <w:rPr>
          <w:rFonts w:eastAsia="MS Mincho"/>
          <w:lang w:val="fr-CH"/>
        </w:rPr>
        <w:t>s</w:t>
      </w:r>
      <w:r w:rsidR="00002EC2">
        <w:rPr>
          <w:rFonts w:eastAsia="MS Mincho"/>
          <w:lang w:val="fr-CH"/>
        </w:rPr>
        <w:t>ub</w:t>
      </w:r>
      <w:r w:rsidR="006371F0">
        <w:rPr>
          <w:rFonts w:eastAsia="MS Mincho"/>
          <w:lang w:val="fr-CH"/>
        </w:rPr>
        <w:t>s</w:t>
      </w:r>
      <w:r w:rsidR="00002EC2">
        <w:rPr>
          <w:rFonts w:eastAsia="MS Mincho"/>
          <w:lang w:val="fr-CH"/>
        </w:rPr>
        <w:t>i</w:t>
      </w:r>
      <w:r w:rsidR="006371F0">
        <w:rPr>
          <w:rFonts w:eastAsia="MS Mincho"/>
          <w:lang w:val="fr-CH"/>
        </w:rPr>
        <w:t xml:space="preserve">diaires. </w:t>
      </w:r>
    </w:p>
    <w:p w14:paraId="09128F8B" w14:textId="6E2EB335" w:rsidR="0041238C" w:rsidRPr="006E7CB8" w:rsidRDefault="00CD10A5"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En terme</w:t>
      </w:r>
      <w:r w:rsidR="0005356F">
        <w:rPr>
          <w:rFonts w:eastAsia="MS Mincho"/>
          <w:lang w:val="fr-CH"/>
        </w:rPr>
        <w:t>s</w:t>
      </w:r>
      <w:r>
        <w:rPr>
          <w:rFonts w:eastAsia="MS Mincho"/>
          <w:lang w:val="fr-CH"/>
        </w:rPr>
        <w:t xml:space="preserve"> de</w:t>
      </w:r>
      <w:r w:rsidR="006E7CB8">
        <w:rPr>
          <w:rFonts w:eastAsia="MS Mincho"/>
          <w:lang w:val="fr-CH"/>
        </w:rPr>
        <w:t xml:space="preserve"> dépenses de </w:t>
      </w:r>
      <w:r w:rsidR="00FA57FF">
        <w:rPr>
          <w:rFonts w:eastAsia="MS Mincho"/>
          <w:lang w:val="fr-CH"/>
        </w:rPr>
        <w:t>personnel, cette option permettrait de réduire l</w:t>
      </w:r>
      <w:r w:rsidR="006E7CB8">
        <w:rPr>
          <w:rFonts w:eastAsia="MS Mincho"/>
          <w:lang w:val="fr-CH"/>
        </w:rPr>
        <w:t xml:space="preserve">es </w:t>
      </w:r>
      <w:r w:rsidR="00EB4BA7">
        <w:rPr>
          <w:rFonts w:eastAsia="MS Mincho"/>
          <w:lang w:val="fr-CH"/>
        </w:rPr>
        <w:t>dépenses globales</w:t>
      </w:r>
      <w:r w:rsidR="006E7CB8">
        <w:rPr>
          <w:rFonts w:eastAsia="MS Mincho"/>
          <w:lang w:val="fr-CH"/>
        </w:rPr>
        <w:t xml:space="preserve"> des conventions de Bâl</w:t>
      </w:r>
      <w:r>
        <w:rPr>
          <w:rFonts w:eastAsia="MS Mincho"/>
          <w:lang w:val="fr-CH"/>
        </w:rPr>
        <w:t>e, de Rotterdam et de Stockholm</w:t>
      </w:r>
      <w:r w:rsidR="006E7CB8">
        <w:rPr>
          <w:rFonts w:eastAsia="MS Mincho"/>
          <w:lang w:val="fr-CH"/>
        </w:rPr>
        <w:t xml:space="preserve"> puisque trois des postes </w:t>
      </w:r>
      <w:r w:rsidR="008D7232">
        <w:rPr>
          <w:rFonts w:eastAsia="MS Mincho"/>
          <w:lang w:val="fr-CH"/>
        </w:rPr>
        <w:t>correspondant</w:t>
      </w:r>
      <w:r w:rsidR="006E7CB8">
        <w:rPr>
          <w:rFonts w:eastAsia="MS Mincho"/>
          <w:lang w:val="fr-CH"/>
        </w:rPr>
        <w:t xml:space="preserve"> à ces conventions seraient cofinancés par </w:t>
      </w:r>
      <w:r w:rsidR="008D7232">
        <w:rPr>
          <w:rFonts w:eastAsia="MS Mincho"/>
          <w:lang w:val="fr-CH"/>
        </w:rPr>
        <w:t>la Convention de Minamata. Elle impliquerait également un renforcement de la structure matricielle en place puisque 1,5</w:t>
      </w:r>
      <w:r w:rsidR="00783909">
        <w:rPr>
          <w:rFonts w:eastAsia="MS Mincho"/>
          <w:lang w:val="fr-CH"/>
        </w:rPr>
        <w:t> </w:t>
      </w:r>
      <w:r w:rsidR="007634CC">
        <w:rPr>
          <w:rFonts w:eastAsia="MS Mincho"/>
          <w:lang w:val="fr-CH"/>
        </w:rPr>
        <w:t>poste</w:t>
      </w:r>
      <w:r>
        <w:rPr>
          <w:rFonts w:eastAsia="MS Mincho"/>
          <w:lang w:val="fr-CH"/>
        </w:rPr>
        <w:t>s</w:t>
      </w:r>
      <w:r w:rsidR="00783909">
        <w:rPr>
          <w:rFonts w:eastAsia="MS Mincho"/>
          <w:lang w:val="fr-CH"/>
        </w:rPr>
        <w:t> </w:t>
      </w:r>
      <w:r w:rsidR="00E56D19">
        <w:rPr>
          <w:rFonts w:eastAsia="MS Mincho"/>
          <w:lang w:val="fr-CH"/>
        </w:rPr>
        <w:t>P-3</w:t>
      </w:r>
      <w:r w:rsidR="007634CC">
        <w:rPr>
          <w:rFonts w:eastAsia="MS Mincho"/>
          <w:lang w:val="fr-CH"/>
        </w:rPr>
        <w:t xml:space="preserve"> serai</w:t>
      </w:r>
      <w:r>
        <w:rPr>
          <w:rFonts w:eastAsia="MS Mincho"/>
          <w:lang w:val="fr-CH"/>
        </w:rPr>
        <w:t>en</w:t>
      </w:r>
      <w:r w:rsidR="007634CC">
        <w:rPr>
          <w:rFonts w:eastAsia="MS Mincho"/>
          <w:lang w:val="fr-CH"/>
        </w:rPr>
        <w:t>t ajouté</w:t>
      </w:r>
      <w:r>
        <w:rPr>
          <w:rFonts w:eastAsia="MS Mincho"/>
          <w:lang w:val="fr-CH"/>
        </w:rPr>
        <w:t>s</w:t>
      </w:r>
      <w:r w:rsidR="007634CC">
        <w:rPr>
          <w:rFonts w:eastAsia="MS Mincho"/>
          <w:lang w:val="fr-CH"/>
        </w:rPr>
        <w:t xml:space="preserve"> aux postes actuels du secrétariat des conventions de Bâle, de Rotterdam et de Stockholm. </w:t>
      </w:r>
      <w:r w:rsidR="00B41BB6">
        <w:rPr>
          <w:rFonts w:eastAsia="MS Mincho"/>
          <w:lang w:val="fr-CH"/>
        </w:rPr>
        <w:t>Ces postes</w:t>
      </w:r>
      <w:r w:rsidR="00E96867">
        <w:rPr>
          <w:rFonts w:eastAsia="MS Mincho"/>
          <w:lang w:val="fr-CH"/>
        </w:rPr>
        <w:t xml:space="preserve"> serai</w:t>
      </w:r>
      <w:r w:rsidR="0005356F">
        <w:rPr>
          <w:rFonts w:eastAsia="MS Mincho"/>
          <w:lang w:val="fr-CH"/>
        </w:rPr>
        <w:t>en</w:t>
      </w:r>
      <w:r w:rsidR="00E96867">
        <w:rPr>
          <w:rFonts w:eastAsia="MS Mincho"/>
          <w:lang w:val="fr-CH"/>
        </w:rPr>
        <w:t>t financé</w:t>
      </w:r>
      <w:r w:rsidR="0005356F">
        <w:rPr>
          <w:rFonts w:eastAsia="MS Mincho"/>
          <w:lang w:val="fr-CH"/>
        </w:rPr>
        <w:t>s</w:t>
      </w:r>
      <w:r w:rsidR="00E96867">
        <w:rPr>
          <w:rFonts w:eastAsia="MS Mincho"/>
          <w:lang w:val="fr-CH"/>
        </w:rPr>
        <w:t xml:space="preserve"> p</w:t>
      </w:r>
      <w:r w:rsidR="0005356F">
        <w:rPr>
          <w:rFonts w:eastAsia="MS Mincho"/>
          <w:lang w:val="fr-CH"/>
        </w:rPr>
        <w:t>ar les économies réalisées par l</w:t>
      </w:r>
      <w:r w:rsidR="00E96867">
        <w:rPr>
          <w:rFonts w:eastAsia="MS Mincho"/>
          <w:lang w:val="fr-CH"/>
        </w:rPr>
        <w:t>es conventions</w:t>
      </w:r>
      <w:r w:rsidR="00A06215">
        <w:rPr>
          <w:rFonts w:eastAsia="MS Mincho"/>
          <w:lang w:val="fr-CH"/>
        </w:rPr>
        <w:t xml:space="preserve"> </w:t>
      </w:r>
      <w:r w:rsidR="00722826">
        <w:rPr>
          <w:rFonts w:eastAsia="MS Mincho"/>
          <w:lang w:val="fr-CH"/>
        </w:rPr>
        <w:t>grâce à</w:t>
      </w:r>
      <w:r w:rsidR="00E96867">
        <w:rPr>
          <w:rFonts w:eastAsia="MS Mincho"/>
          <w:lang w:val="fr-CH"/>
        </w:rPr>
        <w:t xml:space="preserve"> la contribution de la Convention </w:t>
      </w:r>
      <w:r w:rsidR="00A06215">
        <w:rPr>
          <w:rFonts w:eastAsia="MS Mincho"/>
          <w:lang w:val="fr-CH"/>
        </w:rPr>
        <w:t xml:space="preserve">de Minamata. </w:t>
      </w:r>
    </w:p>
    <w:p w14:paraId="22F51A32" w14:textId="3E4FE046" w:rsidR="00722826" w:rsidRPr="00722826" w:rsidRDefault="005E79AE"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lastRenderedPageBreak/>
        <w:t>L</w:t>
      </w:r>
      <w:r w:rsidR="00722826" w:rsidRPr="00722826">
        <w:rPr>
          <w:rFonts w:eastAsia="MS Mincho"/>
          <w:lang w:val="fr-CH"/>
        </w:rPr>
        <w:t xml:space="preserve">es cinq nouveaux postes </w:t>
      </w:r>
      <w:r>
        <w:rPr>
          <w:rFonts w:eastAsia="MS Mincho"/>
          <w:lang w:val="fr-CH"/>
        </w:rPr>
        <w:t xml:space="preserve">d’administrateurs et les quatre </w:t>
      </w:r>
      <w:r w:rsidR="00D776A0">
        <w:rPr>
          <w:rFonts w:eastAsia="MS Mincho"/>
          <w:lang w:val="fr-CH"/>
        </w:rPr>
        <w:t>postes d’agents</w:t>
      </w:r>
      <w:r>
        <w:rPr>
          <w:rFonts w:eastAsia="MS Mincho"/>
          <w:lang w:val="fr-CH"/>
        </w:rPr>
        <w:t xml:space="preserve"> des services généraux qu’il serait nécessaire de créer afin de remplir les fonctions du Service de la Convention de Minamata seraient entièrement financés par cette convention. </w:t>
      </w:r>
    </w:p>
    <w:p w14:paraId="195BAC42" w14:textId="113CA1B3" w:rsidR="00D776A0" w:rsidRPr="00813C78" w:rsidRDefault="008D247B"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813C78">
        <w:rPr>
          <w:rFonts w:eastAsia="MS Mincho"/>
          <w:lang w:val="fr-CH"/>
        </w:rPr>
        <w:t xml:space="preserve">En réponse aux demandes </w:t>
      </w:r>
      <w:r w:rsidR="008651FB">
        <w:rPr>
          <w:rFonts w:eastAsia="MS Mincho"/>
          <w:lang w:val="fr-CH"/>
        </w:rPr>
        <w:t xml:space="preserve">visant à accorder une </w:t>
      </w:r>
      <w:r w:rsidR="00813C78" w:rsidRPr="00813C78">
        <w:rPr>
          <w:rFonts w:eastAsia="MS Mincho"/>
          <w:lang w:val="fr-CH"/>
        </w:rPr>
        <w:t>visibilité p</w:t>
      </w:r>
      <w:r w:rsidR="008651FB">
        <w:rPr>
          <w:rFonts w:eastAsia="MS Mincho"/>
          <w:lang w:val="fr-CH"/>
        </w:rPr>
        <w:t>olitique et</w:t>
      </w:r>
      <w:r w:rsidR="000B1241">
        <w:rPr>
          <w:rFonts w:eastAsia="MS Mincho"/>
          <w:lang w:val="fr-CH"/>
        </w:rPr>
        <w:t xml:space="preserve"> une</w:t>
      </w:r>
      <w:r w:rsidR="008651FB">
        <w:rPr>
          <w:rFonts w:eastAsia="MS Mincho"/>
          <w:lang w:val="fr-CH"/>
        </w:rPr>
        <w:t xml:space="preserve"> </w:t>
      </w:r>
      <w:r w:rsidR="00813C78">
        <w:rPr>
          <w:rFonts w:eastAsia="MS Mincho"/>
          <w:lang w:val="fr-CH"/>
        </w:rPr>
        <w:t xml:space="preserve">attention </w:t>
      </w:r>
      <w:r w:rsidR="000B1241">
        <w:rPr>
          <w:rFonts w:eastAsia="MS Mincho"/>
          <w:lang w:val="fr-CH"/>
        </w:rPr>
        <w:t xml:space="preserve">plus </w:t>
      </w:r>
      <w:r w:rsidR="0005356F">
        <w:rPr>
          <w:rFonts w:eastAsia="MS Mincho"/>
          <w:lang w:val="fr-CH"/>
        </w:rPr>
        <w:t>important</w:t>
      </w:r>
      <w:r w:rsidR="000B1241">
        <w:rPr>
          <w:rFonts w:eastAsia="MS Mincho"/>
          <w:lang w:val="fr-CH"/>
        </w:rPr>
        <w:t>es</w:t>
      </w:r>
      <w:r w:rsidR="000B1241" w:rsidRPr="00813C78">
        <w:rPr>
          <w:rFonts w:eastAsia="MS Mincho"/>
          <w:lang w:val="fr-CH"/>
        </w:rPr>
        <w:t xml:space="preserve"> </w:t>
      </w:r>
      <w:r w:rsidR="00813C78">
        <w:rPr>
          <w:rFonts w:eastAsia="MS Mincho"/>
          <w:lang w:val="fr-CH"/>
        </w:rPr>
        <w:t>à la</w:t>
      </w:r>
      <w:r w:rsidR="0095473C">
        <w:rPr>
          <w:rFonts w:eastAsia="MS Mincho"/>
          <w:lang w:val="fr-CH"/>
        </w:rPr>
        <w:t xml:space="preserve"> Convention de Minamata pendant les délibérations qui ont eu lieu sur les rives de la Mer Morte, </w:t>
      </w:r>
      <w:r w:rsidR="004D0468">
        <w:rPr>
          <w:rFonts w:eastAsia="MS Mincho"/>
          <w:lang w:val="fr-CH"/>
        </w:rPr>
        <w:t xml:space="preserve">les modifications </w:t>
      </w:r>
      <w:r w:rsidR="008651FB">
        <w:rPr>
          <w:rFonts w:eastAsia="MS Mincho"/>
          <w:lang w:val="fr-CH"/>
        </w:rPr>
        <w:t xml:space="preserve">suivantes ont été apportées </w:t>
      </w:r>
      <w:r w:rsidR="000B1241">
        <w:rPr>
          <w:rFonts w:eastAsia="MS Mincho"/>
          <w:lang w:val="fr-CH"/>
        </w:rPr>
        <w:t xml:space="preserve">à partir du rapport du Directeur exécutif : </w:t>
      </w:r>
      <w:r w:rsidR="00B10FA6">
        <w:rPr>
          <w:rFonts w:eastAsia="MS Mincho"/>
          <w:lang w:val="fr-CH"/>
        </w:rPr>
        <w:t>le temps de travail du Secrétai</w:t>
      </w:r>
      <w:r w:rsidR="00651E3B">
        <w:rPr>
          <w:rFonts w:eastAsia="MS Mincho"/>
          <w:lang w:val="fr-CH"/>
        </w:rPr>
        <w:t>re exécutif D-2 est passé de 20 </w:t>
      </w:r>
      <w:r w:rsidR="00B10FA6">
        <w:rPr>
          <w:rFonts w:eastAsia="MS Mincho"/>
          <w:lang w:val="fr-CH"/>
        </w:rPr>
        <w:t>% à 40 %</w:t>
      </w:r>
      <w:r w:rsidR="00A23BBA">
        <w:rPr>
          <w:rFonts w:eastAsia="MS Mincho"/>
          <w:lang w:val="fr-CH"/>
        </w:rPr>
        <w:t>,</w:t>
      </w:r>
      <w:r w:rsidR="00B10FA6">
        <w:rPr>
          <w:rFonts w:eastAsia="MS Mincho"/>
          <w:lang w:val="fr-CH"/>
        </w:rPr>
        <w:t xml:space="preserve"> et</w:t>
      </w:r>
      <w:r w:rsidR="00A23BBA">
        <w:rPr>
          <w:rFonts w:eastAsia="MS Mincho"/>
          <w:lang w:val="fr-CH"/>
        </w:rPr>
        <w:t xml:space="preserve"> celui du</w:t>
      </w:r>
      <w:r w:rsidR="00B10FA6">
        <w:rPr>
          <w:rFonts w:eastAsia="MS Mincho"/>
          <w:lang w:val="fr-CH"/>
        </w:rPr>
        <w:t xml:space="preserve"> Chef du Service d</w:t>
      </w:r>
      <w:r w:rsidR="001565CC">
        <w:rPr>
          <w:rFonts w:eastAsia="MS Mincho"/>
          <w:lang w:val="fr-CH"/>
        </w:rPr>
        <w:t>es</w:t>
      </w:r>
      <w:r w:rsidR="00C30CD2">
        <w:rPr>
          <w:rFonts w:eastAsia="MS Mincho"/>
          <w:lang w:val="fr-CH"/>
        </w:rPr>
        <w:t xml:space="preserve"> opérations</w:t>
      </w:r>
      <w:r w:rsidR="001565CC">
        <w:rPr>
          <w:rFonts w:eastAsia="MS Mincho"/>
          <w:lang w:val="fr-CH"/>
        </w:rPr>
        <w:t xml:space="preserve"> des c</w:t>
      </w:r>
      <w:r w:rsidR="00B10FA6">
        <w:rPr>
          <w:rFonts w:eastAsia="MS Mincho"/>
          <w:lang w:val="fr-CH"/>
        </w:rPr>
        <w:t>onventions</w:t>
      </w:r>
      <w:r w:rsidR="00A23BBA">
        <w:rPr>
          <w:rFonts w:eastAsia="MS Mincho"/>
          <w:lang w:val="fr-CH"/>
        </w:rPr>
        <w:t xml:space="preserve">, de 25 % à 40 %, </w:t>
      </w:r>
      <w:r w:rsidR="0005356F">
        <w:rPr>
          <w:rFonts w:eastAsia="MS Mincho"/>
          <w:lang w:val="fr-CH"/>
        </w:rPr>
        <w:t xml:space="preserve">en </w:t>
      </w:r>
      <w:r w:rsidR="00993FD5">
        <w:rPr>
          <w:rFonts w:eastAsia="MS Mincho"/>
          <w:lang w:val="fr-CH"/>
        </w:rPr>
        <w:t>reconnaissant que</w:t>
      </w:r>
      <w:r w:rsidR="00A23BBA">
        <w:rPr>
          <w:rFonts w:eastAsia="MS Mincho"/>
          <w:lang w:val="fr-CH"/>
        </w:rPr>
        <w:t xml:space="preserve"> deux réunions de la Conférence des Parties à la Convention de Minamata </w:t>
      </w:r>
      <w:r w:rsidR="004466E7">
        <w:rPr>
          <w:rFonts w:eastAsia="MS Mincho"/>
          <w:lang w:val="fr-CH"/>
        </w:rPr>
        <w:t>devraien</w:t>
      </w:r>
      <w:r w:rsidR="00B41BB6">
        <w:rPr>
          <w:rFonts w:eastAsia="MS Mincho"/>
          <w:lang w:val="fr-CH"/>
        </w:rPr>
        <w:t xml:space="preserve">t avoir lieu pendant la période </w:t>
      </w:r>
      <w:r w:rsidR="004466E7">
        <w:rPr>
          <w:rFonts w:eastAsia="MS Mincho"/>
          <w:lang w:val="fr-CH"/>
        </w:rPr>
        <w:t>biennal</w:t>
      </w:r>
      <w:r w:rsidR="00B41BB6">
        <w:rPr>
          <w:rFonts w:eastAsia="MS Mincho"/>
          <w:lang w:val="fr-CH"/>
        </w:rPr>
        <w:t>e</w:t>
      </w:r>
      <w:r w:rsidR="004466E7">
        <w:rPr>
          <w:rFonts w:eastAsia="MS Mincho"/>
          <w:lang w:val="fr-CH"/>
        </w:rPr>
        <w:t xml:space="preserve"> 2018-2019. </w:t>
      </w:r>
      <w:r w:rsidR="00D23C16">
        <w:rPr>
          <w:rFonts w:eastAsia="MS Mincho"/>
          <w:lang w:val="fr-CH"/>
        </w:rPr>
        <w:t>Dans la version révisée de la proposition, le poste de Chef du Service de la Convention de Minamata a été reclassé</w:t>
      </w:r>
      <w:r w:rsidR="00B65A75">
        <w:rPr>
          <w:rFonts w:eastAsia="MS Mincho"/>
          <w:lang w:val="fr-CH"/>
        </w:rPr>
        <w:t xml:space="preserve"> de P-5 à D-1. En outre, bien que trois postes d’agent</w:t>
      </w:r>
      <w:r w:rsidR="009C1369">
        <w:rPr>
          <w:rFonts w:eastAsia="MS Mincho"/>
          <w:lang w:val="fr-CH"/>
        </w:rPr>
        <w:t>s</w:t>
      </w:r>
      <w:r w:rsidR="00B65A75">
        <w:rPr>
          <w:rFonts w:eastAsia="MS Mincho"/>
          <w:lang w:val="fr-CH"/>
        </w:rPr>
        <w:t xml:space="preserve"> des services généraux </w:t>
      </w:r>
      <w:r w:rsidR="00C13DD3">
        <w:rPr>
          <w:rFonts w:eastAsia="MS Mincho"/>
          <w:lang w:val="fr-CH"/>
        </w:rPr>
        <w:t>aient été initialement proposés, quatre sont indiqué</w:t>
      </w:r>
      <w:r w:rsidR="00993FD5">
        <w:rPr>
          <w:rFonts w:eastAsia="MS Mincho"/>
          <w:lang w:val="fr-CH"/>
        </w:rPr>
        <w:t>s</w:t>
      </w:r>
      <w:r w:rsidR="00C13DD3">
        <w:rPr>
          <w:rFonts w:eastAsia="MS Mincho"/>
          <w:lang w:val="fr-CH"/>
        </w:rPr>
        <w:t xml:space="preserve"> </w:t>
      </w:r>
      <w:r w:rsidR="00993FD5">
        <w:rPr>
          <w:rFonts w:eastAsia="MS Mincho"/>
          <w:lang w:val="fr-CH"/>
        </w:rPr>
        <w:t>dans la version révisée. L’appendic</w:t>
      </w:r>
      <w:r w:rsidR="00C13DD3">
        <w:rPr>
          <w:rFonts w:eastAsia="MS Mincho"/>
          <w:lang w:val="fr-CH"/>
        </w:rPr>
        <w:t>e</w:t>
      </w:r>
      <w:r w:rsidR="00A42DD5">
        <w:rPr>
          <w:rFonts w:eastAsia="MS Mincho"/>
          <w:lang w:val="fr-CH"/>
        </w:rPr>
        <w:t> III donne un aperçu de</w:t>
      </w:r>
      <w:r w:rsidR="00C90322">
        <w:rPr>
          <w:rFonts w:eastAsia="MS Mincho"/>
          <w:lang w:val="fr-CH"/>
        </w:rPr>
        <w:t xml:space="preserve"> cette </w:t>
      </w:r>
      <w:r w:rsidR="00A42DD5">
        <w:rPr>
          <w:rFonts w:eastAsia="MS Mincho"/>
          <w:lang w:val="fr-CH"/>
        </w:rPr>
        <w:t>option</w:t>
      </w:r>
      <w:r w:rsidR="00313E0B">
        <w:rPr>
          <w:rFonts w:eastAsia="MS Mincho"/>
          <w:lang w:val="fr-CH"/>
        </w:rPr>
        <w:t xml:space="preserve"> </w:t>
      </w:r>
      <w:r w:rsidR="00A42DD5">
        <w:rPr>
          <w:rFonts w:eastAsia="MS Mincho"/>
          <w:lang w:val="fr-CH"/>
        </w:rPr>
        <w:t xml:space="preserve">dans la pratique. </w:t>
      </w:r>
    </w:p>
    <w:p w14:paraId="2D55303B" w14:textId="4C1E89C9" w:rsidR="00506D8B" w:rsidRDefault="0052572E" w:rsidP="00506D8B">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En tenant compte</w:t>
      </w:r>
      <w:r w:rsidR="00506D8B">
        <w:rPr>
          <w:rFonts w:eastAsia="MS Mincho"/>
          <w:lang w:val="fr-CH"/>
        </w:rPr>
        <w:t xml:space="preserve"> des besoins en personnel mentionnés plus haut, le montant total des dépenses </w:t>
      </w:r>
      <w:r w:rsidR="00B41BB6">
        <w:rPr>
          <w:rFonts w:eastAsia="MS Mincho"/>
          <w:lang w:val="fr-CH"/>
        </w:rPr>
        <w:t>de personnel afférentes à la C</w:t>
      </w:r>
      <w:r w:rsidR="00506D8B">
        <w:rPr>
          <w:rFonts w:eastAsia="MS Mincho"/>
          <w:lang w:val="fr-CH"/>
        </w:rPr>
        <w:t>onvention de Mina</w:t>
      </w:r>
      <w:r w:rsidR="00993FD5">
        <w:rPr>
          <w:rFonts w:eastAsia="MS Mincho"/>
          <w:lang w:val="fr-CH"/>
        </w:rPr>
        <w:t xml:space="preserve">mata pour cette option (voir </w:t>
      </w:r>
      <w:r w:rsidR="00506D8B">
        <w:rPr>
          <w:rFonts w:eastAsia="MS Mincho"/>
          <w:lang w:val="fr-CH"/>
        </w:rPr>
        <w:t>tableau</w:t>
      </w:r>
      <w:r w:rsidR="007F089B">
        <w:rPr>
          <w:rFonts w:eastAsia="MS Mincho"/>
          <w:lang w:val="fr-CH"/>
        </w:rPr>
        <w:t> </w:t>
      </w:r>
      <w:r w:rsidR="00506D8B">
        <w:rPr>
          <w:rFonts w:eastAsia="MS Mincho"/>
          <w:lang w:val="fr-CH"/>
        </w:rPr>
        <w:t>2 de l’a</w:t>
      </w:r>
      <w:r w:rsidR="00993FD5">
        <w:rPr>
          <w:rFonts w:eastAsia="MS Mincho"/>
          <w:lang w:val="fr-CH"/>
        </w:rPr>
        <w:t>ppendic</w:t>
      </w:r>
      <w:r w:rsidR="007F089B">
        <w:rPr>
          <w:rFonts w:eastAsia="MS Mincho"/>
          <w:lang w:val="fr-CH"/>
        </w:rPr>
        <w:t>e </w:t>
      </w:r>
      <w:r w:rsidR="00506D8B">
        <w:rPr>
          <w:rFonts w:eastAsia="MS Mincho"/>
          <w:lang w:val="fr-CH"/>
        </w:rPr>
        <w:t xml:space="preserve">II) </w:t>
      </w:r>
      <w:r w:rsidR="00993FD5">
        <w:rPr>
          <w:rFonts w:eastAsia="MS Mincho"/>
          <w:lang w:val="fr-CH"/>
        </w:rPr>
        <w:t>s’élèverait</w:t>
      </w:r>
      <w:r w:rsidR="00506D8B">
        <w:rPr>
          <w:rFonts w:eastAsia="MS Mincho"/>
          <w:lang w:val="fr-CH"/>
        </w:rPr>
        <w:t xml:space="preserve"> à </w:t>
      </w:r>
      <w:r w:rsidR="007F089B">
        <w:rPr>
          <w:rFonts w:eastAsia="MS Mincho"/>
          <w:b/>
          <w:lang w:val="fr-CH"/>
        </w:rPr>
        <w:t>2 772 917 </w:t>
      </w:r>
      <w:r w:rsidR="00506D8B">
        <w:rPr>
          <w:rFonts w:eastAsia="MS Mincho"/>
          <w:b/>
          <w:lang w:val="fr-CH"/>
        </w:rPr>
        <w:t xml:space="preserve">dollars par an. </w:t>
      </w:r>
    </w:p>
    <w:p w14:paraId="30E3896E" w14:textId="363DA3AB" w:rsidR="009A19D2" w:rsidRPr="009A19D2" w:rsidRDefault="009A19D2"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9A19D2">
        <w:rPr>
          <w:rFonts w:eastAsia="MS Mincho"/>
          <w:lang w:val="fr-CH"/>
        </w:rPr>
        <w:t xml:space="preserve">Étant donné qu’il s’agit d’une option provisoire </w:t>
      </w:r>
      <w:r w:rsidR="00BA47C7">
        <w:rPr>
          <w:rFonts w:eastAsia="MS Mincho"/>
          <w:lang w:val="fr-CH"/>
        </w:rPr>
        <w:t>dont l’</w:t>
      </w:r>
      <w:r w:rsidR="00B458CF">
        <w:rPr>
          <w:rFonts w:eastAsia="MS Mincho"/>
          <w:lang w:val="fr-CH"/>
        </w:rPr>
        <w:t xml:space="preserve">objectif final est d’incorporer entièrement les fonctions de secrétariat de la Convention de Minamata dans la structure </w:t>
      </w:r>
      <w:r>
        <w:rPr>
          <w:rFonts w:eastAsia="MS Mincho"/>
          <w:lang w:val="fr-CH"/>
        </w:rPr>
        <w:t>existante du secrétariat des conventions de Bâle, de Rotterdam et de Stockholm, l’option d’un</w:t>
      </w:r>
      <w:r w:rsidR="003D2AA2">
        <w:rPr>
          <w:rFonts w:eastAsia="MS Mincho"/>
          <w:lang w:val="fr-CH"/>
        </w:rPr>
        <w:t xml:space="preserve"> S</w:t>
      </w:r>
      <w:r>
        <w:rPr>
          <w:rFonts w:eastAsia="MS Mincho"/>
          <w:lang w:val="fr-CH"/>
        </w:rPr>
        <w:t xml:space="preserve">ervice </w:t>
      </w:r>
      <w:r w:rsidR="00163F5C">
        <w:rPr>
          <w:rFonts w:eastAsia="MS Mincho"/>
          <w:lang w:val="fr-CH"/>
        </w:rPr>
        <w:t>de la</w:t>
      </w:r>
      <w:r w:rsidR="00B458CF">
        <w:rPr>
          <w:rFonts w:eastAsia="MS Mincho"/>
          <w:lang w:val="fr-CH"/>
        </w:rPr>
        <w:t xml:space="preserve"> Convention de Minamata serait </w:t>
      </w:r>
      <w:r w:rsidR="00163F5C">
        <w:rPr>
          <w:rFonts w:eastAsia="MS Mincho"/>
          <w:lang w:val="fr-CH"/>
        </w:rPr>
        <w:t>appliquée jusqu’à ce qu’une décision soit prise</w:t>
      </w:r>
      <w:r w:rsidR="00993FD5">
        <w:rPr>
          <w:rFonts w:eastAsia="MS Mincho"/>
          <w:lang w:val="fr-CH"/>
        </w:rPr>
        <w:t xml:space="preserve"> en ce sens</w:t>
      </w:r>
      <w:r w:rsidR="00163F5C">
        <w:rPr>
          <w:rFonts w:eastAsia="MS Mincho"/>
          <w:lang w:val="fr-CH"/>
        </w:rPr>
        <w:t xml:space="preserve">. </w:t>
      </w:r>
    </w:p>
    <w:p w14:paraId="4F0C0BD5" w14:textId="293744C0" w:rsidR="00336974" w:rsidRPr="00336974" w:rsidRDefault="00BC7959"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En raison de l</w:t>
      </w:r>
      <w:r w:rsidR="00336974" w:rsidRPr="00336974">
        <w:rPr>
          <w:rFonts w:eastAsia="MS Mincho"/>
          <w:lang w:val="fr-CH"/>
        </w:rPr>
        <w:t xml:space="preserve">a redistribution des fonctions du </w:t>
      </w:r>
      <w:r w:rsidR="00486460">
        <w:rPr>
          <w:rFonts w:eastAsia="MS Mincho"/>
          <w:lang w:val="fr-CH"/>
        </w:rPr>
        <w:t>secré</w:t>
      </w:r>
      <w:r w:rsidR="00336974" w:rsidRPr="00336974">
        <w:rPr>
          <w:rFonts w:eastAsia="MS Mincho"/>
          <w:lang w:val="fr-CH"/>
        </w:rPr>
        <w:t xml:space="preserve">tariat provisoire </w:t>
      </w:r>
      <w:r w:rsidR="00D81F1A">
        <w:rPr>
          <w:rFonts w:eastAsia="MS Mincho"/>
          <w:lang w:val="fr-CH"/>
        </w:rPr>
        <w:t>dans le</w:t>
      </w:r>
      <w:r w:rsidR="00336974">
        <w:rPr>
          <w:rFonts w:eastAsia="MS Mincho"/>
          <w:lang w:val="fr-CH"/>
        </w:rPr>
        <w:t xml:space="preserve"> Service d</w:t>
      </w:r>
      <w:r w:rsidR="00486460">
        <w:rPr>
          <w:rFonts w:eastAsia="MS Mincho"/>
          <w:lang w:val="fr-CH"/>
        </w:rPr>
        <w:t xml:space="preserve">e la Convention de Minamata du secrétariat </w:t>
      </w:r>
      <w:r w:rsidR="00D81F1A">
        <w:rPr>
          <w:rFonts w:eastAsia="MS Mincho"/>
          <w:lang w:val="fr-CH"/>
        </w:rPr>
        <w:t>conjoint des conventions de Bâle, de Rotter</w:t>
      </w:r>
      <w:r w:rsidR="00F21671">
        <w:rPr>
          <w:rFonts w:eastAsia="MS Mincho"/>
          <w:lang w:val="fr-CH"/>
        </w:rPr>
        <w:t xml:space="preserve">dam et de Stockholm et de la Convention </w:t>
      </w:r>
      <w:r w:rsidR="00D81F1A">
        <w:rPr>
          <w:rFonts w:eastAsia="MS Mincho"/>
          <w:lang w:val="fr-CH"/>
        </w:rPr>
        <w:t>de Minamata</w:t>
      </w:r>
      <w:r>
        <w:rPr>
          <w:rFonts w:eastAsia="MS Mincho"/>
          <w:lang w:val="fr-CH"/>
        </w:rPr>
        <w:t xml:space="preserve">, </w:t>
      </w:r>
      <w:r w:rsidR="00D81F1A">
        <w:rPr>
          <w:rFonts w:eastAsia="MS Mincho"/>
          <w:lang w:val="fr-CH"/>
        </w:rPr>
        <w:t xml:space="preserve">un réajustement des </w:t>
      </w:r>
      <w:r w:rsidR="00534D75">
        <w:rPr>
          <w:rFonts w:eastAsia="MS Mincho"/>
          <w:lang w:val="fr-CH"/>
        </w:rPr>
        <w:t>fonction</w:t>
      </w:r>
      <w:r w:rsidR="00D81F1A">
        <w:rPr>
          <w:rFonts w:eastAsia="MS Mincho"/>
          <w:lang w:val="fr-CH"/>
        </w:rPr>
        <w:t xml:space="preserve">s </w:t>
      </w:r>
      <w:r>
        <w:rPr>
          <w:rFonts w:eastAsia="MS Mincho"/>
          <w:lang w:val="fr-CH"/>
        </w:rPr>
        <w:t>sera nécessaire afin de s’</w:t>
      </w:r>
      <w:r w:rsidR="00681C59">
        <w:rPr>
          <w:rFonts w:eastAsia="MS Mincho"/>
          <w:lang w:val="fr-CH"/>
        </w:rPr>
        <w:t>adapter à l</w:t>
      </w:r>
      <w:r>
        <w:rPr>
          <w:rFonts w:eastAsia="MS Mincho"/>
          <w:lang w:val="fr-CH"/>
        </w:rPr>
        <w:t>a structure actuelle du Secrétariat de</w:t>
      </w:r>
      <w:r w:rsidR="00F21671">
        <w:rPr>
          <w:rFonts w:eastAsia="MS Mincho"/>
          <w:lang w:val="fr-CH"/>
        </w:rPr>
        <w:t>s conventions de</w:t>
      </w:r>
      <w:r>
        <w:rPr>
          <w:rFonts w:eastAsia="MS Mincho"/>
          <w:lang w:val="fr-CH"/>
        </w:rPr>
        <w:t xml:space="preserve"> Bâle, de Rotterdam et de Stockholm. </w:t>
      </w:r>
      <w:r w:rsidR="00681C59">
        <w:rPr>
          <w:rFonts w:eastAsia="MS Mincho"/>
          <w:lang w:val="fr-CH"/>
        </w:rPr>
        <w:t>Il faudra procéder à un</w:t>
      </w:r>
      <w:r w:rsidR="00ED2853">
        <w:rPr>
          <w:rFonts w:eastAsia="MS Mincho"/>
          <w:lang w:val="fr-CH"/>
        </w:rPr>
        <w:t xml:space="preserve"> </w:t>
      </w:r>
      <w:r w:rsidR="00681C59">
        <w:rPr>
          <w:rFonts w:eastAsia="MS Mincho"/>
          <w:lang w:val="fr-CH"/>
        </w:rPr>
        <w:t>class</w:t>
      </w:r>
      <w:r w:rsidR="00ED2853">
        <w:rPr>
          <w:rFonts w:eastAsia="MS Mincho"/>
          <w:lang w:val="fr-CH"/>
        </w:rPr>
        <w:t>ement</w:t>
      </w:r>
      <w:r w:rsidR="00681C59">
        <w:rPr>
          <w:rFonts w:eastAsia="MS Mincho"/>
          <w:lang w:val="fr-CH"/>
        </w:rPr>
        <w:t xml:space="preserve"> des nouveaux postes</w:t>
      </w:r>
      <w:r w:rsidR="004A2255">
        <w:rPr>
          <w:rFonts w:eastAsia="MS Mincho"/>
          <w:lang w:val="fr-CH"/>
        </w:rPr>
        <w:t xml:space="preserve"> et </w:t>
      </w:r>
      <w:r w:rsidR="00972CD7">
        <w:rPr>
          <w:rFonts w:eastAsia="MS Mincho"/>
          <w:lang w:val="fr-CH"/>
        </w:rPr>
        <w:t>c</w:t>
      </w:r>
      <w:r w:rsidR="00ED2853">
        <w:rPr>
          <w:rFonts w:eastAsia="MS Mincho"/>
          <w:lang w:val="fr-CH"/>
        </w:rPr>
        <w:t>ertain</w:t>
      </w:r>
      <w:r w:rsidR="00534D75">
        <w:rPr>
          <w:rFonts w:eastAsia="MS Mincho"/>
          <w:lang w:val="fr-CH"/>
        </w:rPr>
        <w:t>e</w:t>
      </w:r>
      <w:r w:rsidR="00ED2853">
        <w:rPr>
          <w:rFonts w:eastAsia="MS Mincho"/>
          <w:lang w:val="fr-CH"/>
        </w:rPr>
        <w:t xml:space="preserve">s </w:t>
      </w:r>
      <w:r w:rsidR="00534D75">
        <w:rPr>
          <w:rFonts w:eastAsia="MS Mincho"/>
          <w:lang w:val="fr-CH"/>
        </w:rPr>
        <w:t>modification</w:t>
      </w:r>
      <w:r w:rsidR="00ED2853">
        <w:rPr>
          <w:rFonts w:eastAsia="MS Mincho"/>
          <w:lang w:val="fr-CH"/>
        </w:rPr>
        <w:t>s</w:t>
      </w:r>
      <w:r w:rsidR="00972CD7">
        <w:rPr>
          <w:rFonts w:eastAsia="MS Mincho"/>
          <w:lang w:val="fr-CH"/>
        </w:rPr>
        <w:t xml:space="preserve"> devront être apporté</w:t>
      </w:r>
      <w:r w:rsidR="00534D75">
        <w:rPr>
          <w:rFonts w:eastAsia="MS Mincho"/>
          <w:lang w:val="fr-CH"/>
        </w:rPr>
        <w:t>e</w:t>
      </w:r>
      <w:r w:rsidR="00972CD7">
        <w:rPr>
          <w:rFonts w:eastAsia="MS Mincho"/>
          <w:lang w:val="fr-CH"/>
        </w:rPr>
        <w:t>s aux</w:t>
      </w:r>
      <w:r w:rsidR="003E5DA1">
        <w:rPr>
          <w:rFonts w:eastAsia="MS Mincho"/>
          <w:lang w:val="fr-CH"/>
        </w:rPr>
        <w:t xml:space="preserve"> emplois</w:t>
      </w:r>
      <w:r w:rsidR="00ED2853">
        <w:rPr>
          <w:rFonts w:eastAsia="MS Mincho"/>
          <w:lang w:val="fr-CH"/>
        </w:rPr>
        <w:t xml:space="preserve"> déjà existants. </w:t>
      </w:r>
    </w:p>
    <w:p w14:paraId="1732CB13" w14:textId="70D0F4FE" w:rsidR="0041238C" w:rsidRPr="00D97684" w:rsidRDefault="00ED2853" w:rsidP="006432A8">
      <w:pPr>
        <w:pStyle w:val="CH3"/>
        <w:rPr>
          <w:rFonts w:eastAsia="MS Mincho"/>
          <w:lang w:val="fr-CH"/>
        </w:rPr>
      </w:pPr>
      <w:r w:rsidRPr="0014577F">
        <w:rPr>
          <w:rFonts w:eastAsia="MS Mincho"/>
          <w:lang w:val="fr-CH"/>
        </w:rPr>
        <w:tab/>
      </w:r>
      <w:r w:rsidR="0041238C" w:rsidRPr="00D97684">
        <w:rPr>
          <w:rFonts w:eastAsia="MS Mincho"/>
          <w:lang w:val="fr-CH"/>
        </w:rPr>
        <w:t>2.</w:t>
      </w:r>
      <w:r w:rsidR="0041238C" w:rsidRPr="00D97684">
        <w:rPr>
          <w:rFonts w:eastAsia="MS Mincho"/>
          <w:lang w:val="fr-CH"/>
        </w:rPr>
        <w:tab/>
      </w:r>
      <w:r w:rsidR="00F21671">
        <w:rPr>
          <w:rFonts w:eastAsia="MS Mincho"/>
          <w:lang w:val="fr-CH"/>
        </w:rPr>
        <w:t>Création d’</w:t>
      </w:r>
      <w:r w:rsidR="003E4899">
        <w:rPr>
          <w:rFonts w:eastAsia="MS Mincho"/>
          <w:lang w:val="fr-CH"/>
        </w:rPr>
        <w:t>un s</w:t>
      </w:r>
      <w:r w:rsidR="003D1BB0">
        <w:rPr>
          <w:rFonts w:eastAsia="MS Mincho"/>
          <w:lang w:val="fr-CH"/>
        </w:rPr>
        <w:t>ecrétariat autonome</w:t>
      </w:r>
      <w:r w:rsidR="003E4899">
        <w:rPr>
          <w:rFonts w:eastAsia="MS Mincho"/>
          <w:lang w:val="fr-CH"/>
        </w:rPr>
        <w:t xml:space="preserve"> de</w:t>
      </w:r>
      <w:r w:rsidR="00D97684" w:rsidRPr="00D97684">
        <w:rPr>
          <w:rFonts w:eastAsia="MS Mincho"/>
          <w:lang w:val="fr-CH"/>
        </w:rPr>
        <w:t xml:space="preserve"> la Convention de Minamata</w:t>
      </w:r>
    </w:p>
    <w:p w14:paraId="516ECC4A" w14:textId="30F81110" w:rsidR="008278CC" w:rsidRPr="008278CC" w:rsidRDefault="005E6ED1" w:rsidP="008278CC">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8278CC">
        <w:rPr>
          <w:rFonts w:eastAsia="MS Mincho"/>
          <w:lang w:val="fr-CH"/>
        </w:rPr>
        <w:t>Il a également été</w:t>
      </w:r>
      <w:r w:rsidR="00536C5A">
        <w:rPr>
          <w:rFonts w:eastAsia="MS Mincho"/>
          <w:lang w:val="fr-CH"/>
        </w:rPr>
        <w:t xml:space="preserve"> demandé au Directeur exécutif </w:t>
      </w:r>
      <w:r w:rsidRPr="008278CC">
        <w:rPr>
          <w:rFonts w:eastAsia="MS Mincho"/>
          <w:lang w:val="fr-CH"/>
        </w:rPr>
        <w:t>d’étudier la possibilité d’</w:t>
      </w:r>
      <w:r w:rsidR="00837612" w:rsidRPr="008278CC">
        <w:rPr>
          <w:rFonts w:eastAsia="MS Mincho"/>
          <w:lang w:val="fr-CH"/>
        </w:rPr>
        <w:t>utiliser le secrét</w:t>
      </w:r>
      <w:r w:rsidRPr="008278CC">
        <w:rPr>
          <w:rFonts w:eastAsia="MS Mincho"/>
          <w:lang w:val="fr-CH"/>
        </w:rPr>
        <w:t>a</w:t>
      </w:r>
      <w:r w:rsidR="00837612" w:rsidRPr="008278CC">
        <w:rPr>
          <w:rFonts w:eastAsia="MS Mincho"/>
          <w:lang w:val="fr-CH"/>
        </w:rPr>
        <w:t>r</w:t>
      </w:r>
      <w:r w:rsidRPr="008278CC">
        <w:rPr>
          <w:rFonts w:eastAsia="MS Mincho"/>
          <w:lang w:val="fr-CH"/>
        </w:rPr>
        <w:t>iat p</w:t>
      </w:r>
      <w:r w:rsidR="008C1393">
        <w:rPr>
          <w:rFonts w:eastAsia="MS Mincho"/>
          <w:lang w:val="fr-CH"/>
        </w:rPr>
        <w:t xml:space="preserve">rovisoire actuel dans son </w:t>
      </w:r>
      <w:r w:rsidR="00837612" w:rsidRPr="008278CC">
        <w:rPr>
          <w:rFonts w:eastAsia="MS Mincho"/>
          <w:lang w:val="fr-CH"/>
        </w:rPr>
        <w:t xml:space="preserve">analyse des options </w:t>
      </w:r>
      <w:r w:rsidR="00781BDE" w:rsidRPr="008278CC">
        <w:rPr>
          <w:rFonts w:eastAsia="MS Mincho"/>
          <w:lang w:val="fr-CH"/>
        </w:rPr>
        <w:t>relatives à</w:t>
      </w:r>
      <w:r w:rsidR="00837612" w:rsidRPr="008278CC">
        <w:rPr>
          <w:rFonts w:eastAsia="MS Mincho"/>
          <w:lang w:val="fr-CH"/>
        </w:rPr>
        <w:t xml:space="preserve"> la manière dont les fonctions du secrétariat permanent seraient exercées. </w:t>
      </w:r>
      <w:r w:rsidR="00781BDE" w:rsidRPr="008278CC">
        <w:rPr>
          <w:rFonts w:eastAsia="MS Mincho"/>
          <w:lang w:val="fr-CH"/>
        </w:rPr>
        <w:t xml:space="preserve">Actuellement, le personnel du secrétariat provisoire se compose d’un </w:t>
      </w:r>
      <w:r w:rsidR="00220193" w:rsidRPr="008278CC">
        <w:rPr>
          <w:rFonts w:eastAsia="MS Mincho"/>
          <w:lang w:val="fr-CH"/>
        </w:rPr>
        <w:t>fonctionnaire de la classe</w:t>
      </w:r>
      <w:r w:rsidR="00781BDE" w:rsidRPr="008278CC">
        <w:rPr>
          <w:rFonts w:eastAsia="MS Mincho"/>
          <w:lang w:val="fr-CH"/>
        </w:rPr>
        <w:t xml:space="preserve"> D-1</w:t>
      </w:r>
      <w:r w:rsidR="008C1393">
        <w:rPr>
          <w:rFonts w:eastAsia="MS Mincho"/>
          <w:lang w:val="fr-CH"/>
        </w:rPr>
        <w:t xml:space="preserve"> </w:t>
      </w:r>
      <w:r w:rsidR="001506CE" w:rsidRPr="008278CC">
        <w:rPr>
          <w:rFonts w:eastAsia="MS Mincho"/>
          <w:lang w:val="fr-CH"/>
        </w:rPr>
        <w:t xml:space="preserve">à 40 %, d’un </w:t>
      </w:r>
      <w:r w:rsidR="00A5764A" w:rsidRPr="008278CC">
        <w:rPr>
          <w:rFonts w:eastAsia="MS Mincho"/>
          <w:lang w:val="fr-CH"/>
        </w:rPr>
        <w:t>fonctionnaire de la classe</w:t>
      </w:r>
      <w:r w:rsidR="007F089B">
        <w:rPr>
          <w:rFonts w:eastAsia="MS Mincho"/>
          <w:lang w:val="fr-CH"/>
        </w:rPr>
        <w:t> </w:t>
      </w:r>
      <w:r w:rsidR="001506CE" w:rsidRPr="008278CC">
        <w:rPr>
          <w:rFonts w:eastAsia="MS Mincho"/>
          <w:lang w:val="fr-CH"/>
        </w:rPr>
        <w:t xml:space="preserve">P-5, d’un </w:t>
      </w:r>
      <w:r w:rsidR="00A5764A" w:rsidRPr="008278CC">
        <w:rPr>
          <w:rFonts w:eastAsia="MS Mincho"/>
          <w:lang w:val="fr-CH"/>
        </w:rPr>
        <w:t>fonctionnaire de la classe</w:t>
      </w:r>
      <w:r w:rsidR="007F089B">
        <w:rPr>
          <w:rFonts w:eastAsia="MS Mincho"/>
          <w:lang w:val="fr-CH"/>
        </w:rPr>
        <w:t> </w:t>
      </w:r>
      <w:r w:rsidR="001506CE" w:rsidRPr="008278CC">
        <w:rPr>
          <w:rFonts w:eastAsia="MS Mincho"/>
          <w:lang w:val="fr-CH"/>
        </w:rPr>
        <w:t>P-4,</w:t>
      </w:r>
      <w:r w:rsidR="00A5764A" w:rsidRPr="008278CC">
        <w:rPr>
          <w:rFonts w:eastAsia="MS Mincho"/>
          <w:lang w:val="fr-CH"/>
        </w:rPr>
        <w:t xml:space="preserve"> d’un fonctionnaire de la classe</w:t>
      </w:r>
      <w:r w:rsidR="007F089B">
        <w:rPr>
          <w:rFonts w:eastAsia="MS Mincho"/>
          <w:lang w:val="fr-CH"/>
        </w:rPr>
        <w:t> </w:t>
      </w:r>
      <w:r w:rsidR="00A5764A" w:rsidRPr="008278CC">
        <w:rPr>
          <w:rFonts w:eastAsia="MS Mincho"/>
          <w:lang w:val="fr-CH"/>
        </w:rPr>
        <w:t>P-3, d’un administrateur auxiliaire à 33 % et de de</w:t>
      </w:r>
      <w:r w:rsidR="008278CC" w:rsidRPr="008278CC">
        <w:rPr>
          <w:rFonts w:eastAsia="MS Mincho"/>
          <w:lang w:val="fr-CH"/>
        </w:rPr>
        <w:t>ux agents des services généraux</w:t>
      </w:r>
      <w:r w:rsidR="00F17E65" w:rsidRPr="007E304A">
        <w:rPr>
          <w:rStyle w:val="FootnoteReference"/>
          <w:rFonts w:eastAsia="MS Mincho"/>
        </w:rPr>
        <w:footnoteReference w:id="9"/>
      </w:r>
      <w:r w:rsidR="008278CC">
        <w:rPr>
          <w:rFonts w:eastAsia="MS Mincho"/>
          <w:lang w:val="fr-CH"/>
        </w:rPr>
        <w:t xml:space="preserve">. </w:t>
      </w:r>
      <w:r w:rsidR="00C172D1">
        <w:rPr>
          <w:rFonts w:eastAsia="MS Mincho"/>
          <w:lang w:val="fr-CH"/>
        </w:rPr>
        <w:t>Pour</w:t>
      </w:r>
      <w:r w:rsidR="008278CC">
        <w:rPr>
          <w:rFonts w:eastAsia="MS Mincho"/>
          <w:lang w:val="fr-CH"/>
        </w:rPr>
        <w:t xml:space="preserve"> cette option, six lieux d’implantation ont été proposés dans le document </w:t>
      </w:r>
      <w:r w:rsidR="008278CC" w:rsidRPr="008278CC">
        <w:rPr>
          <w:lang w:val="fr-CH"/>
        </w:rPr>
        <w:t>UNEP(DTIE)/Hg/INC.7/15.</w:t>
      </w:r>
    </w:p>
    <w:p w14:paraId="69C55FDB" w14:textId="27E30899" w:rsidR="0041238C" w:rsidRPr="00B627EF" w:rsidRDefault="00D96B1B" w:rsidP="00D96B1B">
      <w:pPr>
        <w:pStyle w:val="CH4"/>
        <w:ind w:firstLine="0"/>
        <w:outlineLvl w:val="0"/>
        <w:rPr>
          <w:rFonts w:eastAsia="MS Mincho"/>
          <w:lang w:val="fr-CH"/>
        </w:rPr>
      </w:pPr>
      <w:r>
        <w:rPr>
          <w:rFonts w:eastAsia="MS Mincho"/>
          <w:lang w:val="fr-CH"/>
        </w:rPr>
        <w:t>Option </w:t>
      </w:r>
      <w:r w:rsidR="0041238C" w:rsidRPr="00B627EF">
        <w:rPr>
          <w:rFonts w:eastAsia="MS Mincho"/>
          <w:lang w:val="fr-CH"/>
        </w:rPr>
        <w:t>2</w:t>
      </w:r>
      <w:r w:rsidR="00174A1C" w:rsidRPr="00B627EF">
        <w:rPr>
          <w:rFonts w:eastAsia="MS Mincho"/>
          <w:lang w:val="fr-CH"/>
        </w:rPr>
        <w:t xml:space="preserve"> </w:t>
      </w:r>
      <w:r w:rsidR="001A2884" w:rsidRPr="00B627EF">
        <w:rPr>
          <w:rFonts w:eastAsia="MS Mincho"/>
          <w:lang w:val="fr-CH"/>
        </w:rPr>
        <w:t>(</w:t>
      </w:r>
      <w:r w:rsidR="00536C5A">
        <w:rPr>
          <w:rFonts w:eastAsia="MS Mincho"/>
          <w:lang w:val="fr-CH"/>
        </w:rPr>
        <w:t>organisme autonome</w:t>
      </w:r>
      <w:r w:rsidR="001A2884" w:rsidRPr="00B627EF">
        <w:rPr>
          <w:rFonts w:eastAsia="MS Mincho"/>
          <w:lang w:val="fr-CH"/>
        </w:rPr>
        <w:t>)</w:t>
      </w:r>
      <w:r w:rsidR="00B627EF" w:rsidRPr="00B627EF">
        <w:rPr>
          <w:rFonts w:eastAsia="MS Mincho"/>
          <w:lang w:val="fr-CH"/>
        </w:rPr>
        <w:t xml:space="preserve"> : </w:t>
      </w:r>
      <w:r w:rsidR="005E6ED1">
        <w:rPr>
          <w:rFonts w:eastAsia="MS Mincho"/>
          <w:lang w:val="fr-CH"/>
        </w:rPr>
        <w:t>é</w:t>
      </w:r>
      <w:r w:rsidR="00B627EF" w:rsidRPr="00B627EF">
        <w:rPr>
          <w:rFonts w:eastAsia="MS Mincho"/>
          <w:lang w:val="fr-CH"/>
        </w:rPr>
        <w:t>tabli</w:t>
      </w:r>
      <w:r w:rsidR="00153538">
        <w:rPr>
          <w:rFonts w:eastAsia="MS Mincho"/>
          <w:lang w:val="fr-CH"/>
        </w:rPr>
        <w:t xml:space="preserve">r </w:t>
      </w:r>
      <w:r w:rsidR="00651E3B">
        <w:rPr>
          <w:rFonts w:eastAsia="MS Mincho"/>
          <w:lang w:val="fr-CH"/>
        </w:rPr>
        <w:t xml:space="preserve">un </w:t>
      </w:r>
      <w:r w:rsidR="00536C5A">
        <w:rPr>
          <w:rFonts w:eastAsia="MS Mincho"/>
          <w:lang w:val="fr-CH"/>
        </w:rPr>
        <w:t>secrétariat autonome</w:t>
      </w:r>
      <w:r w:rsidR="008C1393">
        <w:rPr>
          <w:rFonts w:eastAsia="MS Mincho"/>
          <w:lang w:val="fr-CH"/>
        </w:rPr>
        <w:t xml:space="preserve"> de </w:t>
      </w:r>
      <w:r w:rsidR="00651E3B">
        <w:rPr>
          <w:rFonts w:eastAsia="MS Mincho"/>
          <w:lang w:val="fr-CH"/>
        </w:rPr>
        <w:t>la Convention de </w:t>
      </w:r>
      <w:r w:rsidR="00B627EF" w:rsidRPr="00B627EF">
        <w:rPr>
          <w:rFonts w:eastAsia="MS Mincho"/>
          <w:lang w:val="fr-CH"/>
        </w:rPr>
        <w:t>Minama</w:t>
      </w:r>
      <w:r w:rsidR="00B627EF">
        <w:rPr>
          <w:rFonts w:eastAsia="MS Mincho"/>
          <w:lang w:val="fr-CH"/>
        </w:rPr>
        <w:t>ta</w:t>
      </w:r>
    </w:p>
    <w:p w14:paraId="6B88132A" w14:textId="77777777" w:rsidR="0041238C" w:rsidRPr="00B627EF" w:rsidRDefault="0041238C" w:rsidP="006432A8">
      <w:pPr>
        <w:pStyle w:val="CH4"/>
        <w:outlineLvl w:val="0"/>
        <w:rPr>
          <w:rFonts w:eastAsia="MS Mincho"/>
          <w:lang w:val="fr-CH"/>
        </w:rPr>
      </w:pPr>
      <w:r w:rsidRPr="00B627EF">
        <w:rPr>
          <w:rFonts w:eastAsia="MS Mincho"/>
          <w:lang w:val="fr-CH"/>
        </w:rPr>
        <w:tab/>
      </w:r>
      <w:r w:rsidRPr="00B627EF">
        <w:rPr>
          <w:rFonts w:eastAsia="MS Mincho"/>
          <w:lang w:val="fr-CH"/>
        </w:rPr>
        <w:tab/>
        <w:t xml:space="preserve">Structure </w:t>
      </w:r>
    </w:p>
    <w:p w14:paraId="1C3E266F" w14:textId="1D5E2CFA" w:rsidR="00A9713B" w:rsidRPr="00A9713B" w:rsidRDefault="00A9713B"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A9713B">
        <w:rPr>
          <w:rFonts w:eastAsia="MS Mincho"/>
          <w:lang w:val="fr-CH"/>
        </w:rPr>
        <w:t>En se fondant sur les enseignements tirés du secr</w:t>
      </w:r>
      <w:r w:rsidR="0001598F">
        <w:rPr>
          <w:rFonts w:eastAsia="MS Mincho"/>
          <w:lang w:val="fr-CH"/>
        </w:rPr>
        <w:t>é</w:t>
      </w:r>
      <w:r w:rsidRPr="00A9713B">
        <w:rPr>
          <w:rFonts w:eastAsia="MS Mincho"/>
          <w:lang w:val="fr-CH"/>
        </w:rPr>
        <w:t xml:space="preserve">tariat provisoire déjà existant de la Convention de Minamata, </w:t>
      </w:r>
      <w:r w:rsidR="00EA1541">
        <w:rPr>
          <w:rFonts w:eastAsia="MS Mincho"/>
          <w:lang w:val="fr-CH"/>
        </w:rPr>
        <w:t>un</w:t>
      </w:r>
      <w:r w:rsidR="00AD2BBD">
        <w:rPr>
          <w:rFonts w:eastAsia="MS Mincho"/>
          <w:lang w:val="fr-CH"/>
        </w:rPr>
        <w:t xml:space="preserve"> organisme autonome</w:t>
      </w:r>
      <w:r w:rsidR="0001598F">
        <w:rPr>
          <w:rFonts w:eastAsia="MS Mincho"/>
          <w:lang w:val="fr-CH"/>
        </w:rPr>
        <w:t xml:space="preserve"> chargé d’exécuter les</w:t>
      </w:r>
      <w:r w:rsidR="00760333">
        <w:rPr>
          <w:rFonts w:eastAsia="MS Mincho"/>
          <w:lang w:val="fr-CH"/>
        </w:rPr>
        <w:t xml:space="preserve"> fonctions de secrétariat de la Convention de Minamata peut </w:t>
      </w:r>
      <w:r w:rsidR="0001598F">
        <w:rPr>
          <w:rFonts w:eastAsia="MS Mincho"/>
          <w:lang w:val="fr-CH"/>
        </w:rPr>
        <w:t xml:space="preserve">être </w:t>
      </w:r>
      <w:r w:rsidR="0048756B">
        <w:rPr>
          <w:rFonts w:eastAsia="MS Mincho"/>
          <w:lang w:val="fr-CH"/>
        </w:rPr>
        <w:t xml:space="preserve">établi </w:t>
      </w:r>
      <w:r w:rsidR="00013E90">
        <w:rPr>
          <w:rFonts w:eastAsia="MS Mincho"/>
          <w:lang w:val="fr-CH"/>
        </w:rPr>
        <w:t xml:space="preserve">de façon permanente. </w:t>
      </w:r>
      <w:r w:rsidR="003B4D06">
        <w:rPr>
          <w:rFonts w:eastAsia="MS Mincho"/>
          <w:lang w:val="fr-CH"/>
        </w:rPr>
        <w:t xml:space="preserve">En </w:t>
      </w:r>
      <w:r w:rsidR="0058006A">
        <w:rPr>
          <w:rFonts w:eastAsia="MS Mincho"/>
          <w:lang w:val="fr-CH"/>
        </w:rPr>
        <w:t>ajouta</w:t>
      </w:r>
      <w:r w:rsidR="003B4D06">
        <w:rPr>
          <w:rFonts w:eastAsia="MS Mincho"/>
          <w:lang w:val="fr-CH"/>
        </w:rPr>
        <w:t>nt de nouveaux postes à la structure actuelle du secrétariat prov</w:t>
      </w:r>
      <w:r w:rsidR="004832F5">
        <w:rPr>
          <w:rFonts w:eastAsia="MS Mincho"/>
          <w:lang w:val="fr-CH"/>
        </w:rPr>
        <w:t>is</w:t>
      </w:r>
      <w:r w:rsidR="00AD2BBD">
        <w:rPr>
          <w:rFonts w:eastAsia="MS Mincho"/>
          <w:lang w:val="fr-CH"/>
        </w:rPr>
        <w:t xml:space="preserve">oire, </w:t>
      </w:r>
      <w:bookmarkStart w:id="4" w:name="_GoBack"/>
      <w:bookmarkEnd w:id="4"/>
      <w:r w:rsidR="00AD2BBD">
        <w:rPr>
          <w:rFonts w:eastAsia="MS Mincho"/>
          <w:lang w:val="fr-CH"/>
        </w:rPr>
        <w:t>le secrétariat autonome</w:t>
      </w:r>
      <w:r w:rsidR="004832F5">
        <w:rPr>
          <w:rFonts w:eastAsia="MS Mincho"/>
          <w:lang w:val="fr-CH"/>
        </w:rPr>
        <w:t xml:space="preserve"> </w:t>
      </w:r>
      <w:r w:rsidR="00585C4C">
        <w:rPr>
          <w:rFonts w:eastAsia="MS Mincho"/>
          <w:lang w:val="fr-CH"/>
        </w:rPr>
        <w:t>fonctionnera</w:t>
      </w:r>
      <w:r w:rsidR="004832F5">
        <w:rPr>
          <w:rFonts w:eastAsia="MS Mincho"/>
          <w:lang w:val="fr-CH"/>
        </w:rPr>
        <w:t xml:space="preserve"> de la même façon que d’autre </w:t>
      </w:r>
      <w:r w:rsidR="000B1CFB">
        <w:rPr>
          <w:rFonts w:eastAsia="MS Mincho"/>
          <w:lang w:val="fr-CH"/>
        </w:rPr>
        <w:t>secrétariats d’</w:t>
      </w:r>
      <w:r w:rsidR="00245004">
        <w:rPr>
          <w:rFonts w:eastAsia="MS Mincho"/>
          <w:lang w:val="fr-CH"/>
        </w:rPr>
        <w:t xml:space="preserve">accords multilatéraux </w:t>
      </w:r>
      <w:r w:rsidR="00641022">
        <w:rPr>
          <w:rFonts w:eastAsia="MS Mincho"/>
          <w:lang w:val="fr-CH"/>
        </w:rPr>
        <w:t>sur l’environnement de portée similaire administrés par le PNUE</w:t>
      </w:r>
      <w:r w:rsidR="00A87086">
        <w:rPr>
          <w:rFonts w:eastAsia="MS Mincho"/>
          <w:lang w:val="fr-CH"/>
        </w:rPr>
        <w:t>, comme la Convention de Vienne po</w:t>
      </w:r>
      <w:r w:rsidR="00641022">
        <w:rPr>
          <w:rFonts w:eastAsia="MS Mincho"/>
          <w:lang w:val="fr-CH"/>
        </w:rPr>
        <w:t xml:space="preserve">ur la protection de la couche d’ozone et la Convention sur le commerce international des espèces </w:t>
      </w:r>
      <w:r w:rsidR="00585C4C">
        <w:rPr>
          <w:rFonts w:eastAsia="MS Mincho"/>
          <w:lang w:val="fr-CH"/>
        </w:rPr>
        <w:t xml:space="preserve">de faune et de flore </w:t>
      </w:r>
      <w:r w:rsidR="00641022">
        <w:rPr>
          <w:rFonts w:eastAsia="MS Mincho"/>
          <w:lang w:val="fr-CH"/>
        </w:rPr>
        <w:t>menacées</w:t>
      </w:r>
      <w:r w:rsidR="00585C4C">
        <w:rPr>
          <w:rFonts w:eastAsia="MS Mincho"/>
          <w:lang w:val="fr-CH"/>
        </w:rPr>
        <w:t xml:space="preserve"> </w:t>
      </w:r>
      <w:r w:rsidR="00A87086" w:rsidRPr="00A87086">
        <w:rPr>
          <w:lang w:val="fr-CH"/>
        </w:rPr>
        <w:t>d’extinction</w:t>
      </w:r>
    </w:p>
    <w:p w14:paraId="7B465753" w14:textId="5E952E66" w:rsidR="00A84D7D" w:rsidRPr="00A84D7D" w:rsidRDefault="00BF0198" w:rsidP="002B6EB2">
      <w:pPr>
        <w:pStyle w:val="Normal-pool"/>
        <w:keepNext/>
        <w:keepLines/>
        <w:numPr>
          <w:ilvl w:val="0"/>
          <w:numId w:val="134"/>
        </w:numPr>
        <w:tabs>
          <w:tab w:val="clear" w:pos="1247"/>
          <w:tab w:val="clear" w:pos="1814"/>
          <w:tab w:val="clear" w:pos="2381"/>
          <w:tab w:val="clear" w:pos="2948"/>
          <w:tab w:val="clear" w:pos="3515"/>
          <w:tab w:val="clear" w:pos="4082"/>
          <w:tab w:val="left" w:pos="624"/>
        </w:tabs>
        <w:spacing w:after="120"/>
        <w:ind w:left="1253" w:firstLine="0"/>
        <w:rPr>
          <w:rFonts w:eastAsia="MS Mincho"/>
          <w:lang w:val="fr-CH"/>
        </w:rPr>
      </w:pPr>
      <w:r w:rsidRPr="00A84D7D">
        <w:rPr>
          <w:rFonts w:eastAsia="MS Mincho"/>
          <w:lang w:val="fr-CH"/>
        </w:rPr>
        <w:lastRenderedPageBreak/>
        <w:t xml:space="preserve">L’appui </w:t>
      </w:r>
      <w:r w:rsidR="0058006A">
        <w:rPr>
          <w:rFonts w:eastAsia="MS Mincho"/>
          <w:lang w:val="fr-CH"/>
        </w:rPr>
        <w:t>fourni au secrétariat provisoire par</w:t>
      </w:r>
      <w:r w:rsidRPr="00A84D7D">
        <w:rPr>
          <w:rFonts w:eastAsia="MS Mincho"/>
          <w:lang w:val="fr-CH"/>
        </w:rPr>
        <w:t xml:space="preserve"> d’autres entités du PNUE serait désormais entièrement </w:t>
      </w:r>
      <w:r w:rsidR="00A84D7D" w:rsidRPr="00A84D7D">
        <w:rPr>
          <w:rFonts w:eastAsia="MS Mincho"/>
          <w:lang w:val="fr-CH"/>
        </w:rPr>
        <w:t>assuré par le pers</w:t>
      </w:r>
      <w:r w:rsidR="008E5296">
        <w:rPr>
          <w:rFonts w:eastAsia="MS Mincho"/>
          <w:lang w:val="fr-CH"/>
        </w:rPr>
        <w:t>onnel du secrétariat autonome</w:t>
      </w:r>
      <w:r w:rsidR="00A84D7D" w:rsidRPr="00A84D7D">
        <w:rPr>
          <w:rFonts w:eastAsia="MS Mincho"/>
          <w:lang w:val="fr-CH"/>
        </w:rPr>
        <w:t xml:space="preserve"> de la Convention de Minamata</w:t>
      </w:r>
      <w:r w:rsidR="0041238C" w:rsidRPr="007E304A">
        <w:rPr>
          <w:rStyle w:val="FootnoteReference"/>
          <w:rFonts w:eastAsia="MS Mincho"/>
        </w:rPr>
        <w:footnoteReference w:id="10"/>
      </w:r>
      <w:r w:rsidR="00A84D7D" w:rsidRPr="00A84D7D">
        <w:rPr>
          <w:rFonts w:eastAsia="MS Mincho"/>
          <w:lang w:val="fr-CH"/>
        </w:rPr>
        <w:t>.</w:t>
      </w:r>
      <w:r w:rsidR="00A84D7D">
        <w:rPr>
          <w:rFonts w:eastAsia="MS Mincho"/>
          <w:lang w:val="fr-CH"/>
        </w:rPr>
        <w:t xml:space="preserve"> </w:t>
      </w:r>
      <w:r w:rsidR="00041662">
        <w:rPr>
          <w:rFonts w:eastAsia="MS Mincho"/>
          <w:lang w:val="fr-CH"/>
        </w:rPr>
        <w:t xml:space="preserve">Les activités </w:t>
      </w:r>
      <w:r w:rsidR="00FE043B">
        <w:rPr>
          <w:rFonts w:eastAsia="MS Mincho"/>
          <w:lang w:val="fr-CH"/>
        </w:rPr>
        <w:t>de coopération en matière d’assistance technique et de</w:t>
      </w:r>
      <w:r w:rsidR="00041662">
        <w:rPr>
          <w:rFonts w:eastAsia="MS Mincho"/>
          <w:lang w:val="fr-CH"/>
        </w:rPr>
        <w:t xml:space="preserve"> questions scientifiques</w:t>
      </w:r>
      <w:r w:rsidR="00612226">
        <w:rPr>
          <w:rFonts w:eastAsia="MS Mincho"/>
          <w:lang w:val="fr-CH"/>
        </w:rPr>
        <w:t xml:space="preserve"> menées avec d’autres entités du PNUE serai</w:t>
      </w:r>
      <w:r w:rsidR="00675DC3">
        <w:rPr>
          <w:rFonts w:eastAsia="MS Mincho"/>
          <w:lang w:val="fr-CH"/>
        </w:rPr>
        <w:t>en</w:t>
      </w:r>
      <w:r w:rsidR="00612226">
        <w:rPr>
          <w:rFonts w:eastAsia="MS Mincho"/>
          <w:lang w:val="fr-CH"/>
        </w:rPr>
        <w:t xml:space="preserve">t utilisées et </w:t>
      </w:r>
      <w:r w:rsidR="00821C9B">
        <w:rPr>
          <w:rFonts w:eastAsia="MS Mincho"/>
          <w:lang w:val="fr-CH"/>
        </w:rPr>
        <w:t>mises à profit</w:t>
      </w:r>
      <w:r w:rsidR="00675DC3">
        <w:rPr>
          <w:rFonts w:eastAsia="MS Mincho"/>
          <w:lang w:val="fr-CH"/>
        </w:rPr>
        <w:t xml:space="preserve">, comme cela a déjà été fait avec le secrétariat provisoire. </w:t>
      </w:r>
    </w:p>
    <w:p w14:paraId="0EB7A2CB" w14:textId="1C0BB769" w:rsidR="0041238C" w:rsidRPr="00B959C3" w:rsidRDefault="00BF0198" w:rsidP="00BF0198">
      <w:pPr>
        <w:pStyle w:val="CH4"/>
        <w:ind w:firstLine="0"/>
        <w:outlineLvl w:val="0"/>
        <w:rPr>
          <w:rFonts w:eastAsia="MS Mincho"/>
        </w:rPr>
      </w:pPr>
      <w:r>
        <w:rPr>
          <w:rFonts w:eastAsia="MS Mincho"/>
        </w:rPr>
        <w:t>Dotation en personnel</w:t>
      </w:r>
    </w:p>
    <w:p w14:paraId="2723608C" w14:textId="066AAEC1" w:rsidR="00E9571C" w:rsidRDefault="00E9571C"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E9571C">
        <w:rPr>
          <w:rFonts w:eastAsia="MS Mincho"/>
          <w:lang w:val="fr-CH"/>
        </w:rPr>
        <w:t xml:space="preserve">Le </w:t>
      </w:r>
      <w:r>
        <w:rPr>
          <w:rFonts w:eastAsia="MS Mincho"/>
          <w:lang w:val="fr-CH"/>
        </w:rPr>
        <w:t>secré</w:t>
      </w:r>
      <w:r w:rsidRPr="00E9571C">
        <w:rPr>
          <w:rFonts w:eastAsia="MS Mincho"/>
          <w:lang w:val="fr-CH"/>
        </w:rPr>
        <w:t xml:space="preserve">tariat </w:t>
      </w:r>
      <w:r w:rsidR="007F553D" w:rsidRPr="00E9571C">
        <w:rPr>
          <w:rFonts w:eastAsia="MS Mincho"/>
          <w:lang w:val="fr-CH"/>
        </w:rPr>
        <w:t xml:space="preserve">de la Convention de Minamata </w:t>
      </w:r>
      <w:r w:rsidR="007F553D">
        <w:rPr>
          <w:rFonts w:eastAsia="MS Mincho"/>
          <w:lang w:val="fr-CH"/>
        </w:rPr>
        <w:t>serait dirigé par un</w:t>
      </w:r>
      <w:r w:rsidRPr="00E9571C">
        <w:rPr>
          <w:rFonts w:eastAsia="MS Mincho"/>
          <w:lang w:val="fr-CH"/>
        </w:rPr>
        <w:t xml:space="preserve"> Secrétaire exécutif</w:t>
      </w:r>
      <w:r w:rsidR="007F553D">
        <w:rPr>
          <w:rFonts w:eastAsia="MS Mincho"/>
          <w:lang w:val="fr-CH"/>
        </w:rPr>
        <w:t xml:space="preserve"> de</w:t>
      </w:r>
      <w:r>
        <w:rPr>
          <w:rFonts w:eastAsia="MS Mincho"/>
          <w:lang w:val="fr-CH"/>
        </w:rPr>
        <w:t xml:space="preserve"> classe D-1, qui </w:t>
      </w:r>
      <w:r w:rsidR="00203728">
        <w:rPr>
          <w:rFonts w:eastAsia="MS Mincho"/>
          <w:lang w:val="fr-CH"/>
        </w:rPr>
        <w:t xml:space="preserve">serait appuyé par deux services. </w:t>
      </w:r>
      <w:r w:rsidR="00FE043B">
        <w:rPr>
          <w:rFonts w:eastAsia="MS Mincho"/>
          <w:lang w:val="fr-CH"/>
        </w:rPr>
        <w:t>Le premier (Service</w:t>
      </w:r>
      <w:r w:rsidR="000327B6">
        <w:rPr>
          <w:rFonts w:eastAsia="MS Mincho"/>
          <w:lang w:val="fr-CH"/>
        </w:rPr>
        <w:t xml:space="preserve"> de politique générale), sera</w:t>
      </w:r>
      <w:r w:rsidR="00845253">
        <w:rPr>
          <w:rFonts w:eastAsia="MS Mincho"/>
          <w:lang w:val="fr-CH"/>
        </w:rPr>
        <w:t>it</w:t>
      </w:r>
      <w:r w:rsidR="000327B6">
        <w:rPr>
          <w:rFonts w:eastAsia="MS Mincho"/>
          <w:lang w:val="fr-CH"/>
        </w:rPr>
        <w:t xml:space="preserve"> axé</w:t>
      </w:r>
      <w:r w:rsidR="00AA0B6A">
        <w:rPr>
          <w:rFonts w:eastAsia="MS Mincho"/>
          <w:lang w:val="fr-CH"/>
        </w:rPr>
        <w:t xml:space="preserve"> sur les</w:t>
      </w:r>
      <w:r w:rsidR="00FE043B">
        <w:rPr>
          <w:rFonts w:eastAsia="MS Mincho"/>
          <w:lang w:val="fr-CH"/>
        </w:rPr>
        <w:t xml:space="preserve"> politiques, les sciences et l’organisation des</w:t>
      </w:r>
      <w:r w:rsidR="00AA0B6A">
        <w:rPr>
          <w:rFonts w:eastAsia="MS Mincho"/>
          <w:lang w:val="fr-CH"/>
        </w:rPr>
        <w:t xml:space="preserve"> réunions</w:t>
      </w:r>
      <w:r w:rsidR="00AD275F">
        <w:rPr>
          <w:rFonts w:eastAsia="MS Mincho"/>
          <w:lang w:val="fr-CH"/>
        </w:rPr>
        <w:t xml:space="preserve"> de même que </w:t>
      </w:r>
      <w:r w:rsidR="00FE043B">
        <w:rPr>
          <w:rFonts w:eastAsia="MS Mincho"/>
          <w:lang w:val="fr-CH"/>
        </w:rPr>
        <w:t xml:space="preserve">sur </w:t>
      </w:r>
      <w:r w:rsidR="00AD275F">
        <w:rPr>
          <w:rFonts w:eastAsia="MS Mincho"/>
          <w:lang w:val="fr-CH"/>
        </w:rPr>
        <w:t>les activités de coordination,</w:t>
      </w:r>
      <w:r w:rsidR="002D24DC">
        <w:rPr>
          <w:rFonts w:eastAsia="MS Mincho"/>
          <w:lang w:val="fr-CH"/>
        </w:rPr>
        <w:t xml:space="preserve"> selon qu’il convient, avec les secrétariats d’</w:t>
      </w:r>
      <w:r w:rsidR="00122829">
        <w:rPr>
          <w:rFonts w:eastAsia="MS Mincho"/>
          <w:lang w:val="fr-CH"/>
        </w:rPr>
        <w:t xml:space="preserve">organismes internationaux </w:t>
      </w:r>
      <w:r w:rsidR="002D24DC">
        <w:rPr>
          <w:rFonts w:eastAsia="MS Mincho"/>
          <w:lang w:val="fr-CH"/>
        </w:rPr>
        <w:t>pertinent</w:t>
      </w:r>
      <w:r w:rsidR="00122829">
        <w:rPr>
          <w:rFonts w:eastAsia="MS Mincho"/>
          <w:lang w:val="fr-CH"/>
        </w:rPr>
        <w:t xml:space="preserve">s. </w:t>
      </w:r>
      <w:r w:rsidR="00845253">
        <w:rPr>
          <w:rFonts w:eastAsia="MS Mincho"/>
          <w:lang w:val="fr-CH"/>
        </w:rPr>
        <w:t xml:space="preserve">Le second </w:t>
      </w:r>
      <w:r w:rsidR="00FE043B">
        <w:rPr>
          <w:rFonts w:eastAsia="MS Mincho"/>
          <w:lang w:val="fr-CH"/>
        </w:rPr>
        <w:t>(Service technique</w:t>
      </w:r>
      <w:r w:rsidR="002D24DC">
        <w:rPr>
          <w:rFonts w:eastAsia="MS Mincho"/>
          <w:lang w:val="fr-CH"/>
        </w:rPr>
        <w:t>) serait en charge de toutes les activités liées au renforcement des capacités, à l’assistance technique et aux échanges d’information</w:t>
      </w:r>
      <w:r w:rsidR="001D5071">
        <w:rPr>
          <w:rFonts w:eastAsia="MS Mincho"/>
          <w:lang w:val="fr-CH"/>
        </w:rPr>
        <w:t>s</w:t>
      </w:r>
      <w:r w:rsidR="002D24DC">
        <w:rPr>
          <w:rFonts w:eastAsia="MS Mincho"/>
          <w:lang w:val="fr-CH"/>
        </w:rPr>
        <w:t xml:space="preserve"> concernant la mise en œ</w:t>
      </w:r>
      <w:r w:rsidR="007F089B">
        <w:rPr>
          <w:rFonts w:eastAsia="MS Mincho"/>
          <w:lang w:val="fr-CH"/>
        </w:rPr>
        <w:t>uvre de la Convention. Ces deux </w:t>
      </w:r>
      <w:r w:rsidR="002D24DC">
        <w:rPr>
          <w:rFonts w:eastAsia="MS Mincho"/>
          <w:lang w:val="fr-CH"/>
        </w:rPr>
        <w:t>serv</w:t>
      </w:r>
      <w:r w:rsidR="007A72F1">
        <w:rPr>
          <w:rFonts w:eastAsia="MS Mincho"/>
          <w:lang w:val="fr-CH"/>
        </w:rPr>
        <w:t xml:space="preserve">ices faciliteraient </w:t>
      </w:r>
      <w:r w:rsidR="00C65616">
        <w:rPr>
          <w:rFonts w:eastAsia="MS Mincho"/>
          <w:lang w:val="fr-CH"/>
        </w:rPr>
        <w:t>l’assistance</w:t>
      </w:r>
      <w:r w:rsidR="00D45963">
        <w:rPr>
          <w:rFonts w:eastAsia="MS Mincho"/>
          <w:lang w:val="fr-CH"/>
        </w:rPr>
        <w:t xml:space="preserve"> et</w:t>
      </w:r>
      <w:r w:rsidR="00C65616">
        <w:rPr>
          <w:rFonts w:eastAsia="MS Mincho"/>
          <w:lang w:val="fr-CH"/>
        </w:rPr>
        <w:t xml:space="preserve"> </w:t>
      </w:r>
      <w:r w:rsidR="00D45963">
        <w:rPr>
          <w:rFonts w:eastAsia="MS Mincho"/>
          <w:lang w:val="fr-CH"/>
        </w:rPr>
        <w:t xml:space="preserve">fourniraient un </w:t>
      </w:r>
      <w:r w:rsidR="00C65616">
        <w:rPr>
          <w:rFonts w:eastAsia="MS Mincho"/>
          <w:lang w:val="fr-CH"/>
        </w:rPr>
        <w:t>appui aux</w:t>
      </w:r>
      <w:r w:rsidR="007A72F1">
        <w:rPr>
          <w:rFonts w:eastAsia="MS Mincho"/>
          <w:lang w:val="fr-CH"/>
        </w:rPr>
        <w:t xml:space="preserve"> parties</w:t>
      </w:r>
      <w:r w:rsidR="00C65616">
        <w:rPr>
          <w:rFonts w:eastAsia="MS Mincho"/>
          <w:lang w:val="fr-CH"/>
        </w:rPr>
        <w:t xml:space="preserve">, comme exigé ou demandé, dans le cadre de la mise en œuvre de la Convention. </w:t>
      </w:r>
      <w:r w:rsidR="007A72F1">
        <w:rPr>
          <w:rFonts w:eastAsia="MS Mincho"/>
          <w:lang w:val="fr-CH"/>
        </w:rPr>
        <w:t xml:space="preserve"> </w:t>
      </w:r>
    </w:p>
    <w:p w14:paraId="61A2D48A" w14:textId="6B563973" w:rsidR="0041238C" w:rsidRPr="00762C4F" w:rsidRDefault="00903A03" w:rsidP="00845253">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Chaque service serait dirigé p</w:t>
      </w:r>
      <w:r w:rsidR="007F089B">
        <w:rPr>
          <w:rFonts w:eastAsia="MS Mincho"/>
          <w:lang w:val="fr-CH"/>
        </w:rPr>
        <w:t>ar un Chef de service de classe </w:t>
      </w:r>
      <w:r>
        <w:rPr>
          <w:rFonts w:eastAsia="MS Mincho"/>
          <w:lang w:val="fr-CH"/>
        </w:rPr>
        <w:t xml:space="preserve">P-5. </w:t>
      </w:r>
      <w:r w:rsidR="00405800">
        <w:rPr>
          <w:lang w:val="fr-CH"/>
        </w:rPr>
        <w:t>Au sein du Service</w:t>
      </w:r>
      <w:r w:rsidR="00732C83" w:rsidRPr="007F553D">
        <w:rPr>
          <w:lang w:val="fr-CH"/>
        </w:rPr>
        <w:t xml:space="preserve"> de politique générale,</w:t>
      </w:r>
      <w:r w:rsidR="002B6EB2">
        <w:rPr>
          <w:lang w:val="fr-CH"/>
        </w:rPr>
        <w:t xml:space="preserve"> qui met l’accent sur les politiques et la coordination générale,</w:t>
      </w:r>
      <w:r w:rsidR="00732C83" w:rsidRPr="007F553D">
        <w:rPr>
          <w:lang w:val="fr-CH"/>
        </w:rPr>
        <w:t xml:space="preserve"> les travaux </w:t>
      </w:r>
      <w:r w:rsidR="00405800">
        <w:rPr>
          <w:lang w:val="fr-CH"/>
        </w:rPr>
        <w:t xml:space="preserve">relatifs aux </w:t>
      </w:r>
      <w:r w:rsidR="00732C83" w:rsidRPr="007F553D">
        <w:rPr>
          <w:lang w:val="fr-CH"/>
        </w:rPr>
        <w:t>science</w:t>
      </w:r>
      <w:r w:rsidR="00405800">
        <w:rPr>
          <w:lang w:val="fr-CH"/>
        </w:rPr>
        <w:t>s</w:t>
      </w:r>
      <w:r w:rsidR="00732C83" w:rsidRPr="007F553D">
        <w:rPr>
          <w:lang w:val="fr-CH"/>
        </w:rPr>
        <w:t xml:space="preserve"> et</w:t>
      </w:r>
      <w:r w:rsidR="00405800">
        <w:rPr>
          <w:lang w:val="fr-CH"/>
        </w:rPr>
        <w:t xml:space="preserve"> à</w:t>
      </w:r>
      <w:r w:rsidR="00732C83" w:rsidRPr="007F553D">
        <w:rPr>
          <w:lang w:val="fr-CH"/>
        </w:rPr>
        <w:t xml:space="preserve"> l’interface science-politique seraient menés par un responsable scientifique de classe P-4 et un responsable de la communication en matière de politique scientifique de classe P-3.</w:t>
      </w:r>
      <w:r w:rsidR="00845253">
        <w:rPr>
          <w:lang w:val="fr-CH"/>
        </w:rPr>
        <w:t xml:space="preserve"> </w:t>
      </w:r>
      <w:r w:rsidR="00845253" w:rsidRPr="00737B0C">
        <w:rPr>
          <w:lang w:val="fr-CH"/>
        </w:rPr>
        <w:t>Un juriste de classe P-3 serait employé pour travailler sur les orientations juridiques et les questions de politique générale, tandis que la coordination et la préparation des conférences seraient effectuées par un</w:t>
      </w:r>
      <w:r w:rsidR="00405800">
        <w:rPr>
          <w:lang w:val="fr-CH"/>
        </w:rPr>
        <w:t xml:space="preserve"> autre</w:t>
      </w:r>
      <w:r w:rsidR="00845253" w:rsidRPr="00737B0C">
        <w:rPr>
          <w:lang w:val="fr-CH"/>
        </w:rPr>
        <w:t xml:space="preserve"> </w:t>
      </w:r>
      <w:r w:rsidR="00405800">
        <w:rPr>
          <w:lang w:val="fr-CH"/>
        </w:rPr>
        <w:t>administrateur</w:t>
      </w:r>
      <w:r w:rsidR="00845253" w:rsidRPr="00737B0C">
        <w:rPr>
          <w:lang w:val="fr-CH"/>
        </w:rPr>
        <w:t xml:space="preserve"> de classe P-3.</w:t>
      </w:r>
      <w:r w:rsidR="00737B0C">
        <w:rPr>
          <w:lang w:val="fr-CH"/>
        </w:rPr>
        <w:t xml:space="preserve"> </w:t>
      </w:r>
      <w:r w:rsidR="00737B0C" w:rsidRPr="00737B0C">
        <w:rPr>
          <w:lang w:val="fr-CH"/>
        </w:rPr>
        <w:t>A</w:t>
      </w:r>
      <w:r w:rsidR="00405800">
        <w:rPr>
          <w:lang w:val="fr-CH"/>
        </w:rPr>
        <w:t>u sein du Service technique</w:t>
      </w:r>
      <w:r w:rsidR="00737B0C">
        <w:rPr>
          <w:lang w:val="fr-CH"/>
        </w:rPr>
        <w:t xml:space="preserve">, </w:t>
      </w:r>
      <w:r w:rsidR="002B6EB2">
        <w:rPr>
          <w:lang w:val="fr-CH"/>
        </w:rPr>
        <w:t xml:space="preserve">qui met l’accent sur le renforcement des capacités et l’assistance technique, </w:t>
      </w:r>
      <w:r w:rsidR="00737B0C" w:rsidRPr="00737B0C">
        <w:rPr>
          <w:lang w:val="fr-CH"/>
        </w:rPr>
        <w:t xml:space="preserve">les </w:t>
      </w:r>
      <w:r w:rsidR="007E69F3">
        <w:rPr>
          <w:lang w:val="fr-CH"/>
        </w:rPr>
        <w:t>fonctions de renforcement des capacités et d</w:t>
      </w:r>
      <w:r w:rsidR="00737B0C" w:rsidRPr="00737B0C">
        <w:rPr>
          <w:lang w:val="fr-CH"/>
        </w:rPr>
        <w:t xml:space="preserve">’assistance technique seraient </w:t>
      </w:r>
      <w:r w:rsidR="007E69F3">
        <w:rPr>
          <w:lang w:val="fr-CH"/>
        </w:rPr>
        <w:t>exercée</w:t>
      </w:r>
      <w:r w:rsidR="00737B0C" w:rsidRPr="00737B0C">
        <w:rPr>
          <w:lang w:val="fr-CH"/>
        </w:rPr>
        <w:t>s par</w:t>
      </w:r>
      <w:r w:rsidR="00AC5DA5">
        <w:rPr>
          <w:lang w:val="fr-CH"/>
        </w:rPr>
        <w:t xml:space="preserve"> un</w:t>
      </w:r>
      <w:r w:rsidR="007E69F3">
        <w:rPr>
          <w:lang w:val="fr-CH"/>
        </w:rPr>
        <w:t xml:space="preserve"> administrateur</w:t>
      </w:r>
      <w:r w:rsidR="00AC5DA5">
        <w:rPr>
          <w:lang w:val="fr-CH"/>
        </w:rPr>
        <w:t xml:space="preserve"> de classe P-4. </w:t>
      </w:r>
      <w:r w:rsidR="00127EB8">
        <w:rPr>
          <w:lang w:val="fr-CH"/>
        </w:rPr>
        <w:t xml:space="preserve">Pour </w:t>
      </w:r>
      <w:r w:rsidR="007E69F3">
        <w:rPr>
          <w:lang w:val="fr-CH"/>
        </w:rPr>
        <w:t>facilit</w:t>
      </w:r>
      <w:r w:rsidR="00127EB8">
        <w:rPr>
          <w:lang w:val="fr-CH"/>
        </w:rPr>
        <w:t>er les échanges d’information</w:t>
      </w:r>
      <w:r w:rsidR="001D5071">
        <w:rPr>
          <w:lang w:val="fr-CH"/>
        </w:rPr>
        <w:t>s</w:t>
      </w:r>
      <w:r w:rsidR="00127EB8">
        <w:rPr>
          <w:lang w:val="fr-CH"/>
        </w:rPr>
        <w:t>, u</w:t>
      </w:r>
      <w:r w:rsidR="00737B0C" w:rsidRPr="00737B0C">
        <w:rPr>
          <w:lang w:val="fr-CH"/>
        </w:rPr>
        <w:t xml:space="preserve">n </w:t>
      </w:r>
      <w:r w:rsidR="007E69F3">
        <w:rPr>
          <w:lang w:val="fr-CH"/>
        </w:rPr>
        <w:t xml:space="preserve">administrateur </w:t>
      </w:r>
      <w:r w:rsidR="00737B0C" w:rsidRPr="00737B0C">
        <w:rPr>
          <w:lang w:val="fr-CH"/>
        </w:rPr>
        <w:t xml:space="preserve">de classe P-3 </w:t>
      </w:r>
      <w:r w:rsidR="00AC5DA5">
        <w:rPr>
          <w:lang w:val="fr-CH"/>
        </w:rPr>
        <w:t>serai</w:t>
      </w:r>
      <w:r w:rsidR="00737B0C" w:rsidRPr="00737B0C">
        <w:rPr>
          <w:lang w:val="fr-CH"/>
        </w:rPr>
        <w:t xml:space="preserve">t chargé </w:t>
      </w:r>
      <w:r w:rsidR="002B6EB2">
        <w:rPr>
          <w:lang w:val="fr-CH"/>
        </w:rPr>
        <w:t xml:space="preserve">de la gestion des connaissances, </w:t>
      </w:r>
      <w:r w:rsidR="00737B0C" w:rsidRPr="00737B0C">
        <w:rPr>
          <w:lang w:val="fr-CH"/>
        </w:rPr>
        <w:t>des services en matière de technologies de l’information et de la communication à l’appui du renforcement des capacités et de l’assistance technique.</w:t>
      </w:r>
      <w:r w:rsidR="00934C5D">
        <w:rPr>
          <w:lang w:val="fr-CH"/>
        </w:rPr>
        <w:t xml:space="preserve"> Enfin, </w:t>
      </w:r>
      <w:r w:rsidR="00762C4F">
        <w:rPr>
          <w:lang w:val="fr-CH"/>
        </w:rPr>
        <w:t>quatre agents des services généraux</w:t>
      </w:r>
      <w:r w:rsidR="00934C5D">
        <w:rPr>
          <w:lang w:val="fr-CH"/>
        </w:rPr>
        <w:t xml:space="preserve"> viendraient compléter les effectifs</w:t>
      </w:r>
      <w:r w:rsidR="0041238C" w:rsidRPr="00762C4F">
        <w:rPr>
          <w:rFonts w:eastAsia="MS Mincho"/>
          <w:lang w:val="fr-CH"/>
        </w:rPr>
        <w:t xml:space="preserve"> (</w:t>
      </w:r>
      <w:r w:rsidR="00762C4F">
        <w:rPr>
          <w:rFonts w:eastAsia="MS Mincho"/>
          <w:lang w:val="fr-CH"/>
        </w:rPr>
        <w:t>voir a</w:t>
      </w:r>
      <w:r w:rsidR="00934C5D">
        <w:rPr>
          <w:rFonts w:eastAsia="MS Mincho"/>
          <w:lang w:val="fr-CH"/>
        </w:rPr>
        <w:t>ppendice</w:t>
      </w:r>
      <w:r w:rsidR="00651E3B">
        <w:rPr>
          <w:rFonts w:eastAsia="MS Mincho"/>
          <w:lang w:val="fr-CH"/>
        </w:rPr>
        <w:t> </w:t>
      </w:r>
      <w:r w:rsidR="0041238C" w:rsidRPr="00762C4F">
        <w:rPr>
          <w:rFonts w:eastAsia="MS Mincho"/>
          <w:lang w:val="fr-CH"/>
        </w:rPr>
        <w:t xml:space="preserve">IV </w:t>
      </w:r>
      <w:r w:rsidR="00762C4F">
        <w:rPr>
          <w:rFonts w:eastAsia="MS Mincho"/>
          <w:lang w:val="fr-CH"/>
        </w:rPr>
        <w:t>pour un aperçu de cette option</w:t>
      </w:r>
      <w:r w:rsidR="0041238C" w:rsidRPr="00762C4F">
        <w:rPr>
          <w:rFonts w:eastAsia="MS Mincho"/>
          <w:lang w:val="fr-CH"/>
        </w:rPr>
        <w:t xml:space="preserve">). </w:t>
      </w:r>
    </w:p>
    <w:p w14:paraId="3EC08D3F" w14:textId="3B00BA70" w:rsidR="0041238C" w:rsidRPr="00B959C3" w:rsidRDefault="0041238C" w:rsidP="006432A8">
      <w:pPr>
        <w:pStyle w:val="CH4"/>
        <w:outlineLvl w:val="0"/>
        <w:rPr>
          <w:rFonts w:eastAsia="MS Mincho"/>
        </w:rPr>
      </w:pPr>
      <w:r w:rsidRPr="00762C4F">
        <w:rPr>
          <w:rFonts w:eastAsia="MS Mincho"/>
          <w:lang w:val="fr-CH"/>
        </w:rPr>
        <w:tab/>
      </w:r>
      <w:r w:rsidRPr="00762C4F">
        <w:rPr>
          <w:rFonts w:eastAsia="MS Mincho"/>
          <w:lang w:val="fr-CH"/>
        </w:rPr>
        <w:tab/>
      </w:r>
      <w:r w:rsidR="00A57567" w:rsidRPr="007E304A">
        <w:rPr>
          <w:rFonts w:eastAsia="MS Mincho"/>
        </w:rPr>
        <w:t>Analys</w:t>
      </w:r>
      <w:r w:rsidR="00963C73">
        <w:rPr>
          <w:rFonts w:eastAsia="MS Mincho"/>
        </w:rPr>
        <w:t>e</w:t>
      </w:r>
    </w:p>
    <w:p w14:paraId="62CB873E" w14:textId="2A61844E" w:rsidR="00890593" w:rsidRDefault="00962CC2" w:rsidP="00890593">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890593">
        <w:rPr>
          <w:rFonts w:eastAsia="MS Mincho"/>
          <w:lang w:val="fr-CH"/>
        </w:rPr>
        <w:t>Ét</w:t>
      </w:r>
      <w:r w:rsidR="008E5296">
        <w:rPr>
          <w:rFonts w:eastAsia="MS Mincho"/>
          <w:lang w:val="fr-CH"/>
        </w:rPr>
        <w:t>ablir un secrétariat autonome</w:t>
      </w:r>
      <w:r w:rsidRPr="00890593">
        <w:rPr>
          <w:rFonts w:eastAsia="MS Mincho"/>
          <w:lang w:val="fr-CH"/>
        </w:rPr>
        <w:t xml:space="preserve"> </w:t>
      </w:r>
      <w:r w:rsidR="00136AE6" w:rsidRPr="00890593">
        <w:rPr>
          <w:rFonts w:eastAsia="MS Mincho"/>
          <w:lang w:val="fr-CH"/>
        </w:rPr>
        <w:t xml:space="preserve">de la Convention de Minamata dirigé par un secrétaire exécutif signifierait que toutes les fonctions du secrétariat seraient exécutées par son propre personnel. </w:t>
      </w:r>
      <w:r w:rsidR="00DD341A" w:rsidRPr="00890593">
        <w:rPr>
          <w:rFonts w:eastAsia="MS Mincho"/>
          <w:lang w:val="fr-CH"/>
        </w:rPr>
        <w:t>Les services juridiques feraient p</w:t>
      </w:r>
      <w:r w:rsidR="008420CB" w:rsidRPr="00890593">
        <w:rPr>
          <w:rFonts w:eastAsia="MS Mincho"/>
          <w:lang w:val="fr-CH"/>
        </w:rPr>
        <w:t>artie intégrant</w:t>
      </w:r>
      <w:r w:rsidR="002B6EB2">
        <w:rPr>
          <w:rFonts w:eastAsia="MS Mincho"/>
          <w:lang w:val="fr-CH"/>
        </w:rPr>
        <w:t>e des activités du S</w:t>
      </w:r>
      <w:r w:rsidR="00D50604">
        <w:rPr>
          <w:rFonts w:eastAsia="MS Mincho"/>
          <w:lang w:val="fr-CH"/>
        </w:rPr>
        <w:t>ervice</w:t>
      </w:r>
      <w:r w:rsidR="00DD341A" w:rsidRPr="00890593">
        <w:rPr>
          <w:rFonts w:eastAsia="MS Mincho"/>
          <w:lang w:val="fr-CH"/>
        </w:rPr>
        <w:t xml:space="preserve"> de politique générale</w:t>
      </w:r>
      <w:r w:rsidR="008420CB" w:rsidRPr="00890593">
        <w:rPr>
          <w:rFonts w:eastAsia="MS Mincho"/>
          <w:lang w:val="fr-CH"/>
        </w:rPr>
        <w:t xml:space="preserve"> et les services d’appui à l</w:t>
      </w:r>
      <w:r w:rsidR="00544D53" w:rsidRPr="00890593">
        <w:rPr>
          <w:rFonts w:eastAsia="MS Mincho"/>
          <w:lang w:val="fr-CH"/>
        </w:rPr>
        <w:t xml:space="preserve">a gestion de l’information </w:t>
      </w:r>
      <w:r w:rsidR="00723E5B" w:rsidRPr="00890593">
        <w:rPr>
          <w:rFonts w:eastAsia="MS Mincho"/>
          <w:lang w:val="fr-CH"/>
        </w:rPr>
        <w:t>appartiendraient aux services d’appui à l’information off</w:t>
      </w:r>
      <w:r w:rsidR="00D50604">
        <w:rPr>
          <w:rFonts w:eastAsia="MS Mincho"/>
          <w:lang w:val="fr-CH"/>
        </w:rPr>
        <w:t>erts par le Service</w:t>
      </w:r>
      <w:r w:rsidR="00723E5B" w:rsidRPr="00890593">
        <w:rPr>
          <w:rFonts w:eastAsia="MS Mincho"/>
          <w:lang w:val="fr-CH"/>
        </w:rPr>
        <w:t xml:space="preserve"> techniq</w:t>
      </w:r>
      <w:r w:rsidR="00D50604">
        <w:rPr>
          <w:rFonts w:eastAsia="MS Mincho"/>
          <w:lang w:val="fr-CH"/>
        </w:rPr>
        <w:t>ue</w:t>
      </w:r>
      <w:r w:rsidR="00723E5B" w:rsidRPr="00890593">
        <w:rPr>
          <w:rFonts w:eastAsia="MS Mincho"/>
          <w:lang w:val="fr-CH"/>
        </w:rPr>
        <w:t xml:space="preserve">. </w:t>
      </w:r>
      <w:r w:rsidR="00EA3361" w:rsidRPr="00890593">
        <w:rPr>
          <w:rFonts w:eastAsia="MS Mincho"/>
          <w:lang w:val="fr-CH"/>
        </w:rPr>
        <w:t>Cet</w:t>
      </w:r>
      <w:r w:rsidR="00D50604">
        <w:rPr>
          <w:rFonts w:eastAsia="MS Mincho"/>
          <w:lang w:val="fr-CH"/>
        </w:rPr>
        <w:t>te option</w:t>
      </w:r>
      <w:r w:rsidR="00723E5B" w:rsidRPr="00890593">
        <w:rPr>
          <w:rFonts w:eastAsia="MS Mincho"/>
          <w:lang w:val="fr-CH"/>
        </w:rPr>
        <w:t xml:space="preserve"> </w:t>
      </w:r>
      <w:r w:rsidR="006A50B6" w:rsidRPr="00890593">
        <w:rPr>
          <w:rFonts w:eastAsia="MS Mincho"/>
          <w:lang w:val="fr-CH"/>
        </w:rPr>
        <w:t xml:space="preserve">s’appuierait sur </w:t>
      </w:r>
      <w:r w:rsidR="00723E5B" w:rsidRPr="00890593">
        <w:rPr>
          <w:rFonts w:eastAsia="MS Mincho"/>
          <w:lang w:val="fr-CH"/>
        </w:rPr>
        <w:t>la structure actuelle du secrétariat provisoire et sur ses pratiques</w:t>
      </w:r>
      <w:r w:rsidR="006F6E1F" w:rsidRPr="007E304A">
        <w:rPr>
          <w:rStyle w:val="FootnoteReference"/>
          <w:rFonts w:eastAsia="MS Mincho"/>
        </w:rPr>
        <w:footnoteReference w:id="11"/>
      </w:r>
      <w:r w:rsidR="006A50B6" w:rsidRPr="00890593">
        <w:rPr>
          <w:rFonts w:eastAsia="MS Mincho"/>
          <w:lang w:val="fr-CH"/>
        </w:rPr>
        <w:t xml:space="preserve">, ainsi que </w:t>
      </w:r>
      <w:r w:rsidR="006F6E1F" w:rsidRPr="00890593">
        <w:rPr>
          <w:rFonts w:eastAsia="MS Mincho"/>
          <w:lang w:val="fr-CH"/>
        </w:rPr>
        <w:t>sur</w:t>
      </w:r>
      <w:r w:rsidR="00890593" w:rsidRPr="00890593">
        <w:rPr>
          <w:rFonts w:eastAsia="MS Mincho"/>
          <w:lang w:val="fr-CH"/>
        </w:rPr>
        <w:t xml:space="preserve"> les liens déjà existants avec d</w:t>
      </w:r>
      <w:r w:rsidR="006F6E1F" w:rsidRPr="00890593">
        <w:rPr>
          <w:rFonts w:eastAsia="MS Mincho"/>
          <w:lang w:val="fr-CH"/>
        </w:rPr>
        <w:t xml:space="preserve">es activités </w:t>
      </w:r>
      <w:r w:rsidR="00890593" w:rsidRPr="00890593">
        <w:rPr>
          <w:rFonts w:eastAsia="MS Mincho"/>
          <w:lang w:val="fr-CH"/>
        </w:rPr>
        <w:t>en cours de gestion des connaissances et d’apprentissage en ligne dans le cadre d’accords multilatéraux, dont le portail d’échanges d’information</w:t>
      </w:r>
      <w:r w:rsidR="001D5071">
        <w:rPr>
          <w:rFonts w:eastAsia="MS Mincho"/>
          <w:lang w:val="fr-CH"/>
        </w:rPr>
        <w:t>s</w:t>
      </w:r>
      <w:r w:rsidR="00890593" w:rsidRPr="00890593">
        <w:rPr>
          <w:rFonts w:eastAsia="MS Mincho"/>
          <w:lang w:val="fr-CH"/>
        </w:rPr>
        <w:t xml:space="preserve"> et d’apprentissage en ligne inforMEA et le portail de communication d’information</w:t>
      </w:r>
      <w:r w:rsidR="001D5071">
        <w:rPr>
          <w:rFonts w:eastAsia="MS Mincho"/>
          <w:lang w:val="fr-CH"/>
        </w:rPr>
        <w:t>s</w:t>
      </w:r>
      <w:r w:rsidR="00890593" w:rsidRPr="00890593">
        <w:rPr>
          <w:rFonts w:eastAsia="MS Mincho"/>
          <w:lang w:val="fr-CH"/>
        </w:rPr>
        <w:t xml:space="preserve"> créée par le Centre mondial de surveillance pour la </w:t>
      </w:r>
      <w:r w:rsidR="002B6EB2">
        <w:rPr>
          <w:rFonts w:eastAsia="MS Mincho"/>
          <w:lang w:val="fr-CH"/>
        </w:rPr>
        <w:t>conservation</w:t>
      </w:r>
      <w:r w:rsidR="00890593" w:rsidRPr="00890593">
        <w:rPr>
          <w:rFonts w:eastAsia="MS Mincho"/>
          <w:lang w:val="fr-CH"/>
        </w:rPr>
        <w:t xml:space="preserve">, afin de pouvoir s’informer sur les meilleures pratiques et utiliser des échelles d’économie. </w:t>
      </w:r>
    </w:p>
    <w:p w14:paraId="5BCD0DE6" w14:textId="25E964D8" w:rsidR="0009741C" w:rsidRPr="00EB1B45" w:rsidRDefault="00890593" w:rsidP="0009741C">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Un secré</w:t>
      </w:r>
      <w:r w:rsidR="008E5296">
        <w:rPr>
          <w:rFonts w:eastAsia="MS Mincho"/>
          <w:lang w:val="fr-CH"/>
        </w:rPr>
        <w:t xml:space="preserve">tariat </w:t>
      </w:r>
      <w:r w:rsidR="00A83D09">
        <w:rPr>
          <w:rFonts w:eastAsia="MS Mincho"/>
          <w:lang w:val="fr-CH"/>
        </w:rPr>
        <w:t>autonome</w:t>
      </w:r>
      <w:r w:rsidR="0009741C">
        <w:rPr>
          <w:rFonts w:eastAsia="MS Mincho"/>
          <w:lang w:val="fr-CH"/>
        </w:rPr>
        <w:t xml:space="preserve"> disposerait d’une petite unité des services administratives constitué d’un fonctionnaire chargé de l’administration et de la gestion des fonds (</w:t>
      </w:r>
      <w:r w:rsidR="00FE39FD">
        <w:rPr>
          <w:rFonts w:eastAsia="MS Mincho"/>
          <w:lang w:val="fr-CH"/>
        </w:rPr>
        <w:t xml:space="preserve">P-3) et d’un agent des services généraux financés </w:t>
      </w:r>
      <w:r w:rsidR="00D50604">
        <w:rPr>
          <w:rFonts w:eastAsia="MS Mincho"/>
          <w:lang w:val="fr-CH"/>
        </w:rPr>
        <w:t>par des prélèvements sur le</w:t>
      </w:r>
      <w:r w:rsidR="00EB1B45">
        <w:rPr>
          <w:rFonts w:eastAsia="MS Mincho"/>
          <w:lang w:val="fr-CH"/>
        </w:rPr>
        <w:t>s</w:t>
      </w:r>
      <w:r w:rsidR="00FE39FD">
        <w:rPr>
          <w:rFonts w:eastAsia="MS Mincho"/>
          <w:lang w:val="fr-CH"/>
        </w:rPr>
        <w:t xml:space="preserve"> dépenses d’appui au programme, de la même faço</w:t>
      </w:r>
      <w:r w:rsidR="001B3BF3">
        <w:rPr>
          <w:rFonts w:eastAsia="MS Mincho"/>
          <w:lang w:val="fr-CH"/>
        </w:rPr>
        <w:t xml:space="preserve">n </w:t>
      </w:r>
      <w:r w:rsidR="00366C5B">
        <w:rPr>
          <w:rFonts w:eastAsia="MS Mincho"/>
          <w:lang w:val="fr-CH"/>
        </w:rPr>
        <w:t xml:space="preserve">que </w:t>
      </w:r>
      <w:r w:rsidR="001B3BF3">
        <w:rPr>
          <w:rFonts w:eastAsia="MS Mincho"/>
          <w:lang w:val="fr-CH"/>
        </w:rPr>
        <w:t>dans</w:t>
      </w:r>
      <w:r w:rsidR="00651E3B">
        <w:rPr>
          <w:rFonts w:eastAsia="MS Mincho"/>
          <w:lang w:val="fr-CH"/>
        </w:rPr>
        <w:t xml:space="preserve"> les options </w:t>
      </w:r>
      <w:r w:rsidR="00FE39FD">
        <w:rPr>
          <w:rFonts w:eastAsia="MS Mincho"/>
          <w:lang w:val="fr-CH"/>
        </w:rPr>
        <w:t>1a) et 1b).</w:t>
      </w:r>
    </w:p>
    <w:p w14:paraId="73F2CF5B" w14:textId="06127A6F" w:rsidR="00E842BC" w:rsidRPr="00E842BC" w:rsidRDefault="00D50604"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lang w:val="fr-CH"/>
        </w:rPr>
        <w:t>L’implantation du secrétariat dans</w:t>
      </w:r>
      <w:r w:rsidR="004049FC" w:rsidRPr="004049FC">
        <w:rPr>
          <w:lang w:val="fr-CH"/>
        </w:rPr>
        <w:t xml:space="preserve"> un lieu affection différent pourrait entraîner </w:t>
      </w:r>
      <w:r w:rsidR="00E842BC">
        <w:rPr>
          <w:lang w:val="fr-CH"/>
        </w:rPr>
        <w:t>une interruption</w:t>
      </w:r>
      <w:r w:rsidR="004049FC" w:rsidRPr="004049FC">
        <w:rPr>
          <w:lang w:val="fr-CH"/>
        </w:rPr>
        <w:t xml:space="preserve"> des activités </w:t>
      </w:r>
      <w:r w:rsidR="00E842BC">
        <w:rPr>
          <w:lang w:val="fr-CH"/>
        </w:rPr>
        <w:t>selon le</w:t>
      </w:r>
      <w:r w:rsidR="004049FC" w:rsidRPr="004049FC">
        <w:rPr>
          <w:lang w:val="fr-CH"/>
        </w:rPr>
        <w:t xml:space="preserve"> pourcentage du personnel actuel du secrétariat provisoire qui serait réaffecté </w:t>
      </w:r>
      <w:r w:rsidR="00E842BC">
        <w:rPr>
          <w:lang w:val="fr-CH"/>
        </w:rPr>
        <w:t>ou non</w:t>
      </w:r>
      <w:r w:rsidR="00FC4CEE">
        <w:rPr>
          <w:lang w:val="fr-CH"/>
        </w:rPr>
        <w:t xml:space="preserve"> dans ce</w:t>
      </w:r>
      <w:r w:rsidR="004049FC" w:rsidRPr="004049FC">
        <w:rPr>
          <w:lang w:val="fr-CH"/>
        </w:rPr>
        <w:t xml:space="preserve"> nouveau lieu. </w:t>
      </w:r>
      <w:r w:rsidR="00B05F26">
        <w:rPr>
          <w:lang w:val="fr-CH"/>
        </w:rPr>
        <w:t>Un</w:t>
      </w:r>
      <w:r w:rsidR="00E842BC">
        <w:rPr>
          <w:lang w:val="fr-CH"/>
        </w:rPr>
        <w:t xml:space="preserve"> lieu d’implantation </w:t>
      </w:r>
      <w:r w:rsidR="00B05F26">
        <w:rPr>
          <w:lang w:val="fr-CH"/>
        </w:rPr>
        <w:t>en dehors de Genève pourrait avoir comme effet de réduire les possibilités de coopération au jour l</w:t>
      </w:r>
      <w:r w:rsidR="00FC4CEE">
        <w:rPr>
          <w:lang w:val="fr-CH"/>
        </w:rPr>
        <w:t>e jour avec le secrétariat des c</w:t>
      </w:r>
      <w:r w:rsidR="00B05F26">
        <w:rPr>
          <w:lang w:val="fr-CH"/>
        </w:rPr>
        <w:t>onventions de Bâle, de Rotterdam et de Stockholm, même si une certaine coopération et coordination pourraient être préservées par voie électronique</w:t>
      </w:r>
      <w:r w:rsidR="0000389D">
        <w:rPr>
          <w:lang w:val="fr-CH"/>
        </w:rPr>
        <w:t xml:space="preserve">, en se fondant sur les meilleures pratiques avec d’autres partenaires, ainsi que sur des visites programmées. </w:t>
      </w:r>
    </w:p>
    <w:p w14:paraId="62EBF5A5" w14:textId="35513B3F" w:rsidR="0000389D" w:rsidRPr="0000389D" w:rsidRDefault="0000389D" w:rsidP="006432A8">
      <w:pPr>
        <w:pStyle w:val="Normal-pool"/>
        <w:numPr>
          <w:ilvl w:val="0"/>
          <w:numId w:val="134"/>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0389D">
        <w:rPr>
          <w:rFonts w:eastAsia="MS Mincho"/>
          <w:lang w:val="fr-CH"/>
        </w:rPr>
        <w:lastRenderedPageBreak/>
        <w:t>Six lieux d’implantation ont été proposés dans le rapport</w:t>
      </w:r>
      <w:r>
        <w:rPr>
          <w:rFonts w:eastAsia="MS Mincho"/>
          <w:lang w:val="fr-CH"/>
        </w:rPr>
        <w:t xml:space="preserve"> du Directeur exécutif : Bangkok, Genève, Nairobi, Osaka, Vienne et Washington. Le tableau ci</w:t>
      </w:r>
      <w:r>
        <w:rPr>
          <w:rFonts w:eastAsia="MS Mincho"/>
          <w:lang w:val="fr-CH"/>
        </w:rPr>
        <w:noBreakHyphen/>
        <w:t xml:space="preserve">dessous </w:t>
      </w:r>
      <w:r w:rsidR="00F62706">
        <w:rPr>
          <w:rFonts w:eastAsia="MS Mincho"/>
          <w:lang w:val="fr-CH"/>
        </w:rPr>
        <w:t>fournit une analyse</w:t>
      </w:r>
      <w:r>
        <w:rPr>
          <w:rFonts w:eastAsia="MS Mincho"/>
          <w:lang w:val="fr-CH"/>
        </w:rPr>
        <w:t xml:space="preserve"> </w:t>
      </w:r>
      <w:r w:rsidR="00A330FB">
        <w:rPr>
          <w:rFonts w:eastAsia="MS Mincho"/>
          <w:lang w:val="fr-CH"/>
        </w:rPr>
        <w:t xml:space="preserve">d’ensemble </w:t>
      </w:r>
      <w:r>
        <w:rPr>
          <w:rFonts w:eastAsia="MS Mincho"/>
          <w:lang w:val="fr-CH"/>
        </w:rPr>
        <w:t>de ces six villes :</w:t>
      </w:r>
    </w:p>
    <w:tbl>
      <w:tblPr>
        <w:tblStyle w:val="TableGrid"/>
        <w:tblW w:w="0" w:type="auto"/>
        <w:tblInd w:w="624" w:type="dxa"/>
        <w:tblLook w:val="04A0" w:firstRow="1" w:lastRow="0" w:firstColumn="1" w:lastColumn="0" w:noHBand="0" w:noVBand="1"/>
      </w:tblPr>
      <w:tblGrid>
        <w:gridCol w:w="1428"/>
        <w:gridCol w:w="4479"/>
        <w:gridCol w:w="2955"/>
      </w:tblGrid>
      <w:tr w:rsidR="0059785C" w:rsidRPr="007E304A" w14:paraId="02779035" w14:textId="77777777" w:rsidTr="006F64C0">
        <w:trPr>
          <w:tblHeader/>
        </w:trPr>
        <w:tc>
          <w:tcPr>
            <w:tcW w:w="1428" w:type="dxa"/>
          </w:tcPr>
          <w:p w14:paraId="6142DD08" w14:textId="047F5731" w:rsidR="0059785C" w:rsidRPr="007E304A" w:rsidRDefault="0059785C" w:rsidP="00A330FB">
            <w:pPr>
              <w:rPr>
                <w:rFonts w:asciiTheme="majorBidi" w:hAnsiTheme="majorBidi" w:cstheme="majorBidi"/>
                <w:b/>
                <w:bCs/>
              </w:rPr>
            </w:pPr>
            <w:r w:rsidRPr="007E304A">
              <w:rPr>
                <w:rFonts w:asciiTheme="majorBidi" w:hAnsiTheme="majorBidi" w:cstheme="majorBidi"/>
                <w:b/>
                <w:bCs/>
              </w:rPr>
              <w:t>L</w:t>
            </w:r>
            <w:r w:rsidR="00A330FB">
              <w:rPr>
                <w:rFonts w:asciiTheme="majorBidi" w:hAnsiTheme="majorBidi" w:cstheme="majorBidi"/>
                <w:b/>
                <w:bCs/>
              </w:rPr>
              <w:t>ieu</w:t>
            </w:r>
          </w:p>
        </w:tc>
        <w:tc>
          <w:tcPr>
            <w:tcW w:w="4479" w:type="dxa"/>
          </w:tcPr>
          <w:p w14:paraId="5D265BAA" w14:textId="77777777" w:rsidR="0059785C" w:rsidRPr="007E304A" w:rsidRDefault="0059785C" w:rsidP="00AB20EE">
            <w:pPr>
              <w:rPr>
                <w:rFonts w:asciiTheme="majorBidi" w:hAnsiTheme="majorBidi" w:cstheme="majorBidi"/>
                <w:b/>
                <w:bCs/>
              </w:rPr>
            </w:pPr>
            <w:r w:rsidRPr="007E304A">
              <w:rPr>
                <w:rFonts w:asciiTheme="majorBidi" w:hAnsiTheme="majorBidi" w:cstheme="majorBidi"/>
                <w:b/>
                <w:bCs/>
              </w:rPr>
              <w:t xml:space="preserve">Description </w:t>
            </w:r>
          </w:p>
        </w:tc>
        <w:tc>
          <w:tcPr>
            <w:tcW w:w="2955" w:type="dxa"/>
          </w:tcPr>
          <w:p w14:paraId="239767D8" w14:textId="010D32FD" w:rsidR="0059785C" w:rsidRPr="007E304A" w:rsidRDefault="00A330FB" w:rsidP="00AB20EE">
            <w:pPr>
              <w:rPr>
                <w:rFonts w:asciiTheme="majorBidi" w:hAnsiTheme="majorBidi" w:cstheme="majorBidi"/>
                <w:b/>
                <w:bCs/>
              </w:rPr>
            </w:pPr>
            <w:r>
              <w:rPr>
                <w:rFonts w:asciiTheme="majorBidi" w:hAnsiTheme="majorBidi" w:cstheme="majorBidi"/>
                <w:b/>
                <w:bCs/>
              </w:rPr>
              <w:t>Coû</w:t>
            </w:r>
            <w:r w:rsidR="0059785C" w:rsidRPr="007E304A">
              <w:rPr>
                <w:rFonts w:asciiTheme="majorBidi" w:hAnsiTheme="majorBidi" w:cstheme="majorBidi"/>
                <w:b/>
                <w:bCs/>
              </w:rPr>
              <w:t>ts</w:t>
            </w:r>
          </w:p>
        </w:tc>
      </w:tr>
      <w:tr w:rsidR="0059785C" w:rsidRPr="00A84D20" w14:paraId="6D9798B0" w14:textId="77777777" w:rsidTr="006F64C0">
        <w:tc>
          <w:tcPr>
            <w:tcW w:w="1428" w:type="dxa"/>
          </w:tcPr>
          <w:p w14:paraId="3FE3E059" w14:textId="77777777" w:rsidR="0059785C" w:rsidRPr="00CC49DF" w:rsidRDefault="0059785C" w:rsidP="00AB20EE">
            <w:pPr>
              <w:rPr>
                <w:rFonts w:asciiTheme="majorBidi" w:hAnsiTheme="majorBidi" w:cstheme="majorBidi"/>
                <w:b/>
                <w:bCs/>
                <w:lang w:val="fr-CH"/>
              </w:rPr>
            </w:pPr>
            <w:r w:rsidRPr="00CC49DF">
              <w:rPr>
                <w:rFonts w:asciiTheme="majorBidi" w:hAnsiTheme="majorBidi" w:cstheme="majorBidi"/>
                <w:b/>
                <w:bCs/>
                <w:lang w:val="fr-CH"/>
              </w:rPr>
              <w:t>Bangkok</w:t>
            </w:r>
          </w:p>
          <w:p w14:paraId="24229EC9" w14:textId="610EA7DE" w:rsidR="0059785C" w:rsidRPr="00EF3423" w:rsidRDefault="00710835" w:rsidP="00710835">
            <w:pPr>
              <w:rPr>
                <w:rFonts w:asciiTheme="majorBidi" w:hAnsiTheme="majorBidi" w:cstheme="majorBidi"/>
                <w:lang w:val="fr-CH"/>
              </w:rPr>
            </w:pPr>
            <w:r>
              <w:rPr>
                <w:rFonts w:asciiTheme="majorBidi" w:hAnsiTheme="majorBidi" w:cstheme="majorBidi"/>
                <w:lang w:val="fr-CH"/>
              </w:rPr>
              <w:t>(sur la base</w:t>
            </w:r>
            <w:r w:rsidR="00EF3423">
              <w:rPr>
                <w:rFonts w:asciiTheme="majorBidi" w:hAnsiTheme="majorBidi" w:cstheme="majorBidi"/>
                <w:lang w:val="fr-CH"/>
              </w:rPr>
              <w:t xml:space="preserve"> </w:t>
            </w:r>
            <w:r>
              <w:rPr>
                <w:rFonts w:asciiTheme="majorBidi" w:hAnsiTheme="majorBidi" w:cstheme="majorBidi"/>
                <w:lang w:val="fr-CH"/>
              </w:rPr>
              <w:t>d</w:t>
            </w:r>
            <w:r w:rsidR="00EF3423">
              <w:rPr>
                <w:rFonts w:asciiTheme="majorBidi" w:hAnsiTheme="majorBidi" w:cstheme="majorBidi"/>
                <w:lang w:val="fr-CH"/>
              </w:rPr>
              <w:t>es</w:t>
            </w:r>
            <w:r w:rsidR="0059785C" w:rsidRPr="00EF3423">
              <w:rPr>
                <w:rFonts w:asciiTheme="majorBidi" w:hAnsiTheme="majorBidi" w:cstheme="majorBidi"/>
                <w:lang w:val="fr-CH"/>
              </w:rPr>
              <w:t xml:space="preserve"> </w:t>
            </w:r>
            <w:r w:rsidR="00EF3423" w:rsidRPr="00EF3423">
              <w:rPr>
                <w:rFonts w:asciiTheme="majorBidi" w:hAnsiTheme="majorBidi" w:cstheme="majorBidi"/>
                <w:lang w:val="fr-CH"/>
              </w:rPr>
              <w:t xml:space="preserve">coûts salariaux </w:t>
            </w:r>
            <w:r w:rsidR="0059785C" w:rsidRPr="00EF3423">
              <w:rPr>
                <w:rFonts w:asciiTheme="majorBidi" w:hAnsiTheme="majorBidi" w:cstheme="majorBidi"/>
                <w:lang w:val="fr-CH"/>
              </w:rPr>
              <w:t>standard</w:t>
            </w:r>
            <w:r w:rsidR="00C2225F" w:rsidRPr="00EF3423">
              <w:rPr>
                <w:rFonts w:asciiTheme="majorBidi" w:hAnsiTheme="majorBidi" w:cstheme="majorBidi"/>
                <w:lang w:val="fr-CH"/>
              </w:rPr>
              <w:t>)</w:t>
            </w:r>
          </w:p>
        </w:tc>
        <w:tc>
          <w:tcPr>
            <w:tcW w:w="4479" w:type="dxa"/>
          </w:tcPr>
          <w:p w14:paraId="0FE59214" w14:textId="22429EBC" w:rsidR="00192B54" w:rsidRPr="00192B54" w:rsidRDefault="0059785C">
            <w:pPr>
              <w:rPr>
                <w:rFonts w:asciiTheme="majorBidi" w:eastAsia="MS Mincho" w:hAnsiTheme="majorBidi" w:cstheme="majorBidi"/>
                <w:lang w:val="fr-CH"/>
              </w:rPr>
            </w:pPr>
            <w:r w:rsidRPr="00192B54">
              <w:rPr>
                <w:rFonts w:asciiTheme="majorBidi" w:eastAsia="MS Mincho" w:hAnsiTheme="majorBidi" w:cstheme="majorBidi"/>
                <w:lang w:val="fr-CH"/>
              </w:rPr>
              <w:t xml:space="preserve">Bangkok </w:t>
            </w:r>
            <w:r w:rsidR="00192B54">
              <w:rPr>
                <w:rFonts w:asciiTheme="majorBidi" w:eastAsia="MS Mincho" w:hAnsiTheme="majorBidi" w:cstheme="majorBidi"/>
                <w:lang w:val="fr-CH"/>
              </w:rPr>
              <w:t>est un cent</w:t>
            </w:r>
            <w:r w:rsidR="00192B54" w:rsidRPr="00192B54">
              <w:rPr>
                <w:rFonts w:asciiTheme="majorBidi" w:eastAsia="MS Mincho" w:hAnsiTheme="majorBidi" w:cstheme="majorBidi"/>
                <w:lang w:val="fr-CH"/>
              </w:rPr>
              <w:t>r</w:t>
            </w:r>
            <w:r w:rsidR="00192B54">
              <w:rPr>
                <w:rFonts w:asciiTheme="majorBidi" w:eastAsia="MS Mincho" w:hAnsiTheme="majorBidi" w:cstheme="majorBidi"/>
                <w:lang w:val="fr-CH"/>
              </w:rPr>
              <w:t>e</w:t>
            </w:r>
            <w:r w:rsidR="00192B54" w:rsidRPr="00192B54">
              <w:rPr>
                <w:rFonts w:asciiTheme="majorBidi" w:eastAsia="MS Mincho" w:hAnsiTheme="majorBidi" w:cstheme="majorBidi"/>
                <w:lang w:val="fr-CH"/>
              </w:rPr>
              <w:t xml:space="preserve"> </w:t>
            </w:r>
            <w:r w:rsidR="00192B54">
              <w:rPr>
                <w:rFonts w:asciiTheme="majorBidi" w:eastAsia="MS Mincho" w:hAnsiTheme="majorBidi" w:cstheme="majorBidi"/>
                <w:lang w:val="fr-CH"/>
              </w:rPr>
              <w:t>ré</w:t>
            </w:r>
            <w:r w:rsidR="00192B54" w:rsidRPr="00192B54">
              <w:rPr>
                <w:rFonts w:asciiTheme="majorBidi" w:eastAsia="MS Mincho" w:hAnsiTheme="majorBidi" w:cstheme="majorBidi"/>
                <w:lang w:val="fr-CH"/>
              </w:rPr>
              <w:t xml:space="preserve">gional des </w:t>
            </w:r>
            <w:r w:rsidR="00192B54">
              <w:rPr>
                <w:rFonts w:asciiTheme="majorBidi" w:eastAsia="MS Mincho" w:hAnsiTheme="majorBidi" w:cstheme="majorBidi"/>
                <w:lang w:val="fr-CH"/>
              </w:rPr>
              <w:t>Nations Unies qui abrite le</w:t>
            </w:r>
            <w:r w:rsidR="003B4886">
              <w:rPr>
                <w:rFonts w:asciiTheme="majorBidi" w:eastAsia="MS Mincho" w:hAnsiTheme="majorBidi" w:cstheme="majorBidi"/>
                <w:lang w:val="fr-CH"/>
              </w:rPr>
              <w:t xml:space="preserve"> Bureau régio</w:t>
            </w:r>
            <w:r w:rsidR="007F089B">
              <w:rPr>
                <w:rFonts w:asciiTheme="majorBidi" w:eastAsia="MS Mincho" w:hAnsiTheme="majorBidi" w:cstheme="majorBidi"/>
                <w:lang w:val="fr-CH"/>
              </w:rPr>
              <w:t xml:space="preserve">nal </w:t>
            </w:r>
            <w:r w:rsidR="004A3543">
              <w:rPr>
                <w:rFonts w:asciiTheme="majorBidi" w:eastAsia="MS Mincho" w:hAnsiTheme="majorBidi" w:cstheme="majorBidi"/>
                <w:lang w:val="fr-CH"/>
              </w:rPr>
              <w:t xml:space="preserve">du PNUE </w:t>
            </w:r>
            <w:r w:rsidR="007F089B">
              <w:rPr>
                <w:rFonts w:asciiTheme="majorBidi" w:eastAsia="MS Mincho" w:hAnsiTheme="majorBidi" w:cstheme="majorBidi"/>
                <w:lang w:val="fr-CH"/>
              </w:rPr>
              <w:t>pour l’Asie et le Pacifique</w:t>
            </w:r>
            <w:r w:rsidR="004A3543">
              <w:rPr>
                <w:rFonts w:asciiTheme="majorBidi" w:eastAsia="MS Mincho" w:hAnsiTheme="majorBidi" w:cstheme="majorBidi"/>
                <w:lang w:val="fr-CH"/>
              </w:rPr>
              <w:t>, la Commission économique et sociale pour l’Asie et le Pacifique,</w:t>
            </w:r>
            <w:r w:rsidR="00192B54">
              <w:rPr>
                <w:rFonts w:asciiTheme="majorBidi" w:eastAsia="MS Mincho" w:hAnsiTheme="majorBidi" w:cstheme="majorBidi"/>
                <w:lang w:val="fr-CH"/>
              </w:rPr>
              <w:t xml:space="preserve"> </w:t>
            </w:r>
            <w:r w:rsidR="003B4886">
              <w:rPr>
                <w:rFonts w:asciiTheme="majorBidi" w:eastAsia="MS Mincho" w:hAnsiTheme="majorBidi" w:cstheme="majorBidi"/>
                <w:lang w:val="fr-CH"/>
              </w:rPr>
              <w:t>ainsi qu’un certain nombre d</w:t>
            </w:r>
            <w:r w:rsidR="00FC4CEE">
              <w:rPr>
                <w:rFonts w:asciiTheme="majorBidi" w:eastAsia="MS Mincho" w:hAnsiTheme="majorBidi" w:cstheme="majorBidi"/>
                <w:lang w:val="fr-CH"/>
              </w:rPr>
              <w:t>e</w:t>
            </w:r>
            <w:r w:rsidR="003B4886">
              <w:rPr>
                <w:rFonts w:asciiTheme="majorBidi" w:eastAsia="MS Mincho" w:hAnsiTheme="majorBidi" w:cstheme="majorBidi"/>
                <w:lang w:val="fr-CH"/>
              </w:rPr>
              <w:t xml:space="preserve"> secrétariats</w:t>
            </w:r>
            <w:r w:rsidR="00AB3595">
              <w:rPr>
                <w:rFonts w:asciiTheme="majorBidi" w:eastAsia="MS Mincho" w:hAnsiTheme="majorBidi" w:cstheme="majorBidi"/>
                <w:lang w:val="fr-CH"/>
              </w:rPr>
              <w:t xml:space="preserve"> et bureaux</w:t>
            </w:r>
            <w:r w:rsidR="003B4886">
              <w:rPr>
                <w:rFonts w:asciiTheme="majorBidi" w:eastAsia="MS Mincho" w:hAnsiTheme="majorBidi" w:cstheme="majorBidi"/>
                <w:lang w:val="fr-CH"/>
              </w:rPr>
              <w:t xml:space="preserve"> régionaux</w:t>
            </w:r>
            <w:r w:rsidR="00AB3595">
              <w:rPr>
                <w:rFonts w:asciiTheme="majorBidi" w:eastAsia="MS Mincho" w:hAnsiTheme="majorBidi" w:cstheme="majorBidi"/>
                <w:lang w:val="fr-CH"/>
              </w:rPr>
              <w:t xml:space="preserve"> d’autres organisme</w:t>
            </w:r>
            <w:r w:rsidR="00CD608A">
              <w:rPr>
                <w:rFonts w:asciiTheme="majorBidi" w:eastAsia="MS Mincho" w:hAnsiTheme="majorBidi" w:cstheme="majorBidi"/>
                <w:lang w:val="fr-CH"/>
              </w:rPr>
              <w:t xml:space="preserve">s </w:t>
            </w:r>
            <w:r w:rsidR="00D76B2E">
              <w:rPr>
                <w:rFonts w:asciiTheme="majorBidi" w:eastAsia="MS Mincho" w:hAnsiTheme="majorBidi" w:cstheme="majorBidi"/>
                <w:lang w:val="fr-CH"/>
              </w:rPr>
              <w:t>des</w:t>
            </w:r>
            <w:r w:rsidR="00CD608A">
              <w:rPr>
                <w:rFonts w:asciiTheme="majorBidi" w:eastAsia="MS Mincho" w:hAnsiTheme="majorBidi" w:cstheme="majorBidi"/>
                <w:lang w:val="fr-CH"/>
              </w:rPr>
              <w:t xml:space="preserve"> Nations Unies ainsi que</w:t>
            </w:r>
            <w:r w:rsidR="00AB3595">
              <w:rPr>
                <w:rFonts w:asciiTheme="majorBidi" w:eastAsia="MS Mincho" w:hAnsiTheme="majorBidi" w:cstheme="majorBidi"/>
                <w:lang w:val="fr-CH"/>
              </w:rPr>
              <w:t xml:space="preserve"> d</w:t>
            </w:r>
            <w:r w:rsidR="00CD608A">
              <w:rPr>
                <w:rFonts w:asciiTheme="majorBidi" w:eastAsia="MS Mincho" w:hAnsiTheme="majorBidi" w:cstheme="majorBidi"/>
                <w:lang w:val="fr-CH"/>
              </w:rPr>
              <w:t xml:space="preserve">es </w:t>
            </w:r>
            <w:r w:rsidR="00AB3595">
              <w:rPr>
                <w:rFonts w:asciiTheme="majorBidi" w:eastAsia="MS Mincho" w:hAnsiTheme="majorBidi" w:cstheme="majorBidi"/>
                <w:lang w:val="fr-CH"/>
              </w:rPr>
              <w:t xml:space="preserve">organisations non gouvernementales. Bangkok est devenu un centre de transport </w:t>
            </w:r>
            <w:r w:rsidR="005F35AD">
              <w:rPr>
                <w:rFonts w:asciiTheme="majorBidi" w:eastAsia="MS Mincho" w:hAnsiTheme="majorBidi" w:cstheme="majorBidi"/>
                <w:lang w:val="fr-CH"/>
              </w:rPr>
              <w:t xml:space="preserve">international </w:t>
            </w:r>
            <w:r w:rsidR="00AB3595">
              <w:rPr>
                <w:rFonts w:asciiTheme="majorBidi" w:eastAsia="MS Mincho" w:hAnsiTheme="majorBidi" w:cstheme="majorBidi"/>
                <w:lang w:val="fr-CH"/>
              </w:rPr>
              <w:t xml:space="preserve">et dispose de procédures de visa facilitées. </w:t>
            </w:r>
            <w:r w:rsidR="0086001A">
              <w:rPr>
                <w:rFonts w:asciiTheme="majorBidi" w:eastAsia="MS Mincho" w:hAnsiTheme="majorBidi" w:cstheme="majorBidi"/>
                <w:lang w:val="fr-CH"/>
              </w:rPr>
              <w:t>Le centre</w:t>
            </w:r>
            <w:r w:rsidR="00CC49DF">
              <w:rPr>
                <w:rFonts w:asciiTheme="majorBidi" w:eastAsia="MS Mincho" w:hAnsiTheme="majorBidi" w:cstheme="majorBidi"/>
                <w:lang w:val="fr-CH"/>
              </w:rPr>
              <w:t xml:space="preserve"> des Nations Unies</w:t>
            </w:r>
            <w:r w:rsidR="0086001A">
              <w:rPr>
                <w:rFonts w:asciiTheme="majorBidi" w:eastAsia="MS Mincho" w:hAnsiTheme="majorBidi" w:cstheme="majorBidi"/>
                <w:lang w:val="fr-CH"/>
              </w:rPr>
              <w:t xml:space="preserve"> possède également de</w:t>
            </w:r>
            <w:r w:rsidR="003133C3">
              <w:rPr>
                <w:rFonts w:asciiTheme="majorBidi" w:eastAsia="MS Mincho" w:hAnsiTheme="majorBidi" w:cstheme="majorBidi"/>
                <w:lang w:val="fr-CH"/>
              </w:rPr>
              <w:t>s</w:t>
            </w:r>
            <w:r w:rsidR="0086001A">
              <w:rPr>
                <w:rFonts w:asciiTheme="majorBidi" w:eastAsia="MS Mincho" w:hAnsiTheme="majorBidi" w:cstheme="majorBidi"/>
                <w:lang w:val="fr-CH"/>
              </w:rPr>
              <w:t xml:space="preserve"> installations de conférence</w:t>
            </w:r>
            <w:r w:rsidR="003133C3">
              <w:rPr>
                <w:rFonts w:asciiTheme="majorBidi" w:eastAsia="MS Mincho" w:hAnsiTheme="majorBidi" w:cstheme="majorBidi"/>
                <w:lang w:val="fr-CH"/>
              </w:rPr>
              <w:t xml:space="preserve"> adaptées</w:t>
            </w:r>
            <w:r w:rsidR="00CC49DF">
              <w:rPr>
                <w:rFonts w:asciiTheme="majorBidi" w:eastAsia="MS Mincho" w:hAnsiTheme="majorBidi" w:cstheme="majorBidi"/>
                <w:lang w:val="fr-CH"/>
              </w:rPr>
              <w:t>.</w:t>
            </w:r>
          </w:p>
          <w:p w14:paraId="5F325770" w14:textId="2F6F4522" w:rsidR="003B4886" w:rsidRPr="003B4886" w:rsidRDefault="003B4886" w:rsidP="00603BE8">
            <w:pPr>
              <w:pStyle w:val="Normalnumber"/>
              <w:numPr>
                <w:ilvl w:val="0"/>
                <w:numId w:val="0"/>
              </w:numPr>
              <w:rPr>
                <w:rFonts w:asciiTheme="majorBidi" w:hAnsiTheme="majorBidi" w:cstheme="majorBidi"/>
                <w:lang w:val="fr-CH"/>
              </w:rPr>
            </w:pPr>
          </w:p>
        </w:tc>
        <w:tc>
          <w:tcPr>
            <w:tcW w:w="2955" w:type="dxa"/>
          </w:tcPr>
          <w:p w14:paraId="29515C66" w14:textId="55A8D3EB" w:rsidR="0059785C" w:rsidRPr="00CD608A" w:rsidRDefault="00CD608A" w:rsidP="00AB20EE">
            <w:pPr>
              <w:pStyle w:val="Normalnumber"/>
              <w:numPr>
                <w:ilvl w:val="0"/>
                <w:numId w:val="0"/>
              </w:numPr>
              <w:rPr>
                <w:rFonts w:asciiTheme="majorBidi" w:eastAsia="MS Mincho" w:hAnsiTheme="majorBidi" w:cstheme="majorBidi"/>
                <w:lang w:val="fr-CH"/>
              </w:rPr>
            </w:pPr>
            <w:r w:rsidRPr="00CD608A">
              <w:rPr>
                <w:rFonts w:asciiTheme="majorBidi" w:eastAsia="MS Mincho" w:hAnsiTheme="majorBidi" w:cstheme="majorBidi"/>
                <w:lang w:val="fr-CH"/>
              </w:rPr>
              <w:t xml:space="preserve">Les </w:t>
            </w:r>
            <w:r w:rsidR="004A3543">
              <w:rPr>
                <w:rFonts w:asciiTheme="majorBidi" w:eastAsia="MS Mincho" w:hAnsiTheme="majorBidi" w:cstheme="majorBidi"/>
                <w:lang w:val="fr-CH"/>
              </w:rPr>
              <w:t>dépenses de personnel</w:t>
            </w:r>
            <w:r w:rsidRPr="00CD608A">
              <w:rPr>
                <w:rFonts w:asciiTheme="majorBidi" w:eastAsia="MS Mincho" w:hAnsiTheme="majorBidi" w:cstheme="majorBidi"/>
                <w:lang w:val="fr-CH"/>
              </w:rPr>
              <w:t xml:space="preserve"> pour cette option s’élèvent à</w:t>
            </w:r>
            <w:r w:rsidR="0059785C" w:rsidRPr="00CD608A">
              <w:rPr>
                <w:rFonts w:asciiTheme="majorBidi" w:eastAsia="MS Mincho" w:hAnsiTheme="majorBidi" w:cstheme="majorBidi"/>
                <w:lang w:val="fr-CH"/>
              </w:rPr>
              <w:t xml:space="preserve"> </w:t>
            </w:r>
            <w:r w:rsidR="0059785C" w:rsidRPr="00CD608A">
              <w:rPr>
                <w:rFonts w:asciiTheme="majorBidi" w:eastAsia="MS Mincho" w:hAnsiTheme="majorBidi" w:cstheme="majorBidi"/>
                <w:b/>
                <w:bCs/>
                <w:lang w:val="fr-CH"/>
              </w:rPr>
              <w:t>2</w:t>
            </w:r>
            <w:r>
              <w:rPr>
                <w:rFonts w:asciiTheme="majorBidi" w:eastAsia="MS Mincho" w:hAnsiTheme="majorBidi" w:cstheme="majorBidi"/>
                <w:b/>
                <w:bCs/>
                <w:lang w:val="fr-CH"/>
              </w:rPr>
              <w:t> 140 </w:t>
            </w:r>
            <w:r w:rsidR="0059785C" w:rsidRPr="00CD608A">
              <w:rPr>
                <w:rFonts w:asciiTheme="majorBidi" w:eastAsia="MS Mincho" w:hAnsiTheme="majorBidi" w:cstheme="majorBidi"/>
                <w:b/>
                <w:bCs/>
                <w:lang w:val="fr-CH"/>
              </w:rPr>
              <w:t>500</w:t>
            </w:r>
            <w:r w:rsidR="00651E3B">
              <w:rPr>
                <w:rFonts w:asciiTheme="majorBidi" w:eastAsia="MS Mincho" w:hAnsiTheme="majorBidi" w:cstheme="majorBidi"/>
                <w:b/>
                <w:bCs/>
                <w:lang w:val="fr-CH"/>
              </w:rPr>
              <w:t> </w:t>
            </w:r>
            <w:r>
              <w:rPr>
                <w:rFonts w:asciiTheme="majorBidi" w:eastAsia="MS Mincho" w:hAnsiTheme="majorBidi" w:cstheme="majorBidi"/>
                <w:b/>
                <w:bCs/>
                <w:lang w:val="fr-CH"/>
              </w:rPr>
              <w:t>dollars par an</w:t>
            </w:r>
            <w:r w:rsidR="0059785C" w:rsidRPr="00CD608A">
              <w:rPr>
                <w:rFonts w:asciiTheme="majorBidi" w:eastAsia="MS Mincho" w:hAnsiTheme="majorBidi" w:cstheme="majorBidi"/>
                <w:lang w:val="fr-CH"/>
              </w:rPr>
              <w:t xml:space="preserve"> (</w:t>
            </w:r>
            <w:r>
              <w:rPr>
                <w:rFonts w:asciiTheme="majorBidi" w:eastAsia="MS Mincho" w:hAnsiTheme="majorBidi" w:cstheme="majorBidi"/>
                <w:lang w:val="fr-CH"/>
              </w:rPr>
              <w:t>voir</w:t>
            </w:r>
            <w:r w:rsidR="00EA488F">
              <w:rPr>
                <w:rFonts w:asciiTheme="majorBidi" w:eastAsia="MS Mincho" w:hAnsiTheme="majorBidi" w:cstheme="majorBidi"/>
                <w:lang w:val="fr-CH"/>
              </w:rPr>
              <w:t xml:space="preserve"> </w:t>
            </w:r>
            <w:r>
              <w:rPr>
                <w:rFonts w:asciiTheme="majorBidi" w:eastAsia="MS Mincho" w:hAnsiTheme="majorBidi" w:cstheme="majorBidi"/>
                <w:lang w:val="fr-CH"/>
              </w:rPr>
              <w:t>a</w:t>
            </w:r>
            <w:r w:rsidR="00FC4CEE">
              <w:rPr>
                <w:rFonts w:asciiTheme="majorBidi" w:eastAsia="MS Mincho" w:hAnsiTheme="majorBidi" w:cstheme="majorBidi"/>
                <w:lang w:val="fr-CH"/>
              </w:rPr>
              <w:t>ppendic</w:t>
            </w:r>
            <w:r>
              <w:rPr>
                <w:rFonts w:asciiTheme="majorBidi" w:eastAsia="MS Mincho" w:hAnsiTheme="majorBidi" w:cstheme="majorBidi"/>
                <w:lang w:val="fr-CH"/>
              </w:rPr>
              <w:t>e</w:t>
            </w:r>
            <w:r w:rsidR="00651E3B">
              <w:rPr>
                <w:rFonts w:asciiTheme="majorBidi" w:eastAsia="MS Mincho" w:hAnsiTheme="majorBidi" w:cstheme="majorBidi"/>
                <w:lang w:val="fr-CH"/>
              </w:rPr>
              <w:t> </w:t>
            </w:r>
            <w:r w:rsidR="00EA488F">
              <w:rPr>
                <w:rFonts w:asciiTheme="majorBidi" w:eastAsia="MS Mincho" w:hAnsiTheme="majorBidi" w:cstheme="majorBidi"/>
                <w:lang w:val="fr-CH"/>
              </w:rPr>
              <w:t>II, tableau 3).</w:t>
            </w:r>
          </w:p>
          <w:p w14:paraId="3152806F" w14:textId="69BF9CF0" w:rsidR="0059785C" w:rsidRPr="00EA488F" w:rsidRDefault="00EA488F" w:rsidP="00AB20EE">
            <w:pPr>
              <w:pStyle w:val="Normalnumber"/>
              <w:numPr>
                <w:ilvl w:val="0"/>
                <w:numId w:val="0"/>
              </w:numPr>
              <w:rPr>
                <w:rFonts w:asciiTheme="majorBidi" w:eastAsia="MS Mincho" w:hAnsiTheme="majorBidi" w:cstheme="majorBidi"/>
                <w:lang w:val="fr-CH"/>
              </w:rPr>
            </w:pPr>
            <w:r w:rsidRPr="00EA488F">
              <w:rPr>
                <w:rFonts w:asciiTheme="majorBidi" w:eastAsia="MS Mincho" w:hAnsiTheme="majorBidi" w:cstheme="majorBidi"/>
                <w:lang w:val="fr-CH"/>
              </w:rPr>
              <w:t xml:space="preserve">De plus, </w:t>
            </w:r>
            <w:r w:rsidR="003C54B3">
              <w:rPr>
                <w:rFonts w:asciiTheme="majorBidi" w:eastAsia="MS Mincho" w:hAnsiTheme="majorBidi" w:cstheme="majorBidi"/>
                <w:lang w:val="fr-CH"/>
              </w:rPr>
              <w:t xml:space="preserve">comme indiqué dans </w:t>
            </w:r>
            <w:r w:rsidR="004A3543">
              <w:rPr>
                <w:rFonts w:asciiTheme="majorBidi" w:eastAsia="MS Mincho" w:hAnsiTheme="majorBidi" w:cstheme="majorBidi"/>
                <w:lang w:val="fr-CH"/>
              </w:rPr>
              <w:t>le tableau </w:t>
            </w:r>
            <w:r w:rsidR="005F35AD">
              <w:rPr>
                <w:rFonts w:asciiTheme="majorBidi" w:eastAsia="MS Mincho" w:hAnsiTheme="majorBidi" w:cstheme="majorBidi"/>
                <w:lang w:val="fr-CH"/>
              </w:rPr>
              <w:t>4 de l’appendic</w:t>
            </w:r>
            <w:r w:rsidRPr="00EA488F">
              <w:rPr>
                <w:rFonts w:asciiTheme="majorBidi" w:eastAsia="MS Mincho" w:hAnsiTheme="majorBidi" w:cstheme="majorBidi"/>
                <w:lang w:val="fr-CH"/>
              </w:rPr>
              <w:t>e</w:t>
            </w:r>
            <w:r w:rsidR="00651E3B">
              <w:rPr>
                <w:rFonts w:asciiTheme="majorBidi" w:eastAsia="MS Mincho" w:hAnsiTheme="majorBidi" w:cstheme="majorBidi"/>
                <w:lang w:val="fr-CH"/>
              </w:rPr>
              <w:t> </w:t>
            </w:r>
            <w:r w:rsidR="0059785C" w:rsidRPr="00EA488F">
              <w:rPr>
                <w:rFonts w:asciiTheme="majorBidi" w:eastAsia="MS Mincho" w:hAnsiTheme="majorBidi" w:cstheme="majorBidi"/>
                <w:lang w:val="fr-CH"/>
              </w:rPr>
              <w:t>II</w:t>
            </w:r>
            <w:r w:rsidR="00651E3B">
              <w:rPr>
                <w:rFonts w:asciiTheme="majorBidi" w:eastAsia="MS Mincho" w:hAnsiTheme="majorBidi" w:cstheme="majorBidi"/>
                <w:lang w:val="fr-CH"/>
              </w:rPr>
              <w:t> </w:t>
            </w:r>
            <w:r w:rsidR="0059785C" w:rsidRPr="00EA488F">
              <w:rPr>
                <w:rFonts w:asciiTheme="majorBidi" w:eastAsia="MS Mincho" w:hAnsiTheme="majorBidi" w:cstheme="majorBidi"/>
                <w:lang w:val="fr-CH"/>
              </w:rPr>
              <w:t xml:space="preserve">: </w:t>
            </w:r>
          </w:p>
          <w:p w14:paraId="4515F1D3" w14:textId="468C752F" w:rsidR="0059785C" w:rsidRPr="00596E76" w:rsidRDefault="003D3447" w:rsidP="00AB20E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w:t>
            </w:r>
            <w:r w:rsidR="00596E76">
              <w:rPr>
                <w:rFonts w:asciiTheme="majorBidi" w:eastAsia="MS Mincho" w:hAnsiTheme="majorBidi" w:cstheme="majorBidi"/>
                <w:lang w:val="fr-CH"/>
              </w:rPr>
              <w:t>es d</w:t>
            </w:r>
            <w:r w:rsidR="00596E76" w:rsidRPr="00596E76">
              <w:rPr>
                <w:rFonts w:asciiTheme="majorBidi" w:eastAsia="MS Mincho" w:hAnsiTheme="majorBidi" w:cstheme="majorBidi"/>
                <w:lang w:val="fr-CH"/>
              </w:rPr>
              <w:t>épe</w:t>
            </w:r>
            <w:r w:rsidR="005F35AD">
              <w:rPr>
                <w:rFonts w:asciiTheme="majorBidi" w:eastAsia="MS Mincho" w:hAnsiTheme="majorBidi" w:cstheme="majorBidi"/>
                <w:lang w:val="fr-CH"/>
              </w:rPr>
              <w:t>nses de fonctionnement du s</w:t>
            </w:r>
            <w:r w:rsidR="00596E76">
              <w:rPr>
                <w:rFonts w:asciiTheme="majorBidi" w:eastAsia="MS Mincho" w:hAnsiTheme="majorBidi" w:cstheme="majorBidi"/>
                <w:lang w:val="fr-CH"/>
              </w:rPr>
              <w:t xml:space="preserve">ecrétariat </w:t>
            </w:r>
            <w:r w:rsidR="00914D8E">
              <w:rPr>
                <w:rFonts w:asciiTheme="majorBidi" w:eastAsia="MS Mincho" w:hAnsiTheme="majorBidi" w:cstheme="majorBidi"/>
                <w:lang w:val="fr-CH"/>
              </w:rPr>
              <w:t xml:space="preserve">dans ce lieu d’implantation </w:t>
            </w:r>
            <w:r>
              <w:rPr>
                <w:rFonts w:asciiTheme="majorBidi" w:eastAsia="MS Mincho" w:hAnsiTheme="majorBidi" w:cstheme="majorBidi"/>
                <w:lang w:val="fr-CH"/>
              </w:rPr>
              <w:t>est</w:t>
            </w:r>
            <w:r w:rsidR="00596E76">
              <w:rPr>
                <w:rFonts w:asciiTheme="majorBidi" w:eastAsia="MS Mincho" w:hAnsiTheme="majorBidi" w:cstheme="majorBidi"/>
                <w:lang w:val="fr-CH"/>
              </w:rPr>
              <w:t xml:space="preserve"> de 200 </w:t>
            </w:r>
            <w:r w:rsidR="0059785C" w:rsidRPr="00596E76">
              <w:rPr>
                <w:rFonts w:asciiTheme="majorBidi" w:eastAsia="MS Mincho" w:hAnsiTheme="majorBidi" w:cstheme="majorBidi"/>
                <w:lang w:val="fr-CH"/>
              </w:rPr>
              <w:t>000</w:t>
            </w:r>
            <w:r w:rsidR="00651E3B">
              <w:rPr>
                <w:rFonts w:asciiTheme="majorBidi" w:eastAsia="MS Mincho" w:hAnsiTheme="majorBidi" w:cstheme="majorBidi"/>
                <w:lang w:val="fr-CH"/>
              </w:rPr>
              <w:t> </w:t>
            </w:r>
            <w:r w:rsidR="00596E76">
              <w:rPr>
                <w:rFonts w:asciiTheme="majorBidi" w:eastAsia="MS Mincho" w:hAnsiTheme="majorBidi" w:cstheme="majorBidi"/>
                <w:lang w:val="fr-CH"/>
              </w:rPr>
              <w:t>dollars par an</w:t>
            </w:r>
            <w:r w:rsidR="0059785C" w:rsidRPr="00596E76">
              <w:rPr>
                <w:rFonts w:asciiTheme="majorBidi" w:eastAsia="MS Mincho" w:hAnsiTheme="majorBidi" w:cstheme="majorBidi"/>
                <w:lang w:val="fr-CH"/>
              </w:rPr>
              <w:t>;</w:t>
            </w:r>
          </w:p>
          <w:p w14:paraId="721E3410" w14:textId="1C87D777" w:rsidR="003D3447" w:rsidRDefault="003D3447" w:rsidP="00AB20E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w:t>
            </w:r>
            <w:r w:rsidR="001169F2">
              <w:rPr>
                <w:rFonts w:asciiTheme="majorBidi" w:eastAsia="MS Mincho" w:hAnsiTheme="majorBidi" w:cstheme="majorBidi"/>
                <w:lang w:val="fr-CH"/>
              </w:rPr>
              <w:t>e montant estimatif des co</w:t>
            </w:r>
            <w:r w:rsidR="00DB46F4">
              <w:rPr>
                <w:rFonts w:asciiTheme="majorBidi" w:eastAsia="MS Mincho" w:hAnsiTheme="majorBidi" w:cstheme="majorBidi"/>
                <w:lang w:val="fr-CH"/>
              </w:rPr>
              <w:t>ûts</w:t>
            </w:r>
            <w:r w:rsidR="006B7E1B">
              <w:rPr>
                <w:rFonts w:asciiTheme="majorBidi" w:eastAsia="MS Mincho" w:hAnsiTheme="majorBidi" w:cstheme="majorBidi"/>
                <w:lang w:val="fr-CH"/>
              </w:rPr>
              <w:t xml:space="preserve"> d’organisation</w:t>
            </w:r>
            <w:r w:rsidR="001F42F1">
              <w:rPr>
                <w:rFonts w:asciiTheme="majorBidi" w:eastAsia="MS Mincho" w:hAnsiTheme="majorBidi" w:cstheme="majorBidi"/>
                <w:lang w:val="fr-CH"/>
              </w:rPr>
              <w:t xml:space="preserve"> d’une</w:t>
            </w:r>
            <w:r w:rsidR="00DB46F4">
              <w:rPr>
                <w:rFonts w:asciiTheme="majorBidi" w:eastAsia="MS Mincho" w:hAnsiTheme="majorBidi" w:cstheme="majorBidi"/>
                <w:lang w:val="fr-CH"/>
              </w:rPr>
              <w:t xml:space="preserve"> réunion</w:t>
            </w:r>
            <w:r w:rsidR="001F42F1">
              <w:rPr>
                <w:rFonts w:asciiTheme="majorBidi" w:eastAsia="MS Mincho" w:hAnsiTheme="majorBidi" w:cstheme="majorBidi"/>
                <w:lang w:val="fr-CH"/>
              </w:rPr>
              <w:t xml:space="preserve"> de </w:t>
            </w:r>
            <w:r w:rsidR="006F34F6">
              <w:rPr>
                <w:rFonts w:asciiTheme="majorBidi" w:eastAsia="MS Mincho" w:hAnsiTheme="majorBidi" w:cstheme="majorBidi"/>
                <w:lang w:val="fr-CH"/>
              </w:rPr>
              <w:t xml:space="preserve">la Conférence des Parties </w:t>
            </w:r>
            <w:r w:rsidR="00DB46F4">
              <w:rPr>
                <w:rFonts w:asciiTheme="majorBidi" w:eastAsia="MS Mincho" w:hAnsiTheme="majorBidi" w:cstheme="majorBidi"/>
                <w:lang w:val="fr-CH"/>
              </w:rPr>
              <w:t>à cet endroit</w:t>
            </w:r>
            <w:r w:rsidR="00651E3B">
              <w:rPr>
                <w:rFonts w:asciiTheme="majorBidi" w:eastAsia="MS Mincho" w:hAnsiTheme="majorBidi" w:cstheme="majorBidi"/>
                <w:lang w:val="fr-CH"/>
              </w:rPr>
              <w:t xml:space="preserve"> est de 820 000 </w:t>
            </w:r>
            <w:r w:rsidR="001F42F1">
              <w:rPr>
                <w:rFonts w:asciiTheme="majorBidi" w:eastAsia="MS Mincho" w:hAnsiTheme="majorBidi" w:cstheme="majorBidi"/>
                <w:lang w:val="fr-CH"/>
              </w:rPr>
              <w:t>dollars</w:t>
            </w:r>
            <w:r w:rsidR="006F34F6">
              <w:rPr>
                <w:rFonts w:asciiTheme="majorBidi" w:eastAsia="MS Mincho" w:hAnsiTheme="majorBidi" w:cstheme="majorBidi"/>
                <w:lang w:val="fr-CH"/>
              </w:rPr>
              <w:t>;</w:t>
            </w:r>
          </w:p>
          <w:p w14:paraId="5F77DE00" w14:textId="20FF7281" w:rsidR="004D6418" w:rsidRDefault="00DB46F4" w:rsidP="004D6418">
            <w:pPr>
              <w:pStyle w:val="Normalnumber"/>
              <w:numPr>
                <w:ilvl w:val="0"/>
                <w:numId w:val="0"/>
              </w:numPr>
              <w:tabs>
                <w:tab w:val="left" w:pos="1871"/>
              </w:tabs>
              <w:rPr>
                <w:rFonts w:asciiTheme="majorBidi" w:eastAsia="MS Mincho" w:hAnsiTheme="majorBidi" w:cstheme="majorBidi"/>
                <w:lang w:val="fr-CH"/>
              </w:rPr>
            </w:pPr>
            <w:r w:rsidRPr="00DB46F4">
              <w:rPr>
                <w:rFonts w:asciiTheme="majorBidi" w:eastAsia="MS Mincho" w:hAnsiTheme="majorBidi" w:cstheme="majorBidi"/>
                <w:lang w:val="fr-CH"/>
              </w:rPr>
              <w:t xml:space="preserve">Le montant </w:t>
            </w:r>
            <w:r w:rsidR="00515971">
              <w:rPr>
                <w:rFonts w:asciiTheme="majorBidi" w:eastAsia="MS Mincho" w:hAnsiTheme="majorBidi" w:cstheme="majorBidi"/>
                <w:lang w:val="fr-CH"/>
              </w:rPr>
              <w:t>estimatif des frais de voyage pour le personnel qui devrait participer aux réunions sur les produits chimiques et les déchets à Genève</w:t>
            </w:r>
            <w:r w:rsidRPr="00DB46F4">
              <w:rPr>
                <w:rFonts w:asciiTheme="majorBidi" w:eastAsia="MS Mincho" w:hAnsiTheme="majorBidi" w:cstheme="majorBidi"/>
                <w:lang w:val="fr-CH"/>
              </w:rPr>
              <w:t xml:space="preserve"> </w:t>
            </w:r>
            <w:r w:rsidR="00651E3B">
              <w:rPr>
                <w:rFonts w:asciiTheme="majorBidi" w:eastAsia="MS Mincho" w:hAnsiTheme="majorBidi" w:cstheme="majorBidi"/>
                <w:lang w:val="fr-CH"/>
              </w:rPr>
              <w:t>est de 40 000 </w:t>
            </w:r>
            <w:r w:rsidR="00515971">
              <w:rPr>
                <w:rFonts w:asciiTheme="majorBidi" w:eastAsia="MS Mincho" w:hAnsiTheme="majorBidi" w:cstheme="majorBidi"/>
                <w:lang w:val="fr-CH"/>
              </w:rPr>
              <w:t xml:space="preserve">dollars environ pour </w:t>
            </w:r>
            <w:r w:rsidR="001F42F1">
              <w:rPr>
                <w:rFonts w:asciiTheme="majorBidi" w:eastAsia="MS Mincho" w:hAnsiTheme="majorBidi" w:cstheme="majorBidi"/>
                <w:lang w:val="fr-CH"/>
              </w:rPr>
              <w:t>la période</w:t>
            </w:r>
            <w:r w:rsidR="00603BE8">
              <w:rPr>
                <w:rFonts w:asciiTheme="majorBidi" w:eastAsia="MS Mincho" w:hAnsiTheme="majorBidi" w:cstheme="majorBidi"/>
                <w:lang w:val="fr-CH"/>
              </w:rPr>
              <w:t xml:space="preserve"> biennal</w:t>
            </w:r>
            <w:r w:rsidR="001F42F1">
              <w:rPr>
                <w:rFonts w:asciiTheme="majorBidi" w:eastAsia="MS Mincho" w:hAnsiTheme="majorBidi" w:cstheme="majorBidi"/>
                <w:lang w:val="fr-CH"/>
              </w:rPr>
              <w:t>e</w:t>
            </w:r>
            <w:r w:rsidR="001843A9">
              <w:rPr>
                <w:rFonts w:asciiTheme="majorBidi" w:eastAsia="MS Mincho" w:hAnsiTheme="majorBidi" w:cstheme="majorBidi"/>
                <w:lang w:val="fr-CH"/>
              </w:rPr>
              <w:t xml:space="preserve"> 2018-2019;</w:t>
            </w:r>
          </w:p>
          <w:p w14:paraId="574AD9EF" w14:textId="6C4C8078" w:rsidR="0059785C" w:rsidRPr="008F5D2A" w:rsidRDefault="004D6418" w:rsidP="00013AB2">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 xml:space="preserve">Pour </w:t>
            </w:r>
            <w:r w:rsidR="00603BE8" w:rsidRPr="00603BE8">
              <w:rPr>
                <w:rFonts w:asciiTheme="majorBidi" w:eastAsia="MS Mincho" w:hAnsiTheme="majorBidi" w:cstheme="majorBidi"/>
                <w:lang w:val="fr-CH"/>
              </w:rPr>
              <w:t>information, les frais de voyage pour les délégués</w:t>
            </w:r>
            <w:r>
              <w:rPr>
                <w:rFonts w:asciiTheme="majorBidi" w:eastAsia="MS Mincho" w:hAnsiTheme="majorBidi" w:cstheme="majorBidi"/>
                <w:lang w:val="fr-CH"/>
              </w:rPr>
              <w:t xml:space="preserve"> techniques</w:t>
            </w:r>
            <w:r w:rsidR="00013AB2">
              <w:rPr>
                <w:rFonts w:asciiTheme="majorBidi" w:eastAsia="MS Mincho" w:hAnsiTheme="majorBidi" w:cstheme="majorBidi"/>
                <w:lang w:val="fr-CH"/>
              </w:rPr>
              <w:t xml:space="preserve"> bénéficiant d’un financement</w:t>
            </w:r>
            <w:r>
              <w:rPr>
                <w:rFonts w:asciiTheme="majorBidi" w:eastAsia="MS Mincho" w:hAnsiTheme="majorBidi" w:cstheme="majorBidi"/>
                <w:lang w:val="fr-CH"/>
              </w:rPr>
              <w:t xml:space="preserve"> </w:t>
            </w:r>
            <w:r w:rsidR="008F5D2A">
              <w:rPr>
                <w:rFonts w:asciiTheme="majorBidi" w:eastAsia="MS Mincho" w:hAnsiTheme="majorBidi" w:cstheme="majorBidi"/>
                <w:lang w:val="fr-CH"/>
              </w:rPr>
              <w:t>qui participent à une réunion de la Conférence des Parties à Bangkok s</w:t>
            </w:r>
            <w:r w:rsidR="00013AB2">
              <w:rPr>
                <w:rFonts w:asciiTheme="majorBidi" w:eastAsia="MS Mincho" w:hAnsiTheme="majorBidi" w:cstheme="majorBidi"/>
                <w:lang w:val="fr-CH"/>
              </w:rPr>
              <w:t>’élèvent à</w:t>
            </w:r>
            <w:r w:rsidR="006F64C0">
              <w:rPr>
                <w:rFonts w:asciiTheme="majorBidi" w:eastAsia="MS Mincho" w:hAnsiTheme="majorBidi" w:cstheme="majorBidi"/>
                <w:lang w:val="fr-CH"/>
              </w:rPr>
              <w:t xml:space="preserve"> 470 000 </w:t>
            </w:r>
            <w:r w:rsidR="008F5D2A">
              <w:rPr>
                <w:rFonts w:asciiTheme="majorBidi" w:eastAsia="MS Mincho" w:hAnsiTheme="majorBidi" w:cstheme="majorBidi"/>
                <w:lang w:val="fr-CH"/>
              </w:rPr>
              <w:t>dollars</w:t>
            </w:r>
            <w:r w:rsidR="00013AB2">
              <w:rPr>
                <w:rFonts w:asciiTheme="majorBidi" w:eastAsia="MS Mincho" w:hAnsiTheme="majorBidi" w:cstheme="majorBidi"/>
                <w:lang w:val="fr-CH"/>
              </w:rPr>
              <w:t xml:space="preserve"> environ</w:t>
            </w:r>
            <w:r w:rsidR="008F5D2A">
              <w:rPr>
                <w:rFonts w:asciiTheme="majorBidi" w:eastAsia="MS Mincho" w:hAnsiTheme="majorBidi" w:cstheme="majorBidi"/>
                <w:lang w:val="fr-CH"/>
              </w:rPr>
              <w:t xml:space="preserve">. </w:t>
            </w:r>
          </w:p>
        </w:tc>
      </w:tr>
      <w:tr w:rsidR="0059785C" w:rsidRPr="00A84D20" w14:paraId="26EA0599" w14:textId="77777777" w:rsidTr="006F64C0">
        <w:tc>
          <w:tcPr>
            <w:tcW w:w="1428" w:type="dxa"/>
          </w:tcPr>
          <w:p w14:paraId="6BC9833C" w14:textId="3CE378BC" w:rsidR="0059785C" w:rsidRPr="00CC49DF" w:rsidRDefault="00CC49DF" w:rsidP="00AB20EE">
            <w:pPr>
              <w:rPr>
                <w:rFonts w:asciiTheme="majorBidi" w:hAnsiTheme="majorBidi" w:cstheme="majorBidi"/>
                <w:b/>
                <w:bCs/>
                <w:lang w:val="fr-CH"/>
              </w:rPr>
            </w:pPr>
            <w:r w:rsidRPr="00CC49DF">
              <w:rPr>
                <w:rFonts w:asciiTheme="majorBidi" w:hAnsiTheme="majorBidi" w:cstheme="majorBidi"/>
                <w:b/>
                <w:bCs/>
                <w:lang w:val="fr-CH"/>
              </w:rPr>
              <w:t>Genève</w:t>
            </w:r>
          </w:p>
          <w:p w14:paraId="2CBC72D5" w14:textId="631E4FA6" w:rsidR="0059785C" w:rsidRPr="00CC49DF" w:rsidRDefault="00C2225F" w:rsidP="00710835">
            <w:pPr>
              <w:rPr>
                <w:rFonts w:asciiTheme="majorBidi" w:hAnsiTheme="majorBidi" w:cstheme="majorBidi"/>
                <w:lang w:val="fr-CH"/>
              </w:rPr>
            </w:pPr>
            <w:r w:rsidRPr="00CC49DF">
              <w:rPr>
                <w:rFonts w:asciiTheme="majorBidi" w:hAnsiTheme="majorBidi" w:cstheme="majorBidi"/>
                <w:lang w:val="fr-CH"/>
              </w:rPr>
              <w:t>(</w:t>
            </w:r>
            <w:r w:rsidR="007428DB">
              <w:rPr>
                <w:rFonts w:asciiTheme="majorBidi" w:hAnsiTheme="majorBidi" w:cstheme="majorBidi"/>
                <w:lang w:val="fr-CH"/>
              </w:rPr>
              <w:t>sur la base d</w:t>
            </w:r>
            <w:r w:rsidR="00710835">
              <w:rPr>
                <w:rFonts w:asciiTheme="majorBidi" w:hAnsiTheme="majorBidi" w:cstheme="majorBidi"/>
                <w:lang w:val="fr-CH"/>
              </w:rPr>
              <w:t>es</w:t>
            </w:r>
            <w:r w:rsidR="00CC49DF" w:rsidRPr="00CC49DF">
              <w:rPr>
                <w:rFonts w:asciiTheme="majorBidi" w:hAnsiTheme="majorBidi" w:cstheme="majorBidi"/>
                <w:lang w:val="fr-CH"/>
              </w:rPr>
              <w:t xml:space="preserve"> co</w:t>
            </w:r>
            <w:r w:rsidR="00CC49DF">
              <w:rPr>
                <w:rFonts w:asciiTheme="majorBidi" w:hAnsiTheme="majorBidi" w:cstheme="majorBidi"/>
                <w:lang w:val="fr-CH"/>
              </w:rPr>
              <w:t>ûts salariaux standards)</w:t>
            </w:r>
          </w:p>
        </w:tc>
        <w:tc>
          <w:tcPr>
            <w:tcW w:w="4479" w:type="dxa"/>
          </w:tcPr>
          <w:p w14:paraId="6D7CCB9A" w14:textId="27D60776" w:rsidR="0059785C" w:rsidRPr="00710835" w:rsidRDefault="004A3543" w:rsidP="003133C3">
            <w:pPr>
              <w:pStyle w:val="Normalnumber"/>
              <w:numPr>
                <w:ilvl w:val="0"/>
                <w:numId w:val="0"/>
              </w:numPr>
              <w:rPr>
                <w:lang w:val="fr-CH"/>
              </w:rPr>
            </w:pPr>
            <w:r>
              <w:rPr>
                <w:rFonts w:asciiTheme="majorBidi" w:eastAsia="MS Mincho" w:hAnsiTheme="majorBidi" w:cstheme="majorBidi"/>
                <w:lang w:val="fr-CH"/>
              </w:rPr>
              <w:t>Les locaux du s</w:t>
            </w:r>
            <w:r w:rsidR="004B5DDB">
              <w:rPr>
                <w:rFonts w:asciiTheme="majorBidi" w:eastAsia="MS Mincho" w:hAnsiTheme="majorBidi" w:cstheme="majorBidi"/>
                <w:lang w:val="fr-CH"/>
              </w:rPr>
              <w:t>ecrétariat se trouveraient</w:t>
            </w:r>
            <w:r w:rsidR="00E115C6" w:rsidRPr="00E115C6">
              <w:rPr>
                <w:rFonts w:asciiTheme="majorBidi" w:eastAsia="MS Mincho" w:hAnsiTheme="majorBidi" w:cstheme="majorBidi"/>
                <w:lang w:val="fr-CH"/>
              </w:rPr>
              <w:t xml:space="preserve"> da</w:t>
            </w:r>
            <w:r w:rsidR="00E115C6">
              <w:rPr>
                <w:rFonts w:asciiTheme="majorBidi" w:eastAsia="MS Mincho" w:hAnsiTheme="majorBidi" w:cstheme="majorBidi"/>
                <w:lang w:val="fr-CH"/>
              </w:rPr>
              <w:t>ns la Maison internationale de l’</w:t>
            </w:r>
            <w:r w:rsidR="004B5DDB">
              <w:rPr>
                <w:rFonts w:asciiTheme="majorBidi" w:eastAsia="MS Mincho" w:hAnsiTheme="majorBidi" w:cstheme="majorBidi"/>
                <w:lang w:val="fr-CH"/>
              </w:rPr>
              <w:t xml:space="preserve">environnement, ce qui </w:t>
            </w:r>
            <w:r w:rsidR="00F56E48">
              <w:rPr>
                <w:rFonts w:asciiTheme="majorBidi" w:eastAsia="MS Mincho" w:hAnsiTheme="majorBidi" w:cstheme="majorBidi"/>
                <w:lang w:val="fr-CH"/>
              </w:rPr>
              <w:t xml:space="preserve">lui </w:t>
            </w:r>
            <w:r w:rsidR="004B5DDB">
              <w:rPr>
                <w:rFonts w:asciiTheme="majorBidi" w:eastAsia="MS Mincho" w:hAnsiTheme="majorBidi" w:cstheme="majorBidi"/>
                <w:lang w:val="fr-CH"/>
              </w:rPr>
              <w:t xml:space="preserve">permettrait de travailler en étroite coopération avec </w:t>
            </w:r>
            <w:r w:rsidR="00F56E48">
              <w:rPr>
                <w:rFonts w:asciiTheme="majorBidi" w:eastAsia="MS Mincho" w:hAnsiTheme="majorBidi" w:cstheme="majorBidi"/>
                <w:lang w:val="fr-CH"/>
              </w:rPr>
              <w:t>d’autres</w:t>
            </w:r>
            <w:r w:rsidR="004B5DDB">
              <w:rPr>
                <w:rFonts w:asciiTheme="majorBidi" w:eastAsia="MS Mincho" w:hAnsiTheme="majorBidi" w:cstheme="majorBidi"/>
                <w:lang w:val="fr-CH"/>
              </w:rPr>
              <w:t xml:space="preserve"> organismes </w:t>
            </w:r>
            <w:r w:rsidR="00680242">
              <w:rPr>
                <w:rFonts w:asciiTheme="majorBidi" w:eastAsia="MS Mincho" w:hAnsiTheme="majorBidi" w:cstheme="majorBidi"/>
                <w:lang w:val="fr-CH"/>
              </w:rPr>
              <w:t xml:space="preserve">appartenant au groupe </w:t>
            </w:r>
            <w:r w:rsidR="00F56E48">
              <w:rPr>
                <w:rFonts w:asciiTheme="majorBidi" w:eastAsia="MS Mincho" w:hAnsiTheme="majorBidi" w:cstheme="majorBidi"/>
                <w:lang w:val="fr-CH"/>
              </w:rPr>
              <w:t>des</w:t>
            </w:r>
            <w:r w:rsidR="00680242">
              <w:rPr>
                <w:rFonts w:asciiTheme="majorBidi" w:eastAsia="MS Mincho" w:hAnsiTheme="majorBidi" w:cstheme="majorBidi"/>
                <w:lang w:val="fr-CH"/>
              </w:rPr>
              <w:t> produits chimiques et déchets</w:t>
            </w:r>
            <w:r w:rsidR="00F56E48">
              <w:rPr>
                <w:rFonts w:asciiTheme="majorBidi" w:eastAsia="MS Mincho" w:hAnsiTheme="majorBidi" w:cstheme="majorBidi"/>
                <w:lang w:val="fr-CH"/>
              </w:rPr>
              <w:t>,</w:t>
            </w:r>
            <w:r>
              <w:rPr>
                <w:rFonts w:asciiTheme="majorBidi" w:eastAsia="MS Mincho" w:hAnsiTheme="majorBidi" w:cstheme="majorBidi"/>
                <w:lang w:val="fr-CH"/>
              </w:rPr>
              <w:t xml:space="preserve"> notamment le Service « substances</w:t>
            </w:r>
            <w:r w:rsidR="00F56E48">
              <w:rPr>
                <w:rFonts w:asciiTheme="majorBidi" w:eastAsia="MS Mincho" w:hAnsiTheme="majorBidi" w:cstheme="majorBidi"/>
                <w:lang w:val="fr-CH"/>
              </w:rPr>
              <w:t xml:space="preserve"> chimiques et santé », plus particulièrement le </w:t>
            </w:r>
            <w:r w:rsidR="00191347">
              <w:rPr>
                <w:rFonts w:asciiTheme="majorBidi" w:eastAsia="MS Mincho" w:hAnsiTheme="majorBidi" w:cstheme="majorBidi"/>
                <w:lang w:val="fr-CH"/>
              </w:rPr>
              <w:t>Partenariat mondial sur le mercure</w:t>
            </w:r>
            <w:r w:rsidR="003704B5">
              <w:rPr>
                <w:rFonts w:asciiTheme="majorBidi" w:eastAsia="MS Mincho" w:hAnsiTheme="majorBidi" w:cstheme="majorBidi"/>
                <w:lang w:val="fr-CH"/>
              </w:rPr>
              <w:t xml:space="preserve"> du PNUE</w:t>
            </w:r>
            <w:r>
              <w:rPr>
                <w:rFonts w:asciiTheme="majorBidi" w:eastAsia="MS Mincho" w:hAnsiTheme="majorBidi" w:cstheme="majorBidi"/>
                <w:lang w:val="fr-CH"/>
              </w:rPr>
              <w:t>, le S</w:t>
            </w:r>
            <w:r w:rsidR="00191347">
              <w:rPr>
                <w:rFonts w:asciiTheme="majorBidi" w:eastAsia="MS Mincho" w:hAnsiTheme="majorBidi" w:cstheme="majorBidi"/>
                <w:lang w:val="fr-CH"/>
              </w:rPr>
              <w:t xml:space="preserve">ecrétariat des conventions de Bâle, de Rotterdam et de Stockholm et le secrétariat de </w:t>
            </w:r>
            <w:r w:rsidR="00191347" w:rsidRPr="00191347">
              <w:rPr>
                <w:lang w:val="fr-CH"/>
              </w:rPr>
              <w:t>l’Approche stratégique de la gestion internationale des produits chimiques</w:t>
            </w:r>
            <w:r w:rsidR="003704B5">
              <w:rPr>
                <w:lang w:val="fr-CH"/>
              </w:rPr>
              <w:t>. En outre, à des fins d</w:t>
            </w:r>
            <w:r w:rsidR="00F84C8C">
              <w:rPr>
                <w:lang w:val="fr-CH"/>
              </w:rPr>
              <w:t>e mise en œuvre</w:t>
            </w:r>
            <w:r w:rsidR="003704B5">
              <w:rPr>
                <w:lang w:val="fr-CH"/>
              </w:rPr>
              <w:t>, Genè</w:t>
            </w:r>
            <w:r w:rsidR="007C4F8F">
              <w:rPr>
                <w:lang w:val="fr-CH"/>
              </w:rPr>
              <w:t>ve héberge le B</w:t>
            </w:r>
            <w:r w:rsidR="003704B5">
              <w:rPr>
                <w:lang w:val="fr-CH"/>
              </w:rPr>
              <w:t xml:space="preserve">ureau régional </w:t>
            </w:r>
            <w:r w:rsidR="007C4F8F">
              <w:rPr>
                <w:lang w:val="fr-CH"/>
              </w:rPr>
              <w:t xml:space="preserve">du PNUE </w:t>
            </w:r>
            <w:r w:rsidR="003704B5">
              <w:rPr>
                <w:lang w:val="fr-CH"/>
              </w:rPr>
              <w:t>pour l’</w:t>
            </w:r>
            <w:r w:rsidR="005C4FDB">
              <w:rPr>
                <w:lang w:val="fr-CH"/>
              </w:rPr>
              <w:t>Europ</w:t>
            </w:r>
            <w:r w:rsidR="00553FB8">
              <w:rPr>
                <w:lang w:val="fr-CH"/>
              </w:rPr>
              <w:t>e</w:t>
            </w:r>
            <w:r>
              <w:rPr>
                <w:lang w:val="fr-CH"/>
              </w:rPr>
              <w:t>, le siège mondial de l’Organisation mondiale de la S</w:t>
            </w:r>
            <w:r w:rsidR="0004553D">
              <w:rPr>
                <w:lang w:val="fr-CH"/>
              </w:rPr>
              <w:t xml:space="preserve">anté, l’Organisation </w:t>
            </w:r>
            <w:r w:rsidR="00553FB8">
              <w:rPr>
                <w:lang w:val="fr-CH"/>
              </w:rPr>
              <w:t xml:space="preserve">internationale </w:t>
            </w:r>
            <w:r w:rsidR="001E2B00">
              <w:rPr>
                <w:lang w:val="fr-CH"/>
              </w:rPr>
              <w:t>du T</w:t>
            </w:r>
            <w:r w:rsidR="0004553D">
              <w:rPr>
                <w:lang w:val="fr-CH"/>
              </w:rPr>
              <w:t>ravail, l’Institut</w:t>
            </w:r>
            <w:r w:rsidR="00496DCA">
              <w:rPr>
                <w:lang w:val="fr-CH"/>
              </w:rPr>
              <w:t xml:space="preserve"> des Nations Unies pour la formation et la recherche et l’Org</w:t>
            </w:r>
            <w:r w:rsidR="00751051">
              <w:rPr>
                <w:lang w:val="fr-CH"/>
              </w:rPr>
              <w:t>anisation mondiale du commerce</w:t>
            </w:r>
            <w:r>
              <w:rPr>
                <w:lang w:val="fr-CH"/>
              </w:rPr>
              <w:t xml:space="preserve">. </w:t>
            </w:r>
            <w:r w:rsidR="00C70D60">
              <w:rPr>
                <w:lang w:val="fr-CH"/>
              </w:rPr>
              <w:t>L’Office des Nations Unies à Genève,</w:t>
            </w:r>
            <w:r>
              <w:rPr>
                <w:lang w:val="fr-CH"/>
              </w:rPr>
              <w:t xml:space="preserve"> qui est l’un des sièges de l’Organisation des Nations Unies,</w:t>
            </w:r>
            <w:r w:rsidR="00C70D60">
              <w:rPr>
                <w:lang w:val="fr-CH"/>
              </w:rPr>
              <w:t xml:space="preserve"> la Commission économique pour l’</w:t>
            </w:r>
            <w:r w:rsidR="001A7DC4">
              <w:rPr>
                <w:lang w:val="fr-CH"/>
              </w:rPr>
              <w:t>Europe et</w:t>
            </w:r>
            <w:r w:rsidR="00C70D60">
              <w:rPr>
                <w:lang w:val="fr-CH"/>
              </w:rPr>
              <w:t xml:space="preserve"> de nombreuses autres </w:t>
            </w:r>
            <w:r>
              <w:rPr>
                <w:lang w:val="fr-CH"/>
              </w:rPr>
              <w:t xml:space="preserve">organisation </w:t>
            </w:r>
            <w:r w:rsidR="00C70D60">
              <w:rPr>
                <w:lang w:val="fr-CH"/>
              </w:rPr>
              <w:t xml:space="preserve">intergouvernementales </w:t>
            </w:r>
            <w:r w:rsidR="009C1369">
              <w:rPr>
                <w:lang w:val="fr-CH"/>
              </w:rPr>
              <w:t xml:space="preserve">et </w:t>
            </w:r>
            <w:r w:rsidR="00C70D60">
              <w:rPr>
                <w:lang w:val="fr-CH"/>
              </w:rPr>
              <w:t>non gouvernement</w:t>
            </w:r>
            <w:r w:rsidR="001A7DC4">
              <w:rPr>
                <w:lang w:val="fr-CH"/>
              </w:rPr>
              <w:t>ales</w:t>
            </w:r>
            <w:r>
              <w:rPr>
                <w:lang w:val="fr-CH"/>
              </w:rPr>
              <w:t xml:space="preserve"> et associations</w:t>
            </w:r>
            <w:r w:rsidR="001A7DC4">
              <w:rPr>
                <w:lang w:val="fr-CH"/>
              </w:rPr>
              <w:t xml:space="preserve"> se trouvent également à Genève. La présence des missions permanentes</w:t>
            </w:r>
            <w:r w:rsidR="007A45E0">
              <w:rPr>
                <w:lang w:val="fr-CH"/>
              </w:rPr>
              <w:t>– qui disposent souvent d’une expertise en matière de produits chimique</w:t>
            </w:r>
            <w:r w:rsidR="001E2B00">
              <w:rPr>
                <w:lang w:val="fr-CH"/>
              </w:rPr>
              <w:t>s</w:t>
            </w:r>
            <w:r w:rsidR="007A45E0">
              <w:rPr>
                <w:lang w:val="fr-CH"/>
              </w:rPr>
              <w:t xml:space="preserve"> et de déchets – fournit également l’occasion d’organiser des </w:t>
            </w:r>
            <w:r w:rsidR="00710835">
              <w:rPr>
                <w:lang w:val="fr-CH"/>
              </w:rPr>
              <w:lastRenderedPageBreak/>
              <w:t>réunion</w:t>
            </w:r>
            <w:r w:rsidR="007A45E0">
              <w:rPr>
                <w:lang w:val="fr-CH"/>
              </w:rPr>
              <w:t>s d’information</w:t>
            </w:r>
            <w:r w:rsidR="001D5071">
              <w:rPr>
                <w:lang w:val="fr-CH"/>
              </w:rPr>
              <w:t>s</w:t>
            </w:r>
            <w:r w:rsidR="007A45E0">
              <w:rPr>
                <w:lang w:val="fr-CH"/>
              </w:rPr>
              <w:t xml:space="preserve"> communes dans ce domaine. </w:t>
            </w:r>
            <w:r w:rsidR="00710835">
              <w:rPr>
                <w:lang w:val="fr-CH"/>
              </w:rPr>
              <w:t>Enfin, Genève dispose d</w:t>
            </w:r>
            <w:r w:rsidR="003133C3">
              <w:rPr>
                <w:lang w:val="fr-CH"/>
              </w:rPr>
              <w:t>’</w:t>
            </w:r>
            <w:r w:rsidR="00710835">
              <w:rPr>
                <w:lang w:val="fr-CH"/>
              </w:rPr>
              <w:t>installations de conférence</w:t>
            </w:r>
            <w:r w:rsidR="003133C3">
              <w:rPr>
                <w:lang w:val="fr-CH"/>
              </w:rPr>
              <w:t xml:space="preserve"> adaptées</w:t>
            </w:r>
            <w:r w:rsidR="00710835">
              <w:rPr>
                <w:lang w:val="fr-CH"/>
              </w:rPr>
              <w:t xml:space="preserve"> au sein des locaux des Nations Unies.</w:t>
            </w:r>
          </w:p>
        </w:tc>
        <w:tc>
          <w:tcPr>
            <w:tcW w:w="2955" w:type="dxa"/>
          </w:tcPr>
          <w:p w14:paraId="43949C81" w14:textId="4FB76FD9" w:rsidR="005F007D" w:rsidRPr="00CD608A" w:rsidRDefault="005F007D" w:rsidP="005F007D">
            <w:pPr>
              <w:pStyle w:val="Normalnumber"/>
              <w:numPr>
                <w:ilvl w:val="0"/>
                <w:numId w:val="0"/>
              </w:numPr>
              <w:rPr>
                <w:rFonts w:asciiTheme="majorBidi" w:eastAsia="MS Mincho" w:hAnsiTheme="majorBidi" w:cstheme="majorBidi"/>
                <w:lang w:val="fr-CH"/>
              </w:rPr>
            </w:pPr>
            <w:r w:rsidRPr="00CD608A">
              <w:rPr>
                <w:rFonts w:asciiTheme="majorBidi" w:eastAsia="MS Mincho" w:hAnsiTheme="majorBidi" w:cstheme="majorBidi"/>
                <w:lang w:val="fr-CH"/>
              </w:rPr>
              <w:lastRenderedPageBreak/>
              <w:t xml:space="preserve">Les </w:t>
            </w:r>
            <w:r w:rsidR="00CF0721">
              <w:rPr>
                <w:rFonts w:asciiTheme="majorBidi" w:eastAsia="MS Mincho" w:hAnsiTheme="majorBidi" w:cstheme="majorBidi"/>
                <w:lang w:val="fr-CH"/>
              </w:rPr>
              <w:t>dépenses de personnel</w:t>
            </w:r>
            <w:r w:rsidRPr="00CD608A">
              <w:rPr>
                <w:rFonts w:asciiTheme="majorBidi" w:eastAsia="MS Mincho" w:hAnsiTheme="majorBidi" w:cstheme="majorBidi"/>
                <w:lang w:val="fr-CH"/>
              </w:rPr>
              <w:t xml:space="preserve"> pour cette option s’élèvent à </w:t>
            </w:r>
            <w:r w:rsidR="007F089B">
              <w:rPr>
                <w:rFonts w:asciiTheme="majorBidi" w:eastAsia="MS Mincho" w:hAnsiTheme="majorBidi" w:cstheme="majorBidi"/>
                <w:b/>
                <w:bCs/>
                <w:lang w:val="fr-CH"/>
              </w:rPr>
              <w:t>3 233 709 </w:t>
            </w:r>
            <w:r>
              <w:rPr>
                <w:rFonts w:asciiTheme="majorBidi" w:eastAsia="MS Mincho" w:hAnsiTheme="majorBidi" w:cstheme="majorBidi"/>
                <w:b/>
                <w:bCs/>
                <w:lang w:val="fr-CH"/>
              </w:rPr>
              <w:t>dollars par an</w:t>
            </w:r>
            <w:r w:rsidRPr="00CD608A">
              <w:rPr>
                <w:rFonts w:asciiTheme="majorBidi" w:eastAsia="MS Mincho" w:hAnsiTheme="majorBidi" w:cstheme="majorBidi"/>
                <w:lang w:val="fr-CH"/>
              </w:rPr>
              <w:t xml:space="preserve"> (</w:t>
            </w:r>
            <w:r>
              <w:rPr>
                <w:rFonts w:asciiTheme="majorBidi" w:eastAsia="MS Mincho" w:hAnsiTheme="majorBidi" w:cstheme="majorBidi"/>
                <w:lang w:val="fr-CH"/>
              </w:rPr>
              <w:t>voir a</w:t>
            </w:r>
            <w:r w:rsidR="00013AB2">
              <w:rPr>
                <w:rFonts w:asciiTheme="majorBidi" w:eastAsia="MS Mincho" w:hAnsiTheme="majorBidi" w:cstheme="majorBidi"/>
                <w:lang w:val="fr-CH"/>
              </w:rPr>
              <w:t>ppendic</w:t>
            </w:r>
            <w:r w:rsidR="00651E3B">
              <w:rPr>
                <w:rFonts w:asciiTheme="majorBidi" w:eastAsia="MS Mincho" w:hAnsiTheme="majorBidi" w:cstheme="majorBidi"/>
                <w:lang w:val="fr-CH"/>
              </w:rPr>
              <w:t>e II, tableaux </w:t>
            </w:r>
            <w:r>
              <w:rPr>
                <w:rFonts w:asciiTheme="majorBidi" w:eastAsia="MS Mincho" w:hAnsiTheme="majorBidi" w:cstheme="majorBidi"/>
                <w:lang w:val="fr-CH"/>
              </w:rPr>
              <w:t>2 et 3).</w:t>
            </w:r>
          </w:p>
          <w:p w14:paraId="4C483BFF" w14:textId="734E88BE" w:rsidR="005F007D" w:rsidRPr="00EA488F" w:rsidRDefault="005F007D" w:rsidP="005F007D">
            <w:pPr>
              <w:pStyle w:val="Normalnumber"/>
              <w:numPr>
                <w:ilvl w:val="0"/>
                <w:numId w:val="0"/>
              </w:numPr>
              <w:rPr>
                <w:rFonts w:asciiTheme="majorBidi" w:eastAsia="MS Mincho" w:hAnsiTheme="majorBidi" w:cstheme="majorBidi"/>
                <w:lang w:val="fr-CH"/>
              </w:rPr>
            </w:pPr>
            <w:r>
              <w:rPr>
                <w:rFonts w:asciiTheme="majorBidi" w:eastAsia="MS Mincho" w:hAnsiTheme="majorBidi" w:cstheme="majorBidi"/>
                <w:lang w:val="fr-CH"/>
              </w:rPr>
              <w:t xml:space="preserve">De plus, comme indiqué dans </w:t>
            </w:r>
            <w:r w:rsidRPr="00EA488F">
              <w:rPr>
                <w:rFonts w:asciiTheme="majorBidi" w:eastAsia="MS Mincho" w:hAnsiTheme="majorBidi" w:cstheme="majorBidi"/>
                <w:lang w:val="fr-CH"/>
              </w:rPr>
              <w:t>l</w:t>
            </w:r>
            <w:r w:rsidR="00651E3B">
              <w:rPr>
                <w:rFonts w:asciiTheme="majorBidi" w:eastAsia="MS Mincho" w:hAnsiTheme="majorBidi" w:cstheme="majorBidi"/>
                <w:lang w:val="fr-CH"/>
              </w:rPr>
              <w:t>e tableau </w:t>
            </w:r>
            <w:r w:rsidR="002128C1">
              <w:rPr>
                <w:rFonts w:asciiTheme="majorBidi" w:eastAsia="MS Mincho" w:hAnsiTheme="majorBidi" w:cstheme="majorBidi"/>
                <w:lang w:val="fr-CH"/>
              </w:rPr>
              <w:t>4 de l’appendice</w:t>
            </w:r>
            <w:r w:rsidR="00651E3B">
              <w:rPr>
                <w:rFonts w:asciiTheme="majorBidi" w:eastAsia="MS Mincho" w:hAnsiTheme="majorBidi" w:cstheme="majorBidi"/>
                <w:lang w:val="fr-CH"/>
              </w:rPr>
              <w:t> </w:t>
            </w:r>
            <w:r w:rsidRPr="00EA488F">
              <w:rPr>
                <w:rFonts w:asciiTheme="majorBidi" w:eastAsia="MS Mincho" w:hAnsiTheme="majorBidi" w:cstheme="majorBidi"/>
                <w:lang w:val="fr-CH"/>
              </w:rPr>
              <w:t>II</w:t>
            </w:r>
            <w:r w:rsidR="00651E3B">
              <w:rPr>
                <w:rFonts w:asciiTheme="majorBidi" w:eastAsia="MS Mincho" w:hAnsiTheme="majorBidi" w:cstheme="majorBidi"/>
                <w:lang w:val="fr-CH"/>
              </w:rPr>
              <w:t> </w:t>
            </w:r>
            <w:r w:rsidRPr="00EA488F">
              <w:rPr>
                <w:rFonts w:asciiTheme="majorBidi" w:eastAsia="MS Mincho" w:hAnsiTheme="majorBidi" w:cstheme="majorBidi"/>
                <w:lang w:val="fr-CH"/>
              </w:rPr>
              <w:t xml:space="preserve">: </w:t>
            </w:r>
          </w:p>
          <w:p w14:paraId="18B579D1" w14:textId="67F85ABD" w:rsidR="003C54B3" w:rsidRPr="003C54B3" w:rsidRDefault="003C54B3" w:rsidP="00AB20E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d</w:t>
            </w:r>
            <w:r w:rsidRPr="00596E76">
              <w:rPr>
                <w:rFonts w:asciiTheme="majorBidi" w:eastAsia="MS Mincho" w:hAnsiTheme="majorBidi" w:cstheme="majorBidi"/>
                <w:lang w:val="fr-CH"/>
              </w:rPr>
              <w:t>épe</w:t>
            </w:r>
            <w:r w:rsidR="00013AB2">
              <w:rPr>
                <w:rFonts w:asciiTheme="majorBidi" w:eastAsia="MS Mincho" w:hAnsiTheme="majorBidi" w:cstheme="majorBidi"/>
                <w:lang w:val="fr-CH"/>
              </w:rPr>
              <w:t>nses de fonctionnement du s</w:t>
            </w:r>
            <w:r>
              <w:rPr>
                <w:rFonts w:asciiTheme="majorBidi" w:eastAsia="MS Mincho" w:hAnsiTheme="majorBidi" w:cstheme="majorBidi"/>
                <w:lang w:val="fr-CH"/>
              </w:rPr>
              <w:t>ecrétariat dans ce lie</w:t>
            </w:r>
            <w:r w:rsidR="00651E3B">
              <w:rPr>
                <w:rFonts w:asciiTheme="majorBidi" w:eastAsia="MS Mincho" w:hAnsiTheme="majorBidi" w:cstheme="majorBidi"/>
                <w:lang w:val="fr-CH"/>
              </w:rPr>
              <w:t>u d’implantation est de 200 000 </w:t>
            </w:r>
            <w:r>
              <w:rPr>
                <w:rFonts w:asciiTheme="majorBidi" w:eastAsia="MS Mincho" w:hAnsiTheme="majorBidi" w:cstheme="majorBidi"/>
                <w:lang w:val="fr-CH"/>
              </w:rPr>
              <w:t>dollars par an;</w:t>
            </w:r>
          </w:p>
          <w:p w14:paraId="38F2DE45" w14:textId="1C9A9B57" w:rsidR="0094609D" w:rsidRDefault="003C54B3" w:rsidP="00AB20E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coûts</w:t>
            </w:r>
            <w:r w:rsidR="0094609D">
              <w:rPr>
                <w:rFonts w:asciiTheme="majorBidi" w:eastAsia="MS Mincho" w:hAnsiTheme="majorBidi" w:cstheme="majorBidi"/>
                <w:lang w:val="fr-CH"/>
              </w:rPr>
              <w:t xml:space="preserve"> </w:t>
            </w:r>
            <w:r w:rsidR="006B7E1B">
              <w:rPr>
                <w:rFonts w:asciiTheme="majorBidi" w:eastAsia="MS Mincho" w:hAnsiTheme="majorBidi" w:cstheme="majorBidi"/>
                <w:lang w:val="fr-CH"/>
              </w:rPr>
              <w:t>d’organisation de</w:t>
            </w:r>
            <w:r w:rsidR="0094609D">
              <w:rPr>
                <w:rFonts w:asciiTheme="majorBidi" w:eastAsia="MS Mincho" w:hAnsiTheme="majorBidi" w:cstheme="majorBidi"/>
                <w:lang w:val="fr-CH"/>
              </w:rPr>
              <w:t xml:space="preserve"> chaque réunion de la </w:t>
            </w:r>
            <w:r>
              <w:rPr>
                <w:rFonts w:asciiTheme="majorBidi" w:eastAsia="MS Mincho" w:hAnsiTheme="majorBidi" w:cstheme="majorBidi"/>
                <w:lang w:val="fr-CH"/>
              </w:rPr>
              <w:t>Conférence des Parties</w:t>
            </w:r>
            <w:r w:rsidR="0094609D">
              <w:rPr>
                <w:rFonts w:asciiTheme="majorBidi" w:eastAsia="MS Mincho" w:hAnsiTheme="majorBidi" w:cstheme="majorBidi"/>
                <w:lang w:val="fr-CH"/>
              </w:rPr>
              <w:t xml:space="preserve"> dans ce lieu d’implantation</w:t>
            </w:r>
            <w:r>
              <w:rPr>
                <w:rFonts w:asciiTheme="majorBidi" w:eastAsia="MS Mincho" w:hAnsiTheme="majorBidi" w:cstheme="majorBidi"/>
                <w:lang w:val="fr-CH"/>
              </w:rPr>
              <w:t xml:space="preserve"> est de </w:t>
            </w:r>
            <w:r w:rsidR="00651E3B">
              <w:rPr>
                <w:rFonts w:asciiTheme="majorBidi" w:eastAsia="MS Mincho" w:hAnsiTheme="majorBidi" w:cstheme="majorBidi"/>
                <w:lang w:val="fr-CH"/>
              </w:rPr>
              <w:t>1 300 000 </w:t>
            </w:r>
            <w:r w:rsidR="003278FE">
              <w:rPr>
                <w:rFonts w:asciiTheme="majorBidi" w:eastAsia="MS Mincho" w:hAnsiTheme="majorBidi" w:cstheme="majorBidi"/>
                <w:lang w:val="fr-CH"/>
              </w:rPr>
              <w:t>dollars;</w:t>
            </w:r>
          </w:p>
          <w:p w14:paraId="0D3DEB1E" w14:textId="44DBDC73" w:rsidR="003C54B3" w:rsidRPr="003C54B3" w:rsidRDefault="0094609D" w:rsidP="00AB20E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w:t>
            </w:r>
            <w:r w:rsidRPr="00603BE8">
              <w:rPr>
                <w:rFonts w:asciiTheme="majorBidi" w:eastAsia="MS Mincho" w:hAnsiTheme="majorBidi" w:cstheme="majorBidi"/>
                <w:lang w:val="fr-CH"/>
              </w:rPr>
              <w:t>es frais de voyage pour les délégués</w:t>
            </w:r>
            <w:r>
              <w:rPr>
                <w:rFonts w:asciiTheme="majorBidi" w:eastAsia="MS Mincho" w:hAnsiTheme="majorBidi" w:cstheme="majorBidi"/>
                <w:lang w:val="fr-CH"/>
              </w:rPr>
              <w:t xml:space="preserve"> techniques</w:t>
            </w:r>
            <w:r w:rsidR="00013AB2">
              <w:rPr>
                <w:rFonts w:asciiTheme="majorBidi" w:eastAsia="MS Mincho" w:hAnsiTheme="majorBidi" w:cstheme="majorBidi"/>
                <w:lang w:val="fr-CH"/>
              </w:rPr>
              <w:t xml:space="preserve"> bénéficiant d’un financement</w:t>
            </w:r>
            <w:r>
              <w:rPr>
                <w:rFonts w:asciiTheme="majorBidi" w:eastAsia="MS Mincho" w:hAnsiTheme="majorBidi" w:cstheme="majorBidi"/>
                <w:lang w:val="fr-CH"/>
              </w:rPr>
              <w:t xml:space="preserve"> qui participent à une réunion de la Conférence des Parties à </w:t>
            </w:r>
            <w:r w:rsidR="00E115C6">
              <w:rPr>
                <w:rFonts w:asciiTheme="majorBidi" w:eastAsia="MS Mincho" w:hAnsiTheme="majorBidi" w:cstheme="majorBidi"/>
                <w:lang w:val="fr-CH"/>
              </w:rPr>
              <w:t>Genève</w:t>
            </w:r>
            <w:r>
              <w:rPr>
                <w:rFonts w:asciiTheme="majorBidi" w:eastAsia="MS Mincho" w:hAnsiTheme="majorBidi" w:cstheme="majorBidi"/>
                <w:lang w:val="fr-CH"/>
              </w:rPr>
              <w:t xml:space="preserve"> </w:t>
            </w:r>
            <w:r w:rsidR="00CF0721">
              <w:rPr>
                <w:rFonts w:asciiTheme="majorBidi" w:eastAsia="MS Mincho" w:hAnsiTheme="majorBidi" w:cstheme="majorBidi"/>
                <w:lang w:val="fr-CH"/>
              </w:rPr>
              <w:t>sont estimés</w:t>
            </w:r>
            <w:r w:rsidR="00DB3053">
              <w:rPr>
                <w:rFonts w:asciiTheme="majorBidi" w:eastAsia="MS Mincho" w:hAnsiTheme="majorBidi" w:cstheme="majorBidi"/>
                <w:lang w:val="fr-CH"/>
              </w:rPr>
              <w:t xml:space="preserve"> à</w:t>
            </w:r>
            <w:r w:rsidR="00651E3B">
              <w:rPr>
                <w:rFonts w:asciiTheme="majorBidi" w:eastAsia="MS Mincho" w:hAnsiTheme="majorBidi" w:cstheme="majorBidi"/>
                <w:lang w:val="fr-CH"/>
              </w:rPr>
              <w:t xml:space="preserve"> 850 000 </w:t>
            </w:r>
            <w:r w:rsidR="00E115C6">
              <w:rPr>
                <w:rFonts w:asciiTheme="majorBidi" w:eastAsia="MS Mincho" w:hAnsiTheme="majorBidi" w:cstheme="majorBidi"/>
                <w:lang w:val="fr-CH"/>
              </w:rPr>
              <w:t>dollars</w:t>
            </w:r>
            <w:r w:rsidR="00DB3053">
              <w:rPr>
                <w:rFonts w:asciiTheme="majorBidi" w:eastAsia="MS Mincho" w:hAnsiTheme="majorBidi" w:cstheme="majorBidi"/>
                <w:lang w:val="fr-CH"/>
              </w:rPr>
              <w:t xml:space="preserve"> environ</w:t>
            </w:r>
            <w:r w:rsidR="00E115C6">
              <w:rPr>
                <w:rFonts w:asciiTheme="majorBidi" w:eastAsia="MS Mincho" w:hAnsiTheme="majorBidi" w:cstheme="majorBidi"/>
                <w:lang w:val="fr-CH"/>
              </w:rPr>
              <w:t>.</w:t>
            </w:r>
          </w:p>
          <w:p w14:paraId="6793A9E8" w14:textId="77777777" w:rsidR="0059785C" w:rsidRPr="003278FE" w:rsidRDefault="0059785C" w:rsidP="00E115C6">
            <w:pPr>
              <w:pStyle w:val="Normalnumber"/>
              <w:numPr>
                <w:ilvl w:val="0"/>
                <w:numId w:val="0"/>
              </w:numPr>
              <w:rPr>
                <w:rFonts w:asciiTheme="majorBidi" w:hAnsiTheme="majorBidi" w:cstheme="majorBidi"/>
                <w:lang w:val="fr-CH"/>
              </w:rPr>
            </w:pPr>
          </w:p>
        </w:tc>
      </w:tr>
      <w:tr w:rsidR="0059785C" w:rsidRPr="00A84D20" w14:paraId="2CD67FAD" w14:textId="77777777" w:rsidTr="006F64C0">
        <w:tc>
          <w:tcPr>
            <w:tcW w:w="1428" w:type="dxa"/>
          </w:tcPr>
          <w:p w14:paraId="7AE580AA" w14:textId="77777777" w:rsidR="0059785C" w:rsidRPr="000332FD" w:rsidRDefault="0059785C" w:rsidP="00AB20EE">
            <w:pPr>
              <w:rPr>
                <w:rFonts w:asciiTheme="majorBidi" w:hAnsiTheme="majorBidi" w:cstheme="majorBidi"/>
                <w:b/>
                <w:bCs/>
                <w:lang w:val="fr-CH"/>
              </w:rPr>
            </w:pPr>
            <w:r w:rsidRPr="000332FD">
              <w:rPr>
                <w:rFonts w:asciiTheme="majorBidi" w:hAnsiTheme="majorBidi" w:cstheme="majorBidi"/>
                <w:b/>
                <w:bCs/>
                <w:lang w:val="fr-CH"/>
              </w:rPr>
              <w:t>Nairobi</w:t>
            </w:r>
          </w:p>
          <w:p w14:paraId="518601E7" w14:textId="7F2E9CE3" w:rsidR="0059785C" w:rsidRPr="00710835" w:rsidRDefault="00C2225F" w:rsidP="007428DB">
            <w:pPr>
              <w:rPr>
                <w:rFonts w:asciiTheme="majorBidi" w:hAnsiTheme="majorBidi" w:cstheme="majorBidi"/>
                <w:lang w:val="fr-CH"/>
              </w:rPr>
            </w:pPr>
            <w:r w:rsidRPr="00710835">
              <w:rPr>
                <w:rFonts w:asciiTheme="majorBidi" w:hAnsiTheme="majorBidi" w:cstheme="majorBidi"/>
                <w:lang w:val="fr-CH"/>
              </w:rPr>
              <w:t>(</w:t>
            </w:r>
            <w:r w:rsidR="007428DB">
              <w:rPr>
                <w:rFonts w:asciiTheme="majorBidi" w:hAnsiTheme="majorBidi" w:cstheme="majorBidi"/>
                <w:lang w:val="fr-CH"/>
              </w:rPr>
              <w:t>sur la base d</w:t>
            </w:r>
            <w:r w:rsidR="00710835" w:rsidRPr="00710835">
              <w:rPr>
                <w:rFonts w:asciiTheme="majorBidi" w:hAnsiTheme="majorBidi" w:cstheme="majorBidi"/>
                <w:lang w:val="fr-CH"/>
              </w:rPr>
              <w:t xml:space="preserve">es coûts salariaux </w:t>
            </w:r>
            <w:r w:rsidR="007428DB">
              <w:rPr>
                <w:rFonts w:asciiTheme="majorBidi" w:hAnsiTheme="majorBidi" w:cstheme="majorBidi"/>
                <w:lang w:val="fr-CH"/>
              </w:rPr>
              <w:t>standards</w:t>
            </w:r>
            <w:r w:rsidRPr="00710835">
              <w:rPr>
                <w:rFonts w:asciiTheme="majorBidi" w:hAnsiTheme="majorBidi" w:cstheme="majorBidi"/>
                <w:lang w:val="fr-CH"/>
              </w:rPr>
              <w:t>)</w:t>
            </w:r>
          </w:p>
        </w:tc>
        <w:tc>
          <w:tcPr>
            <w:tcW w:w="4479" w:type="dxa"/>
          </w:tcPr>
          <w:p w14:paraId="4A76756F" w14:textId="540AE71E" w:rsidR="00C50047" w:rsidRPr="00C50047" w:rsidRDefault="00C50047" w:rsidP="00AB20EE">
            <w:pPr>
              <w:pStyle w:val="Normalnumber"/>
              <w:numPr>
                <w:ilvl w:val="0"/>
                <w:numId w:val="0"/>
              </w:numPr>
              <w:rPr>
                <w:rFonts w:eastAsia="MS Mincho"/>
                <w:lang w:val="fr-CH"/>
              </w:rPr>
            </w:pPr>
            <w:r>
              <w:rPr>
                <w:rFonts w:eastAsia="MS Mincho"/>
                <w:lang w:val="fr-CH"/>
              </w:rPr>
              <w:t xml:space="preserve">Nairobi, qui abrite le </w:t>
            </w:r>
            <w:r w:rsidRPr="00C50047">
              <w:rPr>
                <w:rFonts w:eastAsia="MS Mincho"/>
                <w:lang w:val="fr-CH"/>
              </w:rPr>
              <w:t>siège du PNUE</w:t>
            </w:r>
            <w:r>
              <w:rPr>
                <w:rFonts w:eastAsia="MS Mincho"/>
                <w:lang w:val="fr-CH"/>
              </w:rPr>
              <w:t>, fournit l’occasion de travailler en étroite coopération avec</w:t>
            </w:r>
            <w:r w:rsidR="00C145EA">
              <w:rPr>
                <w:rFonts w:eastAsia="MS Mincho"/>
                <w:lang w:val="fr-CH"/>
              </w:rPr>
              <w:t xml:space="preserve"> d’autres </w:t>
            </w:r>
            <w:r w:rsidR="001263AD">
              <w:rPr>
                <w:rFonts w:eastAsia="MS Mincho"/>
                <w:lang w:val="fr-CH"/>
              </w:rPr>
              <w:t xml:space="preserve">domaines d’activité de l’organisation </w:t>
            </w:r>
            <w:r w:rsidR="00C145EA">
              <w:rPr>
                <w:rFonts w:eastAsia="MS Mincho"/>
                <w:lang w:val="fr-CH"/>
              </w:rPr>
              <w:t xml:space="preserve">et de </w:t>
            </w:r>
            <w:r w:rsidR="001263AD">
              <w:rPr>
                <w:rFonts w:eastAsia="MS Mincho"/>
                <w:lang w:val="fr-CH"/>
              </w:rPr>
              <w:t>bénéfici</w:t>
            </w:r>
            <w:r w:rsidR="00C145EA">
              <w:rPr>
                <w:rFonts w:eastAsia="MS Mincho"/>
                <w:lang w:val="fr-CH"/>
              </w:rPr>
              <w:t>er de leur appui</w:t>
            </w:r>
            <w:r w:rsidR="001263AD">
              <w:rPr>
                <w:rFonts w:eastAsia="MS Mincho"/>
                <w:lang w:val="fr-CH"/>
              </w:rPr>
              <w:t>, en particulier la Division des services internes, la Division du droit</w:t>
            </w:r>
            <w:r w:rsidR="00043547">
              <w:rPr>
                <w:rFonts w:eastAsia="MS Mincho"/>
                <w:lang w:val="fr-CH"/>
              </w:rPr>
              <w:t xml:space="preserve">, la Division </w:t>
            </w:r>
            <w:r w:rsidR="00CF0721">
              <w:rPr>
                <w:rFonts w:eastAsia="MS Mincho"/>
                <w:lang w:val="fr-CH"/>
              </w:rPr>
              <w:t>scientifique</w:t>
            </w:r>
            <w:r w:rsidR="00043547">
              <w:rPr>
                <w:rFonts w:eastAsia="MS Mincho"/>
                <w:lang w:val="fr-CH"/>
              </w:rPr>
              <w:t>, la Division des écosystèmes</w:t>
            </w:r>
            <w:r w:rsidR="00CF0721">
              <w:rPr>
                <w:rFonts w:eastAsia="MS Mincho"/>
                <w:lang w:val="fr-CH"/>
              </w:rPr>
              <w:t xml:space="preserve"> et la Division de la</w:t>
            </w:r>
            <w:r w:rsidR="00043547">
              <w:rPr>
                <w:rFonts w:eastAsia="MS Mincho"/>
                <w:lang w:val="fr-CH"/>
              </w:rPr>
              <w:t xml:space="preserve"> communication. </w:t>
            </w:r>
            <w:r w:rsidR="00E448CD">
              <w:rPr>
                <w:rFonts w:eastAsia="MS Mincho"/>
                <w:lang w:val="fr-CH"/>
              </w:rPr>
              <w:t>De plus, le Secrétariat de l’</w:t>
            </w:r>
            <w:r w:rsidR="00EC0C51">
              <w:rPr>
                <w:rFonts w:eastAsia="MS Mincho"/>
                <w:lang w:val="fr-CH"/>
              </w:rPr>
              <w:t>o</w:t>
            </w:r>
            <w:r w:rsidR="00E448CD">
              <w:rPr>
                <w:rFonts w:eastAsia="MS Mincho"/>
                <w:lang w:val="fr-CH"/>
              </w:rPr>
              <w:t xml:space="preserve">zone est basé à Nairobi, tout comme </w:t>
            </w:r>
            <w:r w:rsidR="00261C2B">
              <w:rPr>
                <w:rFonts w:eastAsia="MS Mincho"/>
                <w:lang w:val="fr-CH"/>
              </w:rPr>
              <w:t>le Bureau régional</w:t>
            </w:r>
            <w:r w:rsidR="00E448CD">
              <w:rPr>
                <w:rFonts w:eastAsia="MS Mincho"/>
                <w:lang w:val="fr-CH"/>
              </w:rPr>
              <w:t xml:space="preserve"> </w:t>
            </w:r>
            <w:r w:rsidR="00261C2B">
              <w:rPr>
                <w:rFonts w:eastAsia="MS Mincho"/>
                <w:lang w:val="fr-CH"/>
              </w:rPr>
              <w:t xml:space="preserve">du PNUE </w:t>
            </w:r>
            <w:r w:rsidR="00CF0721">
              <w:rPr>
                <w:rFonts w:eastAsia="MS Mincho"/>
                <w:lang w:val="fr-CH"/>
              </w:rPr>
              <w:t xml:space="preserve">pour l’Afrique </w:t>
            </w:r>
            <w:r w:rsidR="00E448CD">
              <w:rPr>
                <w:rFonts w:eastAsia="MS Mincho"/>
                <w:lang w:val="fr-CH"/>
              </w:rPr>
              <w:t>et de nombreux autr</w:t>
            </w:r>
            <w:r w:rsidR="00EC0C51">
              <w:rPr>
                <w:rFonts w:eastAsia="MS Mincho"/>
                <w:lang w:val="fr-CH"/>
              </w:rPr>
              <w:t>es bureaux régionaux d’organismes des</w:t>
            </w:r>
            <w:r w:rsidR="00E448CD">
              <w:rPr>
                <w:rFonts w:eastAsia="MS Mincho"/>
                <w:lang w:val="fr-CH"/>
              </w:rPr>
              <w:t xml:space="preserve"> Nations Unies</w:t>
            </w:r>
            <w:r w:rsidR="00EC0C51">
              <w:rPr>
                <w:rFonts w:eastAsia="MS Mincho"/>
                <w:lang w:val="fr-CH"/>
              </w:rPr>
              <w:t>, d’organisations intergouvernementales et de missions permanentes.</w:t>
            </w:r>
            <w:r w:rsidR="00261C2B">
              <w:rPr>
                <w:rFonts w:eastAsia="MS Mincho"/>
                <w:lang w:val="fr-CH"/>
              </w:rPr>
              <w:t xml:space="preserve"> </w:t>
            </w:r>
            <w:r w:rsidR="00261C2B">
              <w:rPr>
                <w:lang w:val="fr-CH"/>
              </w:rPr>
              <w:t>Enfin, Nairobi</w:t>
            </w:r>
            <w:r w:rsidR="003133C3">
              <w:rPr>
                <w:lang w:val="fr-CH"/>
              </w:rPr>
              <w:t xml:space="preserve"> dispose d’</w:t>
            </w:r>
            <w:r w:rsidR="00261C2B">
              <w:rPr>
                <w:lang w:val="fr-CH"/>
              </w:rPr>
              <w:t xml:space="preserve">installations de conférence </w:t>
            </w:r>
            <w:r w:rsidR="003133C3">
              <w:rPr>
                <w:lang w:val="fr-CH"/>
              </w:rPr>
              <w:t xml:space="preserve">adaptées </w:t>
            </w:r>
            <w:r w:rsidR="00261C2B">
              <w:rPr>
                <w:lang w:val="fr-CH"/>
              </w:rPr>
              <w:t>au sein des locaux des Nations Unies.</w:t>
            </w:r>
          </w:p>
          <w:p w14:paraId="3745254E" w14:textId="77777777" w:rsidR="0059785C" w:rsidRPr="003133C3" w:rsidRDefault="0059785C" w:rsidP="00261C2B">
            <w:pPr>
              <w:pStyle w:val="Normalnumber"/>
              <w:numPr>
                <w:ilvl w:val="0"/>
                <w:numId w:val="0"/>
              </w:numPr>
              <w:rPr>
                <w:rFonts w:asciiTheme="majorBidi" w:eastAsia="MS Mincho" w:hAnsiTheme="majorBidi" w:cstheme="majorBidi"/>
                <w:lang w:val="fr-CH"/>
              </w:rPr>
            </w:pPr>
          </w:p>
        </w:tc>
        <w:tc>
          <w:tcPr>
            <w:tcW w:w="2955" w:type="dxa"/>
          </w:tcPr>
          <w:p w14:paraId="72B4ECC9" w14:textId="2075DB95" w:rsidR="0059785C" w:rsidRPr="004256D8" w:rsidRDefault="00E713F5" w:rsidP="00AB20EE">
            <w:pPr>
              <w:pStyle w:val="Normalnumber"/>
              <w:numPr>
                <w:ilvl w:val="0"/>
                <w:numId w:val="0"/>
              </w:numPr>
              <w:rPr>
                <w:rFonts w:eastAsia="MS Mincho"/>
                <w:lang w:val="fr-CH"/>
              </w:rPr>
            </w:pPr>
            <w:r>
              <w:rPr>
                <w:rFonts w:asciiTheme="majorBidi" w:eastAsia="MS Mincho" w:hAnsiTheme="majorBidi" w:cstheme="majorBidi"/>
                <w:lang w:val="fr-CH"/>
              </w:rPr>
              <w:t>Les dépenses de personnel</w:t>
            </w:r>
            <w:r w:rsidR="00710835" w:rsidRPr="00CD608A">
              <w:rPr>
                <w:rFonts w:asciiTheme="majorBidi" w:eastAsia="MS Mincho" w:hAnsiTheme="majorBidi" w:cstheme="majorBidi"/>
                <w:lang w:val="fr-CH"/>
              </w:rPr>
              <w:t xml:space="preserve"> pour cette option s’élèvent à </w:t>
            </w:r>
            <w:r w:rsidR="004256D8">
              <w:rPr>
                <w:rFonts w:eastAsia="MS Mincho"/>
                <w:b/>
                <w:bCs/>
                <w:lang w:val="fr-CH"/>
              </w:rPr>
              <w:t>2 074</w:t>
            </w:r>
            <w:r w:rsidR="008F20C5">
              <w:rPr>
                <w:rFonts w:eastAsia="MS Mincho"/>
                <w:b/>
                <w:bCs/>
                <w:lang w:val="fr-CH"/>
              </w:rPr>
              <w:t> </w:t>
            </w:r>
            <w:r w:rsidR="004256D8">
              <w:rPr>
                <w:rFonts w:eastAsia="MS Mincho"/>
                <w:b/>
                <w:bCs/>
                <w:lang w:val="fr-CH"/>
              </w:rPr>
              <w:t>550</w:t>
            </w:r>
            <w:r w:rsidR="00651E3B">
              <w:rPr>
                <w:rFonts w:eastAsia="MS Mincho"/>
                <w:b/>
                <w:bCs/>
                <w:lang w:val="fr-CH"/>
              </w:rPr>
              <w:t> </w:t>
            </w:r>
            <w:r w:rsidR="008F20C5">
              <w:rPr>
                <w:rFonts w:eastAsia="MS Mincho"/>
                <w:b/>
                <w:bCs/>
                <w:lang w:val="fr-CH"/>
              </w:rPr>
              <w:t>dollars par an</w:t>
            </w:r>
            <w:r w:rsidR="0059785C" w:rsidRPr="004256D8">
              <w:rPr>
                <w:rFonts w:eastAsia="MS Mincho"/>
                <w:lang w:val="fr-CH"/>
              </w:rPr>
              <w:t xml:space="preserve"> (</w:t>
            </w:r>
            <w:r w:rsidR="002128C1">
              <w:rPr>
                <w:rFonts w:eastAsia="MS Mincho"/>
                <w:lang w:val="fr-CH"/>
              </w:rPr>
              <w:t>voir appendic</w:t>
            </w:r>
            <w:r w:rsidR="004256D8">
              <w:rPr>
                <w:rFonts w:eastAsia="MS Mincho"/>
                <w:lang w:val="fr-CH"/>
              </w:rPr>
              <w:t>e</w:t>
            </w:r>
            <w:r w:rsidR="00651E3B">
              <w:rPr>
                <w:rFonts w:eastAsia="MS Mincho"/>
                <w:lang w:val="fr-CH"/>
              </w:rPr>
              <w:t> </w:t>
            </w:r>
            <w:r w:rsidR="0059785C" w:rsidRPr="004256D8">
              <w:rPr>
                <w:rFonts w:eastAsia="MS Mincho"/>
                <w:lang w:val="fr-CH"/>
              </w:rPr>
              <w:t>II, table</w:t>
            </w:r>
            <w:r w:rsidR="004256D8">
              <w:rPr>
                <w:rFonts w:eastAsia="MS Mincho"/>
                <w:lang w:val="fr-CH"/>
              </w:rPr>
              <w:t>au</w:t>
            </w:r>
            <w:r w:rsidR="00651E3B">
              <w:rPr>
                <w:rFonts w:eastAsia="MS Mincho"/>
                <w:lang w:val="fr-CH"/>
              </w:rPr>
              <w:t> </w:t>
            </w:r>
            <w:r w:rsidR="0059785C" w:rsidRPr="004256D8">
              <w:rPr>
                <w:rFonts w:eastAsia="MS Mincho"/>
                <w:lang w:val="fr-CH"/>
              </w:rPr>
              <w:t>3).</w:t>
            </w:r>
          </w:p>
          <w:p w14:paraId="293CE866" w14:textId="2E7184D1" w:rsidR="004256D8" w:rsidRDefault="004256D8" w:rsidP="004256D8">
            <w:pPr>
              <w:pStyle w:val="Normalnumber"/>
              <w:numPr>
                <w:ilvl w:val="0"/>
                <w:numId w:val="0"/>
              </w:numPr>
              <w:rPr>
                <w:rFonts w:asciiTheme="majorBidi" w:eastAsia="MS Mincho" w:hAnsiTheme="majorBidi" w:cstheme="majorBidi"/>
                <w:lang w:val="fr-CH"/>
              </w:rPr>
            </w:pPr>
            <w:r>
              <w:rPr>
                <w:rFonts w:asciiTheme="majorBidi" w:eastAsia="MS Mincho" w:hAnsiTheme="majorBidi" w:cstheme="majorBidi"/>
                <w:lang w:val="fr-CH"/>
              </w:rPr>
              <w:t xml:space="preserve">De plus, comme indiqué dans </w:t>
            </w:r>
            <w:r w:rsidRPr="00EA488F">
              <w:rPr>
                <w:rFonts w:asciiTheme="majorBidi" w:eastAsia="MS Mincho" w:hAnsiTheme="majorBidi" w:cstheme="majorBidi"/>
                <w:lang w:val="fr-CH"/>
              </w:rPr>
              <w:t>le tableau 4 de l’a</w:t>
            </w:r>
            <w:r w:rsidR="001E2B00">
              <w:rPr>
                <w:rFonts w:asciiTheme="majorBidi" w:eastAsia="MS Mincho" w:hAnsiTheme="majorBidi" w:cstheme="majorBidi"/>
                <w:lang w:val="fr-CH"/>
              </w:rPr>
              <w:t>ppendic</w:t>
            </w:r>
            <w:r w:rsidRPr="00EA488F">
              <w:rPr>
                <w:rFonts w:asciiTheme="majorBidi" w:eastAsia="MS Mincho" w:hAnsiTheme="majorBidi" w:cstheme="majorBidi"/>
                <w:lang w:val="fr-CH"/>
              </w:rPr>
              <w:t>e II</w:t>
            </w:r>
            <w:r w:rsidR="00651E3B">
              <w:rPr>
                <w:rFonts w:asciiTheme="majorBidi" w:eastAsia="MS Mincho" w:hAnsiTheme="majorBidi" w:cstheme="majorBidi"/>
                <w:lang w:val="fr-CH"/>
              </w:rPr>
              <w:t> </w:t>
            </w:r>
            <w:r w:rsidRPr="00EA488F">
              <w:rPr>
                <w:rFonts w:asciiTheme="majorBidi" w:eastAsia="MS Mincho" w:hAnsiTheme="majorBidi" w:cstheme="majorBidi"/>
                <w:lang w:val="fr-CH"/>
              </w:rPr>
              <w:t xml:space="preserve">: </w:t>
            </w:r>
          </w:p>
          <w:p w14:paraId="6CEFA1DD" w14:textId="0624A63C" w:rsidR="004256D8" w:rsidRPr="003C54B3" w:rsidRDefault="004256D8" w:rsidP="004256D8">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d</w:t>
            </w:r>
            <w:r w:rsidRPr="00596E76">
              <w:rPr>
                <w:rFonts w:asciiTheme="majorBidi" w:eastAsia="MS Mincho" w:hAnsiTheme="majorBidi" w:cstheme="majorBidi"/>
                <w:lang w:val="fr-CH"/>
              </w:rPr>
              <w:t>épe</w:t>
            </w:r>
            <w:r w:rsidR="00CF0721">
              <w:rPr>
                <w:rFonts w:asciiTheme="majorBidi" w:eastAsia="MS Mincho" w:hAnsiTheme="majorBidi" w:cstheme="majorBidi"/>
                <w:lang w:val="fr-CH"/>
              </w:rPr>
              <w:t>nses de fonctionnement du s</w:t>
            </w:r>
            <w:r>
              <w:rPr>
                <w:rFonts w:asciiTheme="majorBidi" w:eastAsia="MS Mincho" w:hAnsiTheme="majorBidi" w:cstheme="majorBidi"/>
                <w:lang w:val="fr-CH"/>
              </w:rPr>
              <w:t>ecrétariat dans ce lie</w:t>
            </w:r>
            <w:r w:rsidR="00651E3B">
              <w:rPr>
                <w:rFonts w:asciiTheme="majorBidi" w:eastAsia="MS Mincho" w:hAnsiTheme="majorBidi" w:cstheme="majorBidi"/>
                <w:lang w:val="fr-CH"/>
              </w:rPr>
              <w:t>u d’implantation est de 200 000 </w:t>
            </w:r>
            <w:r>
              <w:rPr>
                <w:rFonts w:asciiTheme="majorBidi" w:eastAsia="MS Mincho" w:hAnsiTheme="majorBidi" w:cstheme="majorBidi"/>
                <w:lang w:val="fr-CH"/>
              </w:rPr>
              <w:t>dollars par an;</w:t>
            </w:r>
          </w:p>
          <w:p w14:paraId="3566EBA3" w14:textId="5522749B" w:rsidR="003278FE" w:rsidRDefault="003278FE" w:rsidP="003278F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 xml:space="preserve">Le montant estimatif des coûts </w:t>
            </w:r>
            <w:r w:rsidR="006B7E1B">
              <w:rPr>
                <w:rFonts w:asciiTheme="majorBidi" w:eastAsia="MS Mincho" w:hAnsiTheme="majorBidi" w:cstheme="majorBidi"/>
                <w:lang w:val="fr-CH"/>
              </w:rPr>
              <w:t>d’organisation de</w:t>
            </w:r>
            <w:r>
              <w:rPr>
                <w:rFonts w:asciiTheme="majorBidi" w:eastAsia="MS Mincho" w:hAnsiTheme="majorBidi" w:cstheme="majorBidi"/>
                <w:lang w:val="fr-CH"/>
              </w:rPr>
              <w:t xml:space="preserve"> chaque réunion de la Conférence des Parties dans ce lie</w:t>
            </w:r>
            <w:r w:rsidR="00651E3B">
              <w:rPr>
                <w:rFonts w:asciiTheme="majorBidi" w:eastAsia="MS Mincho" w:hAnsiTheme="majorBidi" w:cstheme="majorBidi"/>
                <w:lang w:val="fr-CH"/>
              </w:rPr>
              <w:t>u d’implantation est de 620 000 </w:t>
            </w:r>
            <w:r>
              <w:rPr>
                <w:rFonts w:asciiTheme="majorBidi" w:eastAsia="MS Mincho" w:hAnsiTheme="majorBidi" w:cstheme="majorBidi"/>
                <w:lang w:val="fr-CH"/>
              </w:rPr>
              <w:t>dollars;</w:t>
            </w:r>
          </w:p>
          <w:p w14:paraId="11B73444" w14:textId="4E45AAED" w:rsidR="00842887" w:rsidRDefault="00842887" w:rsidP="00842887">
            <w:pPr>
              <w:pStyle w:val="Normalnumber"/>
              <w:numPr>
                <w:ilvl w:val="0"/>
                <w:numId w:val="0"/>
              </w:numPr>
              <w:tabs>
                <w:tab w:val="left" w:pos="1871"/>
              </w:tabs>
              <w:rPr>
                <w:rFonts w:asciiTheme="majorBidi" w:eastAsia="MS Mincho" w:hAnsiTheme="majorBidi" w:cstheme="majorBidi"/>
                <w:lang w:val="fr-CH"/>
              </w:rPr>
            </w:pPr>
            <w:r w:rsidRPr="00DB46F4">
              <w:rPr>
                <w:rFonts w:asciiTheme="majorBidi" w:eastAsia="MS Mincho" w:hAnsiTheme="majorBidi" w:cstheme="majorBidi"/>
                <w:lang w:val="fr-CH"/>
              </w:rPr>
              <w:t xml:space="preserve">Le montant </w:t>
            </w:r>
            <w:r>
              <w:rPr>
                <w:rFonts w:asciiTheme="majorBidi" w:eastAsia="MS Mincho" w:hAnsiTheme="majorBidi" w:cstheme="majorBidi"/>
                <w:lang w:val="fr-CH"/>
              </w:rPr>
              <w:t xml:space="preserve">estimatif des frais de voyage pour le personnel </w:t>
            </w:r>
            <w:r w:rsidR="00280BEC">
              <w:rPr>
                <w:rFonts w:asciiTheme="majorBidi" w:eastAsia="MS Mincho" w:hAnsiTheme="majorBidi" w:cstheme="majorBidi"/>
                <w:lang w:val="fr-CH"/>
              </w:rPr>
              <w:t>participant</w:t>
            </w:r>
            <w:r>
              <w:rPr>
                <w:rFonts w:asciiTheme="majorBidi" w:eastAsia="MS Mincho" w:hAnsiTheme="majorBidi" w:cstheme="majorBidi"/>
                <w:lang w:val="fr-CH"/>
              </w:rPr>
              <w:t xml:space="preserve"> aux réunions sur les produits chimiques et les déchets à Genève</w:t>
            </w:r>
            <w:r w:rsidRPr="00DB46F4">
              <w:rPr>
                <w:rFonts w:asciiTheme="majorBidi" w:eastAsia="MS Mincho" w:hAnsiTheme="majorBidi" w:cstheme="majorBidi"/>
                <w:lang w:val="fr-CH"/>
              </w:rPr>
              <w:t xml:space="preserve"> </w:t>
            </w:r>
            <w:r w:rsidR="007F089B">
              <w:rPr>
                <w:rFonts w:asciiTheme="majorBidi" w:eastAsia="MS Mincho" w:hAnsiTheme="majorBidi" w:cstheme="majorBidi"/>
                <w:lang w:val="fr-CH"/>
              </w:rPr>
              <w:t>est de 36 000 </w:t>
            </w:r>
            <w:r>
              <w:rPr>
                <w:rFonts w:asciiTheme="majorBidi" w:eastAsia="MS Mincho" w:hAnsiTheme="majorBidi" w:cstheme="majorBidi"/>
                <w:lang w:val="fr-CH"/>
              </w:rPr>
              <w:t>dollars environ po</w:t>
            </w:r>
            <w:r w:rsidR="009C1369">
              <w:rPr>
                <w:rFonts w:asciiTheme="majorBidi" w:eastAsia="MS Mincho" w:hAnsiTheme="majorBidi" w:cstheme="majorBidi"/>
                <w:lang w:val="fr-CH"/>
              </w:rPr>
              <w:t xml:space="preserve">ur la période </w:t>
            </w:r>
            <w:r w:rsidR="001843A9">
              <w:rPr>
                <w:rFonts w:asciiTheme="majorBidi" w:eastAsia="MS Mincho" w:hAnsiTheme="majorBidi" w:cstheme="majorBidi"/>
                <w:lang w:val="fr-CH"/>
              </w:rPr>
              <w:t>biennal</w:t>
            </w:r>
            <w:r w:rsidR="009C1369">
              <w:rPr>
                <w:rFonts w:asciiTheme="majorBidi" w:eastAsia="MS Mincho" w:hAnsiTheme="majorBidi" w:cstheme="majorBidi"/>
                <w:lang w:val="fr-CH"/>
              </w:rPr>
              <w:t>e</w:t>
            </w:r>
            <w:r w:rsidR="001843A9">
              <w:rPr>
                <w:rFonts w:asciiTheme="majorBidi" w:eastAsia="MS Mincho" w:hAnsiTheme="majorBidi" w:cstheme="majorBidi"/>
                <w:lang w:val="fr-CH"/>
              </w:rPr>
              <w:t xml:space="preserve"> 2018-2019;</w:t>
            </w:r>
          </w:p>
          <w:p w14:paraId="03A6B0BA" w14:textId="58D715E2" w:rsidR="0059785C" w:rsidRPr="00DB3053" w:rsidRDefault="00DB3053" w:rsidP="00E25138">
            <w:pPr>
              <w:pStyle w:val="Normalnumber"/>
              <w:numPr>
                <w:ilvl w:val="0"/>
                <w:numId w:val="0"/>
              </w:numPr>
              <w:rPr>
                <w:rFonts w:eastAsia="MS Mincho"/>
                <w:lang w:val="fr-CH"/>
              </w:rPr>
            </w:pPr>
            <w:r>
              <w:rPr>
                <w:rFonts w:asciiTheme="majorBidi" w:eastAsia="MS Mincho" w:hAnsiTheme="majorBidi" w:cstheme="majorBidi"/>
                <w:lang w:val="fr-CH"/>
              </w:rPr>
              <w:t>L</w:t>
            </w:r>
            <w:r w:rsidRPr="00603BE8">
              <w:rPr>
                <w:rFonts w:asciiTheme="majorBidi" w:eastAsia="MS Mincho" w:hAnsiTheme="majorBidi" w:cstheme="majorBidi"/>
                <w:lang w:val="fr-CH"/>
              </w:rPr>
              <w:t>es frais de voyage pour les délégués</w:t>
            </w:r>
            <w:r>
              <w:rPr>
                <w:rFonts w:asciiTheme="majorBidi" w:eastAsia="MS Mincho" w:hAnsiTheme="majorBidi" w:cstheme="majorBidi"/>
                <w:lang w:val="fr-CH"/>
              </w:rPr>
              <w:t xml:space="preserve"> techniques </w:t>
            </w:r>
            <w:r w:rsidR="001E2B00">
              <w:rPr>
                <w:rFonts w:asciiTheme="majorBidi" w:eastAsia="MS Mincho" w:hAnsiTheme="majorBidi" w:cstheme="majorBidi"/>
                <w:lang w:val="fr-CH"/>
              </w:rPr>
              <w:t xml:space="preserve">bénéficiant d’un financement </w:t>
            </w:r>
            <w:r>
              <w:rPr>
                <w:rFonts w:asciiTheme="majorBidi" w:eastAsia="MS Mincho" w:hAnsiTheme="majorBidi" w:cstheme="majorBidi"/>
                <w:lang w:val="fr-CH"/>
              </w:rPr>
              <w:t>qui participent à une réunion de la Conférence des Partie</w:t>
            </w:r>
            <w:r w:rsidR="00651E3B">
              <w:rPr>
                <w:rFonts w:asciiTheme="majorBidi" w:eastAsia="MS Mincho" w:hAnsiTheme="majorBidi" w:cstheme="majorBidi"/>
                <w:lang w:val="fr-CH"/>
              </w:rPr>
              <w:t xml:space="preserve">s à </w:t>
            </w:r>
            <w:r w:rsidR="009C1369">
              <w:rPr>
                <w:rFonts w:asciiTheme="majorBidi" w:eastAsia="MS Mincho" w:hAnsiTheme="majorBidi" w:cstheme="majorBidi"/>
                <w:lang w:val="fr-CH"/>
              </w:rPr>
              <w:t>Nairobi sont estimés</w:t>
            </w:r>
            <w:r w:rsidR="00651E3B">
              <w:rPr>
                <w:rFonts w:asciiTheme="majorBidi" w:eastAsia="MS Mincho" w:hAnsiTheme="majorBidi" w:cstheme="majorBidi"/>
                <w:lang w:val="fr-CH"/>
              </w:rPr>
              <w:t xml:space="preserve"> à 630 000 </w:t>
            </w:r>
            <w:r>
              <w:rPr>
                <w:rFonts w:asciiTheme="majorBidi" w:eastAsia="MS Mincho" w:hAnsiTheme="majorBidi" w:cstheme="majorBidi"/>
                <w:lang w:val="fr-CH"/>
              </w:rPr>
              <w:t>dollars</w:t>
            </w:r>
            <w:r w:rsidR="00E25138">
              <w:rPr>
                <w:rFonts w:asciiTheme="majorBidi" w:eastAsia="MS Mincho" w:hAnsiTheme="majorBidi" w:cstheme="majorBidi"/>
                <w:lang w:val="fr-CH"/>
              </w:rPr>
              <w:t xml:space="preserve"> </w:t>
            </w:r>
            <w:r>
              <w:rPr>
                <w:rFonts w:asciiTheme="majorBidi" w:eastAsia="MS Mincho" w:hAnsiTheme="majorBidi" w:cstheme="majorBidi"/>
                <w:lang w:val="fr-CH"/>
              </w:rPr>
              <w:t>environ.</w:t>
            </w:r>
          </w:p>
        </w:tc>
      </w:tr>
      <w:tr w:rsidR="0059785C" w:rsidRPr="00A84D20" w14:paraId="6DF73096" w14:textId="77777777" w:rsidTr="006F64C0">
        <w:tc>
          <w:tcPr>
            <w:tcW w:w="1428" w:type="dxa"/>
          </w:tcPr>
          <w:p w14:paraId="3BECDADA" w14:textId="77777777" w:rsidR="0059785C" w:rsidRPr="000332FD" w:rsidRDefault="0059785C" w:rsidP="00AB20EE">
            <w:pPr>
              <w:rPr>
                <w:rFonts w:asciiTheme="majorBidi" w:hAnsiTheme="majorBidi" w:cstheme="majorBidi"/>
                <w:b/>
                <w:bCs/>
                <w:lang w:val="fr-CH"/>
              </w:rPr>
            </w:pPr>
            <w:r w:rsidRPr="000332FD">
              <w:rPr>
                <w:rFonts w:asciiTheme="majorBidi" w:hAnsiTheme="majorBidi" w:cstheme="majorBidi"/>
                <w:b/>
                <w:bCs/>
                <w:lang w:val="fr-CH"/>
              </w:rPr>
              <w:t>Osaka</w:t>
            </w:r>
          </w:p>
          <w:p w14:paraId="0894B038" w14:textId="5E88B2D6" w:rsidR="0059785C" w:rsidRPr="003133C3" w:rsidRDefault="004D6C4B" w:rsidP="007428DB">
            <w:pPr>
              <w:rPr>
                <w:rFonts w:asciiTheme="majorBidi" w:hAnsiTheme="majorBidi" w:cstheme="majorBidi"/>
                <w:lang w:val="fr-CH"/>
              </w:rPr>
            </w:pPr>
            <w:r w:rsidRPr="003133C3">
              <w:rPr>
                <w:rFonts w:asciiTheme="majorBidi" w:hAnsiTheme="majorBidi" w:cstheme="majorBidi"/>
                <w:lang w:val="fr-CH"/>
              </w:rPr>
              <w:t>(</w:t>
            </w:r>
            <w:r w:rsidR="003133C3" w:rsidRPr="00710835">
              <w:rPr>
                <w:rFonts w:asciiTheme="majorBidi" w:hAnsiTheme="majorBidi" w:cstheme="majorBidi"/>
                <w:lang w:val="fr-CH"/>
              </w:rPr>
              <w:t>s</w:t>
            </w:r>
            <w:r w:rsidR="007428DB">
              <w:rPr>
                <w:rFonts w:asciiTheme="majorBidi" w:hAnsiTheme="majorBidi" w:cstheme="majorBidi"/>
                <w:lang w:val="fr-CH"/>
              </w:rPr>
              <w:t>ur la base des</w:t>
            </w:r>
            <w:r w:rsidR="003133C3" w:rsidRPr="00710835">
              <w:rPr>
                <w:rFonts w:asciiTheme="majorBidi" w:hAnsiTheme="majorBidi" w:cstheme="majorBidi"/>
                <w:lang w:val="fr-CH"/>
              </w:rPr>
              <w:t xml:space="preserve"> co</w:t>
            </w:r>
            <w:r w:rsidR="007428DB">
              <w:rPr>
                <w:rFonts w:asciiTheme="majorBidi" w:hAnsiTheme="majorBidi" w:cstheme="majorBidi"/>
                <w:lang w:val="fr-CH"/>
              </w:rPr>
              <w:t>ûts salariaux standards</w:t>
            </w:r>
            <w:r w:rsidRPr="003133C3">
              <w:rPr>
                <w:rFonts w:asciiTheme="majorBidi" w:hAnsiTheme="majorBidi" w:cstheme="majorBidi"/>
                <w:lang w:val="fr-CH"/>
              </w:rPr>
              <w:t>)</w:t>
            </w:r>
          </w:p>
        </w:tc>
        <w:tc>
          <w:tcPr>
            <w:tcW w:w="4479" w:type="dxa"/>
          </w:tcPr>
          <w:p w14:paraId="72D4774B" w14:textId="2B0C25EC" w:rsidR="00D34BBF" w:rsidRDefault="00DF6ACA" w:rsidP="00AB20EE">
            <w:pPr>
              <w:rPr>
                <w:lang w:val="fr-CH"/>
              </w:rPr>
            </w:pPr>
            <w:r w:rsidRPr="006127C6">
              <w:rPr>
                <w:rFonts w:asciiTheme="majorBidi" w:eastAsia="MS Mincho" w:hAnsiTheme="majorBidi" w:cstheme="majorBidi"/>
                <w:lang w:val="fr-CH"/>
              </w:rPr>
              <w:t xml:space="preserve">Pour </w:t>
            </w:r>
            <w:r w:rsidR="0059785C" w:rsidRPr="006127C6">
              <w:rPr>
                <w:rFonts w:asciiTheme="majorBidi" w:eastAsia="MS Mincho" w:hAnsiTheme="majorBidi" w:cstheme="majorBidi"/>
                <w:lang w:val="fr-CH"/>
              </w:rPr>
              <w:t xml:space="preserve">Osaka, </w:t>
            </w:r>
            <w:r w:rsidR="006127C6" w:rsidRPr="006127C6">
              <w:rPr>
                <w:rFonts w:asciiTheme="majorBidi" w:eastAsia="MS Mincho" w:hAnsiTheme="majorBidi" w:cstheme="majorBidi"/>
                <w:lang w:val="fr-CH"/>
              </w:rPr>
              <w:t xml:space="preserve">la </w:t>
            </w:r>
            <w:r w:rsidR="006127C6">
              <w:rPr>
                <w:rFonts w:asciiTheme="majorBidi" w:eastAsia="MS Mincho" w:hAnsiTheme="majorBidi" w:cstheme="majorBidi"/>
                <w:lang w:val="fr-CH"/>
              </w:rPr>
              <w:t>pré</w:t>
            </w:r>
            <w:r w:rsidR="006127C6" w:rsidRPr="006127C6">
              <w:rPr>
                <w:rFonts w:asciiTheme="majorBidi" w:eastAsia="MS Mincho" w:hAnsiTheme="majorBidi" w:cstheme="majorBidi"/>
                <w:lang w:val="fr-CH"/>
              </w:rPr>
              <w:t xml:space="preserve">sence </w:t>
            </w:r>
            <w:r w:rsidR="006127C6">
              <w:rPr>
                <w:rFonts w:asciiTheme="majorBidi" w:eastAsia="MS Mincho" w:hAnsiTheme="majorBidi" w:cstheme="majorBidi"/>
                <w:lang w:val="fr-CH"/>
              </w:rPr>
              <w:t xml:space="preserve">du Centre </w:t>
            </w:r>
            <w:r w:rsidR="006127C6" w:rsidRPr="00154F67">
              <w:rPr>
                <w:lang w:val="fr-CH"/>
              </w:rPr>
              <w:t>international d’écotechnologie</w:t>
            </w:r>
            <w:r w:rsidR="00154F67" w:rsidRPr="00154F67">
              <w:rPr>
                <w:lang w:val="fr-CH"/>
              </w:rPr>
              <w:t xml:space="preserve"> du PNUE</w:t>
            </w:r>
            <w:r w:rsidR="00154F67">
              <w:rPr>
                <w:lang w:val="fr-CH"/>
              </w:rPr>
              <w:t xml:space="preserve">, qui réalise de nombreux travaux sur les déchets, </w:t>
            </w:r>
            <w:r w:rsidR="00214FC7">
              <w:rPr>
                <w:lang w:val="fr-CH"/>
              </w:rPr>
              <w:t xml:space="preserve">y compris les déchets de mercure, </w:t>
            </w:r>
            <w:r w:rsidR="00D34BBF">
              <w:rPr>
                <w:lang w:val="fr-CH"/>
              </w:rPr>
              <w:t xml:space="preserve">est considérée comme un avantage. Ce centre est une </w:t>
            </w:r>
            <w:r w:rsidR="009C1369">
              <w:rPr>
                <w:lang w:val="fr-CH"/>
              </w:rPr>
              <w:t xml:space="preserve">extension </w:t>
            </w:r>
            <w:r w:rsidR="00D34BBF">
              <w:rPr>
                <w:lang w:val="fr-CH"/>
              </w:rPr>
              <w:t>du Service « </w:t>
            </w:r>
            <w:r w:rsidR="00214FC7">
              <w:rPr>
                <w:lang w:val="fr-CH"/>
              </w:rPr>
              <w:t>substances</w:t>
            </w:r>
            <w:r w:rsidR="00D34BBF">
              <w:rPr>
                <w:lang w:val="fr-CH"/>
              </w:rPr>
              <w:t xml:space="preserve"> chimique</w:t>
            </w:r>
            <w:r w:rsidR="00214FC7">
              <w:rPr>
                <w:lang w:val="fr-CH"/>
              </w:rPr>
              <w:t>s</w:t>
            </w:r>
            <w:r w:rsidR="00D34BBF">
              <w:rPr>
                <w:lang w:val="fr-CH"/>
              </w:rPr>
              <w:t xml:space="preserve"> et santé » de la Division de l’économie du PNUE. </w:t>
            </w:r>
            <w:r w:rsidR="00AD25E2">
              <w:rPr>
                <w:lang w:val="fr-CH"/>
              </w:rPr>
              <w:t xml:space="preserve">Osaka ne disposant pas d’installations de conférence des Nations Unies, </w:t>
            </w:r>
            <w:r w:rsidR="003129FF">
              <w:rPr>
                <w:lang w:val="fr-CH"/>
              </w:rPr>
              <w:t xml:space="preserve">il faut soit louer </w:t>
            </w:r>
            <w:r w:rsidR="00AD25E2">
              <w:rPr>
                <w:lang w:val="fr-CH"/>
              </w:rPr>
              <w:t>des locaux commerciaux</w:t>
            </w:r>
            <w:r w:rsidR="003129FF">
              <w:rPr>
                <w:lang w:val="fr-CH"/>
              </w:rPr>
              <w:t xml:space="preserve">, soit organiser les réunions à Bangkok, qui </w:t>
            </w:r>
            <w:r w:rsidR="00544B5C">
              <w:rPr>
                <w:lang w:val="fr-CH"/>
              </w:rPr>
              <w:t>est</w:t>
            </w:r>
            <w:r w:rsidR="003129FF">
              <w:rPr>
                <w:lang w:val="fr-CH"/>
              </w:rPr>
              <w:t xml:space="preserve"> la ville la plus proche disposant d’installations de conférence adaptées.</w:t>
            </w:r>
          </w:p>
          <w:p w14:paraId="1BB5DDD0" w14:textId="77777777" w:rsidR="003129FF" w:rsidRDefault="003129FF" w:rsidP="00AB20EE">
            <w:pPr>
              <w:rPr>
                <w:lang w:val="fr-CH"/>
              </w:rPr>
            </w:pPr>
          </w:p>
          <w:p w14:paraId="4B3911B6" w14:textId="5386888C" w:rsidR="0059785C" w:rsidRPr="00544B5C" w:rsidRDefault="0059785C" w:rsidP="00AB20EE">
            <w:pPr>
              <w:rPr>
                <w:rFonts w:asciiTheme="majorBidi" w:hAnsiTheme="majorBidi" w:cstheme="majorBidi"/>
                <w:lang w:val="fr-CH"/>
              </w:rPr>
            </w:pPr>
          </w:p>
        </w:tc>
        <w:tc>
          <w:tcPr>
            <w:tcW w:w="2955" w:type="dxa"/>
          </w:tcPr>
          <w:p w14:paraId="7448A722" w14:textId="126CD2F8" w:rsidR="008F20C5" w:rsidRPr="004256D8" w:rsidRDefault="008F20C5" w:rsidP="008F20C5">
            <w:pPr>
              <w:pStyle w:val="Normalnumber"/>
              <w:numPr>
                <w:ilvl w:val="0"/>
                <w:numId w:val="0"/>
              </w:numPr>
              <w:rPr>
                <w:rFonts w:eastAsia="MS Mincho"/>
                <w:lang w:val="fr-CH"/>
              </w:rPr>
            </w:pPr>
            <w:r w:rsidRPr="00CD608A">
              <w:rPr>
                <w:rFonts w:asciiTheme="majorBidi" w:eastAsia="MS Mincho" w:hAnsiTheme="majorBidi" w:cstheme="majorBidi"/>
                <w:lang w:val="fr-CH"/>
              </w:rPr>
              <w:t xml:space="preserve">Les </w:t>
            </w:r>
            <w:r w:rsidR="00E713F5">
              <w:rPr>
                <w:rFonts w:asciiTheme="majorBidi" w:eastAsia="MS Mincho" w:hAnsiTheme="majorBidi" w:cstheme="majorBidi"/>
                <w:lang w:val="fr-CH"/>
              </w:rPr>
              <w:t>dépenses de personnel</w:t>
            </w:r>
            <w:r w:rsidRPr="00CD608A">
              <w:rPr>
                <w:rFonts w:asciiTheme="majorBidi" w:eastAsia="MS Mincho" w:hAnsiTheme="majorBidi" w:cstheme="majorBidi"/>
                <w:lang w:val="fr-CH"/>
              </w:rPr>
              <w:t xml:space="preserve"> pour cette option s’élèvent à </w:t>
            </w:r>
            <w:r w:rsidR="00651E3B">
              <w:rPr>
                <w:rFonts w:eastAsia="MS Mincho"/>
                <w:b/>
                <w:bCs/>
                <w:lang w:val="fr-CH"/>
              </w:rPr>
              <w:t>2 674 800 </w:t>
            </w:r>
            <w:r>
              <w:rPr>
                <w:rFonts w:eastAsia="MS Mincho"/>
                <w:b/>
                <w:bCs/>
                <w:lang w:val="fr-CH"/>
              </w:rPr>
              <w:t xml:space="preserve">dollars </w:t>
            </w:r>
            <w:r w:rsidRPr="00966A73">
              <w:rPr>
                <w:rFonts w:eastAsia="MS Mincho"/>
                <w:b/>
                <w:bCs/>
                <w:lang w:val="fr-CH"/>
              </w:rPr>
              <w:t>par an</w:t>
            </w:r>
            <w:r w:rsidRPr="004256D8">
              <w:rPr>
                <w:rFonts w:eastAsia="MS Mincho"/>
                <w:lang w:val="fr-CH"/>
              </w:rPr>
              <w:t xml:space="preserve"> (</w:t>
            </w:r>
            <w:r>
              <w:rPr>
                <w:rFonts w:eastAsia="MS Mincho"/>
                <w:lang w:val="fr-CH"/>
              </w:rPr>
              <w:t>voir a</w:t>
            </w:r>
            <w:r w:rsidR="001E2B00">
              <w:rPr>
                <w:rFonts w:eastAsia="MS Mincho"/>
                <w:lang w:val="fr-CH"/>
              </w:rPr>
              <w:t>ppendic</w:t>
            </w:r>
            <w:r>
              <w:rPr>
                <w:rFonts w:eastAsia="MS Mincho"/>
                <w:lang w:val="fr-CH"/>
              </w:rPr>
              <w:t>e</w:t>
            </w:r>
            <w:r w:rsidR="00651E3B">
              <w:rPr>
                <w:rFonts w:eastAsia="MS Mincho"/>
                <w:lang w:val="fr-CH"/>
              </w:rPr>
              <w:t> </w:t>
            </w:r>
            <w:r w:rsidRPr="004256D8">
              <w:rPr>
                <w:rFonts w:eastAsia="MS Mincho"/>
                <w:lang w:val="fr-CH"/>
              </w:rPr>
              <w:t>II, table</w:t>
            </w:r>
            <w:r>
              <w:rPr>
                <w:rFonts w:eastAsia="MS Mincho"/>
                <w:lang w:val="fr-CH"/>
              </w:rPr>
              <w:t>au</w:t>
            </w:r>
            <w:r w:rsidR="00651E3B">
              <w:rPr>
                <w:rFonts w:eastAsia="MS Mincho"/>
                <w:lang w:val="fr-CH"/>
              </w:rPr>
              <w:t> </w:t>
            </w:r>
            <w:r w:rsidRPr="004256D8">
              <w:rPr>
                <w:rFonts w:eastAsia="MS Mincho"/>
                <w:lang w:val="fr-CH"/>
              </w:rPr>
              <w:t>3).</w:t>
            </w:r>
          </w:p>
          <w:p w14:paraId="505B1EA2" w14:textId="058A6FCB" w:rsidR="00966A73" w:rsidRDefault="00966A73" w:rsidP="00966A73">
            <w:pPr>
              <w:pStyle w:val="Normalnumber"/>
              <w:numPr>
                <w:ilvl w:val="0"/>
                <w:numId w:val="0"/>
              </w:numPr>
              <w:rPr>
                <w:rFonts w:asciiTheme="majorBidi" w:eastAsia="MS Mincho" w:hAnsiTheme="majorBidi" w:cstheme="majorBidi"/>
                <w:lang w:val="fr-CH"/>
              </w:rPr>
            </w:pPr>
            <w:r>
              <w:rPr>
                <w:rFonts w:asciiTheme="majorBidi" w:eastAsia="MS Mincho" w:hAnsiTheme="majorBidi" w:cstheme="majorBidi"/>
                <w:lang w:val="fr-CH"/>
              </w:rPr>
              <w:t xml:space="preserve">De plus, comme indiqué dans </w:t>
            </w:r>
            <w:r w:rsidRPr="00EA488F">
              <w:rPr>
                <w:rFonts w:asciiTheme="majorBidi" w:eastAsia="MS Mincho" w:hAnsiTheme="majorBidi" w:cstheme="majorBidi"/>
                <w:lang w:val="fr-CH"/>
              </w:rPr>
              <w:t>le tableau</w:t>
            </w:r>
            <w:r w:rsidR="00651E3B">
              <w:rPr>
                <w:rFonts w:asciiTheme="majorBidi" w:eastAsia="MS Mincho" w:hAnsiTheme="majorBidi" w:cstheme="majorBidi"/>
                <w:lang w:val="fr-CH"/>
              </w:rPr>
              <w:t> </w:t>
            </w:r>
            <w:r w:rsidRPr="00EA488F">
              <w:rPr>
                <w:rFonts w:asciiTheme="majorBidi" w:eastAsia="MS Mincho" w:hAnsiTheme="majorBidi" w:cstheme="majorBidi"/>
                <w:lang w:val="fr-CH"/>
              </w:rPr>
              <w:t>4 de l’a</w:t>
            </w:r>
            <w:r w:rsidR="00E25138">
              <w:rPr>
                <w:rFonts w:asciiTheme="majorBidi" w:eastAsia="MS Mincho" w:hAnsiTheme="majorBidi" w:cstheme="majorBidi"/>
                <w:lang w:val="fr-CH"/>
              </w:rPr>
              <w:t>ppendic</w:t>
            </w:r>
            <w:r w:rsidR="00651E3B">
              <w:rPr>
                <w:rFonts w:asciiTheme="majorBidi" w:eastAsia="MS Mincho" w:hAnsiTheme="majorBidi" w:cstheme="majorBidi"/>
                <w:lang w:val="fr-CH"/>
              </w:rPr>
              <w:t>e </w:t>
            </w:r>
            <w:r w:rsidRPr="00EA488F">
              <w:rPr>
                <w:rFonts w:asciiTheme="majorBidi" w:eastAsia="MS Mincho" w:hAnsiTheme="majorBidi" w:cstheme="majorBidi"/>
                <w:lang w:val="fr-CH"/>
              </w:rPr>
              <w:t>II</w:t>
            </w:r>
            <w:r w:rsidR="00651E3B">
              <w:rPr>
                <w:rFonts w:asciiTheme="majorBidi" w:eastAsia="MS Mincho" w:hAnsiTheme="majorBidi" w:cstheme="majorBidi"/>
                <w:lang w:val="fr-CH"/>
              </w:rPr>
              <w:t> </w:t>
            </w:r>
            <w:r w:rsidRPr="00EA488F">
              <w:rPr>
                <w:rFonts w:asciiTheme="majorBidi" w:eastAsia="MS Mincho" w:hAnsiTheme="majorBidi" w:cstheme="majorBidi"/>
                <w:lang w:val="fr-CH"/>
              </w:rPr>
              <w:t xml:space="preserve">: </w:t>
            </w:r>
          </w:p>
          <w:p w14:paraId="04D1A5E6" w14:textId="070911D4" w:rsidR="00966A73" w:rsidRPr="003C54B3" w:rsidRDefault="00966A73" w:rsidP="00966A73">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d</w:t>
            </w:r>
            <w:r w:rsidRPr="00596E76">
              <w:rPr>
                <w:rFonts w:asciiTheme="majorBidi" w:eastAsia="MS Mincho" w:hAnsiTheme="majorBidi" w:cstheme="majorBidi"/>
                <w:lang w:val="fr-CH"/>
              </w:rPr>
              <w:t>épe</w:t>
            </w:r>
            <w:r w:rsidR="00E713F5">
              <w:rPr>
                <w:rFonts w:asciiTheme="majorBidi" w:eastAsia="MS Mincho" w:hAnsiTheme="majorBidi" w:cstheme="majorBidi"/>
                <w:lang w:val="fr-CH"/>
              </w:rPr>
              <w:t>nses de fonctionnement du s</w:t>
            </w:r>
            <w:r>
              <w:rPr>
                <w:rFonts w:asciiTheme="majorBidi" w:eastAsia="MS Mincho" w:hAnsiTheme="majorBidi" w:cstheme="majorBidi"/>
                <w:lang w:val="fr-CH"/>
              </w:rPr>
              <w:t>ecrétariat dans ce lie</w:t>
            </w:r>
            <w:r w:rsidR="00651E3B">
              <w:rPr>
                <w:rFonts w:asciiTheme="majorBidi" w:eastAsia="MS Mincho" w:hAnsiTheme="majorBidi" w:cstheme="majorBidi"/>
                <w:lang w:val="fr-CH"/>
              </w:rPr>
              <w:t>u d’implantation est de 200 000 </w:t>
            </w:r>
            <w:r>
              <w:rPr>
                <w:rFonts w:asciiTheme="majorBidi" w:eastAsia="MS Mincho" w:hAnsiTheme="majorBidi" w:cstheme="majorBidi"/>
                <w:lang w:val="fr-CH"/>
              </w:rPr>
              <w:t>dollars par an;</w:t>
            </w:r>
          </w:p>
          <w:p w14:paraId="1935349A" w14:textId="176A15CD" w:rsidR="00476A27" w:rsidRDefault="00476A27" w:rsidP="00476A27">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coûts</w:t>
            </w:r>
            <w:r w:rsidR="006B7E1B">
              <w:rPr>
                <w:rFonts w:asciiTheme="majorBidi" w:eastAsia="MS Mincho" w:hAnsiTheme="majorBidi" w:cstheme="majorBidi"/>
                <w:lang w:val="fr-CH"/>
              </w:rPr>
              <w:t xml:space="preserve"> d’organisation d</w:t>
            </w:r>
            <w:r>
              <w:rPr>
                <w:rFonts w:asciiTheme="majorBidi" w:eastAsia="MS Mincho" w:hAnsiTheme="majorBidi" w:cstheme="majorBidi"/>
                <w:lang w:val="fr-CH"/>
              </w:rPr>
              <w:t>es réunions de la Conférence des P</w:t>
            </w:r>
            <w:r w:rsidR="00651E3B">
              <w:rPr>
                <w:rFonts w:asciiTheme="majorBidi" w:eastAsia="MS Mincho" w:hAnsiTheme="majorBidi" w:cstheme="majorBidi"/>
                <w:lang w:val="fr-CH"/>
              </w:rPr>
              <w:t>arties à Bangkok est de 840 000 </w:t>
            </w:r>
            <w:r>
              <w:rPr>
                <w:rFonts w:asciiTheme="majorBidi" w:eastAsia="MS Mincho" w:hAnsiTheme="majorBidi" w:cstheme="majorBidi"/>
                <w:lang w:val="fr-CH"/>
              </w:rPr>
              <w:t>dollars par réunion;</w:t>
            </w:r>
          </w:p>
          <w:p w14:paraId="72A7D5B3" w14:textId="7507D048" w:rsidR="00280BEC" w:rsidRDefault="00280BEC" w:rsidP="00280BEC">
            <w:pPr>
              <w:pStyle w:val="Normalnumber"/>
              <w:numPr>
                <w:ilvl w:val="0"/>
                <w:numId w:val="0"/>
              </w:numPr>
              <w:tabs>
                <w:tab w:val="left" w:pos="1871"/>
              </w:tabs>
              <w:rPr>
                <w:rFonts w:asciiTheme="majorBidi" w:eastAsia="MS Mincho" w:hAnsiTheme="majorBidi" w:cstheme="majorBidi"/>
                <w:lang w:val="fr-CH"/>
              </w:rPr>
            </w:pPr>
            <w:r w:rsidRPr="00DB46F4">
              <w:rPr>
                <w:rFonts w:asciiTheme="majorBidi" w:eastAsia="MS Mincho" w:hAnsiTheme="majorBidi" w:cstheme="majorBidi"/>
                <w:lang w:val="fr-CH"/>
              </w:rPr>
              <w:t xml:space="preserve">Le montant </w:t>
            </w:r>
            <w:r>
              <w:rPr>
                <w:rFonts w:asciiTheme="majorBidi" w:eastAsia="MS Mincho" w:hAnsiTheme="majorBidi" w:cstheme="majorBidi"/>
                <w:lang w:val="fr-CH"/>
              </w:rPr>
              <w:t>estimatif des frais de voyage pour le personnel participant aux réunions sur les produits chimiques et les déchets à Genève</w:t>
            </w:r>
            <w:r w:rsidRPr="00DB46F4">
              <w:rPr>
                <w:rFonts w:asciiTheme="majorBidi" w:eastAsia="MS Mincho" w:hAnsiTheme="majorBidi" w:cstheme="majorBidi"/>
                <w:lang w:val="fr-CH"/>
              </w:rPr>
              <w:t xml:space="preserve"> </w:t>
            </w:r>
            <w:r w:rsidR="00651E3B">
              <w:rPr>
                <w:rFonts w:asciiTheme="majorBidi" w:eastAsia="MS Mincho" w:hAnsiTheme="majorBidi" w:cstheme="majorBidi"/>
                <w:lang w:val="fr-CH"/>
              </w:rPr>
              <w:t>est de 45 000 </w:t>
            </w:r>
            <w:r>
              <w:rPr>
                <w:rFonts w:asciiTheme="majorBidi" w:eastAsia="MS Mincho" w:hAnsiTheme="majorBidi" w:cstheme="majorBidi"/>
                <w:lang w:val="fr-CH"/>
              </w:rPr>
              <w:t xml:space="preserve">dollars </w:t>
            </w:r>
            <w:r w:rsidR="00B77B3E">
              <w:rPr>
                <w:rFonts w:asciiTheme="majorBidi" w:eastAsia="MS Mincho" w:hAnsiTheme="majorBidi" w:cstheme="majorBidi"/>
                <w:lang w:val="fr-CH"/>
              </w:rPr>
              <w:lastRenderedPageBreak/>
              <w:t>environ pour la période</w:t>
            </w:r>
            <w:r>
              <w:rPr>
                <w:rFonts w:asciiTheme="majorBidi" w:eastAsia="MS Mincho" w:hAnsiTheme="majorBidi" w:cstheme="majorBidi"/>
                <w:lang w:val="fr-CH"/>
              </w:rPr>
              <w:t xml:space="preserve"> biennal</w:t>
            </w:r>
            <w:r w:rsidR="00B77B3E">
              <w:rPr>
                <w:rFonts w:asciiTheme="majorBidi" w:eastAsia="MS Mincho" w:hAnsiTheme="majorBidi" w:cstheme="majorBidi"/>
                <w:lang w:val="fr-CH"/>
              </w:rPr>
              <w:t>e</w:t>
            </w:r>
            <w:r w:rsidR="00E54D19">
              <w:rPr>
                <w:rFonts w:asciiTheme="majorBidi" w:eastAsia="MS Mincho" w:hAnsiTheme="majorBidi" w:cstheme="majorBidi"/>
                <w:lang w:val="fr-CH"/>
              </w:rPr>
              <w:t xml:space="preserve"> 2018-2019;</w:t>
            </w:r>
          </w:p>
          <w:p w14:paraId="5E228939" w14:textId="6051728A" w:rsidR="0059785C" w:rsidRPr="00DF6ACA" w:rsidRDefault="00DF6ACA" w:rsidP="00E25138">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 xml:space="preserve">Pour </w:t>
            </w:r>
            <w:r w:rsidRPr="00603BE8">
              <w:rPr>
                <w:rFonts w:asciiTheme="majorBidi" w:eastAsia="MS Mincho" w:hAnsiTheme="majorBidi" w:cstheme="majorBidi"/>
                <w:lang w:val="fr-CH"/>
              </w:rPr>
              <w:t>information, les frais de voyage pour les délégués</w:t>
            </w:r>
            <w:r>
              <w:rPr>
                <w:rFonts w:asciiTheme="majorBidi" w:eastAsia="MS Mincho" w:hAnsiTheme="majorBidi" w:cstheme="majorBidi"/>
                <w:lang w:val="fr-CH"/>
              </w:rPr>
              <w:t xml:space="preserve"> techniques</w:t>
            </w:r>
            <w:r w:rsidR="001E2B00">
              <w:rPr>
                <w:rFonts w:asciiTheme="majorBidi" w:eastAsia="MS Mincho" w:hAnsiTheme="majorBidi" w:cstheme="majorBidi"/>
                <w:lang w:val="fr-CH"/>
              </w:rPr>
              <w:t xml:space="preserve"> bénéficiant d’un financement</w:t>
            </w:r>
            <w:r>
              <w:rPr>
                <w:rFonts w:asciiTheme="majorBidi" w:eastAsia="MS Mincho" w:hAnsiTheme="majorBidi" w:cstheme="majorBidi"/>
                <w:lang w:val="fr-CH"/>
              </w:rPr>
              <w:t xml:space="preserve"> qui participent à une réunion de la Conférence des Parties à Bangkok</w:t>
            </w:r>
            <w:r w:rsidR="00B77B3E">
              <w:rPr>
                <w:rFonts w:asciiTheme="majorBidi" w:eastAsia="MS Mincho" w:hAnsiTheme="majorBidi" w:cstheme="majorBidi"/>
                <w:lang w:val="fr-CH"/>
              </w:rPr>
              <w:t xml:space="preserve"> sont estimés </w:t>
            </w:r>
            <w:r w:rsidR="00E25138">
              <w:rPr>
                <w:rFonts w:asciiTheme="majorBidi" w:eastAsia="MS Mincho" w:hAnsiTheme="majorBidi" w:cstheme="majorBidi"/>
                <w:lang w:val="fr-CH"/>
              </w:rPr>
              <w:t>à</w:t>
            </w:r>
            <w:r w:rsidR="00651E3B">
              <w:rPr>
                <w:rFonts w:asciiTheme="majorBidi" w:eastAsia="MS Mincho" w:hAnsiTheme="majorBidi" w:cstheme="majorBidi"/>
                <w:lang w:val="fr-CH"/>
              </w:rPr>
              <w:t xml:space="preserve"> 470 000 </w:t>
            </w:r>
            <w:r>
              <w:rPr>
                <w:rFonts w:asciiTheme="majorBidi" w:eastAsia="MS Mincho" w:hAnsiTheme="majorBidi" w:cstheme="majorBidi"/>
                <w:lang w:val="fr-CH"/>
              </w:rPr>
              <w:t>dollars</w:t>
            </w:r>
            <w:r w:rsidR="00E25138">
              <w:rPr>
                <w:rFonts w:asciiTheme="majorBidi" w:eastAsia="MS Mincho" w:hAnsiTheme="majorBidi" w:cstheme="majorBidi"/>
                <w:lang w:val="fr-CH"/>
              </w:rPr>
              <w:t xml:space="preserve"> environ</w:t>
            </w:r>
            <w:r>
              <w:rPr>
                <w:rFonts w:asciiTheme="majorBidi" w:eastAsia="MS Mincho" w:hAnsiTheme="majorBidi" w:cstheme="majorBidi"/>
                <w:lang w:val="fr-CH"/>
              </w:rPr>
              <w:t>.</w:t>
            </w:r>
          </w:p>
        </w:tc>
      </w:tr>
      <w:tr w:rsidR="0059785C" w:rsidRPr="00A84D20" w14:paraId="0E63D469" w14:textId="77777777" w:rsidTr="006F64C0">
        <w:tc>
          <w:tcPr>
            <w:tcW w:w="1428" w:type="dxa"/>
          </w:tcPr>
          <w:p w14:paraId="3F0FE560" w14:textId="37238084" w:rsidR="0059785C" w:rsidRPr="003129FF" w:rsidRDefault="003129FF" w:rsidP="00EA17CB">
            <w:pPr>
              <w:keepNext/>
              <w:keepLines/>
              <w:rPr>
                <w:rFonts w:asciiTheme="majorBidi" w:hAnsiTheme="majorBidi" w:cstheme="majorBidi"/>
                <w:b/>
                <w:bCs/>
                <w:lang w:val="fr-CH"/>
              </w:rPr>
            </w:pPr>
            <w:r w:rsidRPr="003129FF">
              <w:rPr>
                <w:rFonts w:asciiTheme="majorBidi" w:hAnsiTheme="majorBidi" w:cstheme="majorBidi"/>
                <w:b/>
                <w:bCs/>
                <w:lang w:val="fr-CH"/>
              </w:rPr>
              <w:lastRenderedPageBreak/>
              <w:t>Vienne</w:t>
            </w:r>
          </w:p>
          <w:p w14:paraId="5FDF6984" w14:textId="1630F686" w:rsidR="0059785C" w:rsidRPr="003129FF" w:rsidRDefault="003129FF" w:rsidP="007428DB">
            <w:pPr>
              <w:keepNext/>
              <w:keepLines/>
              <w:rPr>
                <w:rFonts w:asciiTheme="majorBidi" w:hAnsiTheme="majorBidi" w:cstheme="majorBidi"/>
                <w:lang w:val="fr-CH"/>
              </w:rPr>
            </w:pPr>
            <w:r w:rsidRPr="003133C3">
              <w:rPr>
                <w:rFonts w:asciiTheme="majorBidi" w:hAnsiTheme="majorBidi" w:cstheme="majorBidi"/>
                <w:lang w:val="fr-CH"/>
              </w:rPr>
              <w:t>(</w:t>
            </w:r>
            <w:r w:rsidR="007428DB">
              <w:rPr>
                <w:rFonts w:asciiTheme="majorBidi" w:hAnsiTheme="majorBidi" w:cstheme="majorBidi"/>
                <w:lang w:val="fr-CH"/>
              </w:rPr>
              <w:t>sur la base d</w:t>
            </w:r>
            <w:r w:rsidRPr="00710835">
              <w:rPr>
                <w:rFonts w:asciiTheme="majorBidi" w:hAnsiTheme="majorBidi" w:cstheme="majorBidi"/>
                <w:lang w:val="fr-CH"/>
              </w:rPr>
              <w:t xml:space="preserve">es coûts salariaux </w:t>
            </w:r>
            <w:r w:rsidR="007428DB">
              <w:rPr>
                <w:rFonts w:asciiTheme="majorBidi" w:hAnsiTheme="majorBidi" w:cstheme="majorBidi"/>
                <w:lang w:val="fr-CH"/>
              </w:rPr>
              <w:t>standards</w:t>
            </w:r>
            <w:r w:rsidRPr="003133C3">
              <w:rPr>
                <w:rFonts w:asciiTheme="majorBidi" w:hAnsiTheme="majorBidi" w:cstheme="majorBidi"/>
                <w:lang w:val="fr-CH"/>
              </w:rPr>
              <w:t>)</w:t>
            </w:r>
          </w:p>
        </w:tc>
        <w:tc>
          <w:tcPr>
            <w:tcW w:w="4479" w:type="dxa"/>
          </w:tcPr>
          <w:p w14:paraId="56FA0AFA" w14:textId="04283E79" w:rsidR="001A52BD" w:rsidRPr="001A52BD" w:rsidRDefault="00634756" w:rsidP="00EA17CB">
            <w:pPr>
              <w:keepNext/>
              <w:keepLines/>
              <w:rPr>
                <w:rFonts w:asciiTheme="majorBidi" w:eastAsia="MS Mincho" w:hAnsiTheme="majorBidi" w:cstheme="majorBidi"/>
                <w:lang w:val="fr-CH"/>
              </w:rPr>
            </w:pPr>
            <w:r>
              <w:rPr>
                <w:rFonts w:asciiTheme="majorBidi" w:eastAsia="MS Mincho" w:hAnsiTheme="majorBidi" w:cstheme="majorBidi"/>
                <w:lang w:val="fr-CH"/>
              </w:rPr>
              <w:t>Ce lieu d’implantation offre la possibilité</w:t>
            </w:r>
            <w:r w:rsidR="001A52BD" w:rsidRPr="001A52BD">
              <w:rPr>
                <w:rFonts w:asciiTheme="majorBidi" w:eastAsia="MS Mincho" w:hAnsiTheme="majorBidi" w:cstheme="majorBidi"/>
                <w:lang w:val="fr-CH"/>
              </w:rPr>
              <w:t xml:space="preserve"> de travailler en étroite </w:t>
            </w:r>
            <w:r w:rsidR="00BA7FA2">
              <w:rPr>
                <w:rFonts w:asciiTheme="majorBidi" w:eastAsia="MS Mincho" w:hAnsiTheme="majorBidi" w:cstheme="majorBidi"/>
                <w:lang w:val="fr-CH"/>
              </w:rPr>
              <w:t>coopé</w:t>
            </w:r>
            <w:r w:rsidR="001A52BD" w:rsidRPr="001A52BD">
              <w:rPr>
                <w:rFonts w:asciiTheme="majorBidi" w:eastAsia="MS Mincho" w:hAnsiTheme="majorBidi" w:cstheme="majorBidi"/>
                <w:lang w:val="fr-CH"/>
              </w:rPr>
              <w:t xml:space="preserve">ration avec l’Organisation des Nations Unies pour le développement industriel, un </w:t>
            </w:r>
            <w:r w:rsidR="00763D9A">
              <w:rPr>
                <w:rFonts w:asciiTheme="majorBidi" w:eastAsia="MS Mincho" w:hAnsiTheme="majorBidi" w:cstheme="majorBidi"/>
                <w:lang w:val="fr-CH"/>
              </w:rPr>
              <w:t>agent d’exécution clef</w:t>
            </w:r>
            <w:r w:rsidR="00BA7FA2">
              <w:rPr>
                <w:rFonts w:asciiTheme="majorBidi" w:eastAsia="MS Mincho" w:hAnsiTheme="majorBidi" w:cstheme="majorBidi"/>
                <w:lang w:val="fr-CH"/>
              </w:rPr>
              <w:t xml:space="preserve"> du Fonds pour l’environnement mondial (FEM) fortement impliqué dans les activités de mise en œuvre </w:t>
            </w:r>
            <w:r w:rsidR="00836222">
              <w:rPr>
                <w:rFonts w:asciiTheme="majorBidi" w:eastAsia="MS Mincho" w:hAnsiTheme="majorBidi" w:cstheme="majorBidi"/>
                <w:lang w:val="fr-CH"/>
              </w:rPr>
              <w:t xml:space="preserve">de la Convention de Minamata, et héberge également des missions permanentes. Le secrétariat permanent pourrait être </w:t>
            </w:r>
            <w:r w:rsidR="006D0502">
              <w:rPr>
                <w:rFonts w:asciiTheme="majorBidi" w:eastAsia="MS Mincho" w:hAnsiTheme="majorBidi" w:cstheme="majorBidi"/>
                <w:lang w:val="fr-CH"/>
              </w:rPr>
              <w:t>intégré au bureau du PNUE aux côtés du secrétariat provisoire de la Convention</w:t>
            </w:r>
            <w:r w:rsidR="006D0502">
              <w:rPr>
                <w:rFonts w:asciiTheme="majorBidi" w:eastAsia="MS Mincho" w:hAnsiTheme="majorBidi" w:cstheme="majorBidi"/>
                <w:lang w:val="fr-CH"/>
              </w:rPr>
              <w:noBreakHyphen/>
              <w:t xml:space="preserve">cadre sur la protection et le développement durable des Carpates. Vienne dispose également d’installations de conférences </w:t>
            </w:r>
            <w:r w:rsidR="00C304AA">
              <w:rPr>
                <w:rFonts w:asciiTheme="majorBidi" w:eastAsia="MS Mincho" w:hAnsiTheme="majorBidi" w:cstheme="majorBidi"/>
                <w:lang w:val="fr-CH"/>
              </w:rPr>
              <w:t xml:space="preserve">adéquates </w:t>
            </w:r>
            <w:r w:rsidR="006D0502">
              <w:rPr>
                <w:rFonts w:asciiTheme="majorBidi" w:eastAsia="MS Mincho" w:hAnsiTheme="majorBidi" w:cstheme="majorBidi"/>
                <w:lang w:val="fr-CH"/>
              </w:rPr>
              <w:t>des Nations Unies.</w:t>
            </w:r>
          </w:p>
          <w:p w14:paraId="51840C22" w14:textId="77777777" w:rsidR="001A52BD" w:rsidRPr="001A52BD" w:rsidRDefault="001A52BD" w:rsidP="00EA17CB">
            <w:pPr>
              <w:keepNext/>
              <w:keepLines/>
              <w:rPr>
                <w:rFonts w:asciiTheme="majorBidi" w:eastAsia="MS Mincho" w:hAnsiTheme="majorBidi" w:cstheme="majorBidi"/>
                <w:lang w:val="fr-CH"/>
              </w:rPr>
            </w:pPr>
          </w:p>
          <w:p w14:paraId="56692945" w14:textId="77777777" w:rsidR="00544B5C" w:rsidRPr="00C304AA" w:rsidRDefault="00544B5C" w:rsidP="00EA17CB">
            <w:pPr>
              <w:keepNext/>
              <w:keepLines/>
              <w:rPr>
                <w:rFonts w:asciiTheme="majorBidi" w:eastAsia="MS Mincho" w:hAnsiTheme="majorBidi" w:cstheme="majorBidi"/>
                <w:lang w:val="fr-CH"/>
              </w:rPr>
            </w:pPr>
          </w:p>
          <w:p w14:paraId="18DFDE66" w14:textId="636CBE9C" w:rsidR="00544B5C" w:rsidRPr="00C304AA" w:rsidRDefault="00544B5C" w:rsidP="00EA17CB">
            <w:pPr>
              <w:keepNext/>
              <w:keepLines/>
              <w:rPr>
                <w:rFonts w:asciiTheme="majorBidi" w:hAnsiTheme="majorBidi" w:cstheme="majorBidi"/>
                <w:lang w:val="fr-CH"/>
              </w:rPr>
            </w:pPr>
          </w:p>
        </w:tc>
        <w:tc>
          <w:tcPr>
            <w:tcW w:w="2955" w:type="dxa"/>
          </w:tcPr>
          <w:p w14:paraId="0E8EB6C8" w14:textId="53B3B605" w:rsidR="005108E4" w:rsidRPr="004256D8" w:rsidRDefault="00BD7163" w:rsidP="005108E4">
            <w:pPr>
              <w:pStyle w:val="Normalnumber"/>
              <w:numPr>
                <w:ilvl w:val="0"/>
                <w:numId w:val="0"/>
              </w:numPr>
              <w:rPr>
                <w:rFonts w:eastAsia="MS Mincho"/>
                <w:lang w:val="fr-CH"/>
              </w:rPr>
            </w:pPr>
            <w:r>
              <w:rPr>
                <w:rFonts w:asciiTheme="majorBidi" w:eastAsia="MS Mincho" w:hAnsiTheme="majorBidi" w:cstheme="majorBidi"/>
                <w:lang w:val="fr-CH"/>
              </w:rPr>
              <w:t>Les dépenses de personnel</w:t>
            </w:r>
            <w:r w:rsidR="005108E4" w:rsidRPr="00CD608A">
              <w:rPr>
                <w:rFonts w:asciiTheme="majorBidi" w:eastAsia="MS Mincho" w:hAnsiTheme="majorBidi" w:cstheme="majorBidi"/>
                <w:lang w:val="fr-CH"/>
              </w:rPr>
              <w:t xml:space="preserve"> pour cette option s’élèvent à </w:t>
            </w:r>
            <w:r w:rsidR="005108E4">
              <w:rPr>
                <w:rFonts w:eastAsia="MS Mincho"/>
                <w:b/>
                <w:bCs/>
                <w:lang w:val="fr-CH"/>
              </w:rPr>
              <w:t>2 </w:t>
            </w:r>
            <w:r w:rsidR="00E54D19">
              <w:rPr>
                <w:rFonts w:eastAsia="MS Mincho"/>
                <w:b/>
                <w:bCs/>
                <w:lang w:val="fr-CH"/>
              </w:rPr>
              <w:t>346</w:t>
            </w:r>
            <w:r w:rsidR="005108E4">
              <w:rPr>
                <w:rFonts w:eastAsia="MS Mincho"/>
                <w:b/>
                <w:bCs/>
                <w:lang w:val="fr-CH"/>
              </w:rPr>
              <w:t> </w:t>
            </w:r>
            <w:r w:rsidR="00E54D19">
              <w:rPr>
                <w:rFonts w:eastAsia="MS Mincho"/>
                <w:b/>
                <w:bCs/>
                <w:lang w:val="fr-CH"/>
              </w:rPr>
              <w:t>4</w:t>
            </w:r>
            <w:r w:rsidR="00651E3B">
              <w:rPr>
                <w:rFonts w:eastAsia="MS Mincho"/>
                <w:b/>
                <w:bCs/>
                <w:lang w:val="fr-CH"/>
              </w:rPr>
              <w:t>00 </w:t>
            </w:r>
            <w:r w:rsidR="005108E4">
              <w:rPr>
                <w:rFonts w:eastAsia="MS Mincho"/>
                <w:b/>
                <w:bCs/>
                <w:lang w:val="fr-CH"/>
              </w:rPr>
              <w:t xml:space="preserve">dollars </w:t>
            </w:r>
            <w:r w:rsidR="005108E4" w:rsidRPr="00966A73">
              <w:rPr>
                <w:rFonts w:eastAsia="MS Mincho"/>
                <w:b/>
                <w:bCs/>
                <w:lang w:val="fr-CH"/>
              </w:rPr>
              <w:t>par an</w:t>
            </w:r>
            <w:r w:rsidR="005108E4" w:rsidRPr="004256D8">
              <w:rPr>
                <w:rFonts w:eastAsia="MS Mincho"/>
                <w:lang w:val="fr-CH"/>
              </w:rPr>
              <w:t xml:space="preserve"> (</w:t>
            </w:r>
            <w:r w:rsidR="005108E4">
              <w:rPr>
                <w:rFonts w:eastAsia="MS Mincho"/>
                <w:lang w:val="fr-CH"/>
              </w:rPr>
              <w:t>voir a</w:t>
            </w:r>
            <w:r w:rsidR="00E25138">
              <w:rPr>
                <w:rFonts w:eastAsia="MS Mincho"/>
                <w:lang w:val="fr-CH"/>
              </w:rPr>
              <w:t>ppendic</w:t>
            </w:r>
            <w:r w:rsidR="005108E4">
              <w:rPr>
                <w:rFonts w:eastAsia="MS Mincho"/>
                <w:lang w:val="fr-CH"/>
              </w:rPr>
              <w:t>e</w:t>
            </w:r>
            <w:r w:rsidR="00651E3B">
              <w:rPr>
                <w:rFonts w:eastAsia="MS Mincho"/>
                <w:lang w:val="fr-CH"/>
              </w:rPr>
              <w:t> </w:t>
            </w:r>
            <w:r w:rsidR="005108E4" w:rsidRPr="004256D8">
              <w:rPr>
                <w:rFonts w:eastAsia="MS Mincho"/>
                <w:lang w:val="fr-CH"/>
              </w:rPr>
              <w:t>II, table</w:t>
            </w:r>
            <w:r w:rsidR="005108E4">
              <w:rPr>
                <w:rFonts w:eastAsia="MS Mincho"/>
                <w:lang w:val="fr-CH"/>
              </w:rPr>
              <w:t>au</w:t>
            </w:r>
            <w:r w:rsidR="00651E3B">
              <w:rPr>
                <w:rFonts w:eastAsia="MS Mincho"/>
                <w:lang w:val="fr-CH"/>
              </w:rPr>
              <w:t> </w:t>
            </w:r>
            <w:r w:rsidR="005108E4" w:rsidRPr="004256D8">
              <w:rPr>
                <w:rFonts w:eastAsia="MS Mincho"/>
                <w:lang w:val="fr-CH"/>
              </w:rPr>
              <w:t>3).</w:t>
            </w:r>
          </w:p>
          <w:p w14:paraId="18E79B8D" w14:textId="5A1F7C4A" w:rsidR="00E54D19" w:rsidRDefault="00E54D19" w:rsidP="00E54D19">
            <w:pPr>
              <w:pStyle w:val="Normalnumber"/>
              <w:numPr>
                <w:ilvl w:val="0"/>
                <w:numId w:val="0"/>
              </w:numPr>
              <w:rPr>
                <w:rFonts w:asciiTheme="majorBidi" w:eastAsia="MS Mincho" w:hAnsiTheme="majorBidi" w:cstheme="majorBidi"/>
                <w:lang w:val="fr-CH"/>
              </w:rPr>
            </w:pPr>
            <w:r>
              <w:rPr>
                <w:rFonts w:asciiTheme="majorBidi" w:eastAsia="MS Mincho" w:hAnsiTheme="majorBidi" w:cstheme="majorBidi"/>
                <w:lang w:val="fr-CH"/>
              </w:rPr>
              <w:t xml:space="preserve">De plus, comme indiqué dans </w:t>
            </w:r>
            <w:r w:rsidR="00651E3B">
              <w:rPr>
                <w:rFonts w:asciiTheme="majorBidi" w:eastAsia="MS Mincho" w:hAnsiTheme="majorBidi" w:cstheme="majorBidi"/>
                <w:lang w:val="fr-CH"/>
              </w:rPr>
              <w:t>le tableau </w:t>
            </w:r>
            <w:r w:rsidRPr="00EA488F">
              <w:rPr>
                <w:rFonts w:asciiTheme="majorBidi" w:eastAsia="MS Mincho" w:hAnsiTheme="majorBidi" w:cstheme="majorBidi"/>
                <w:lang w:val="fr-CH"/>
              </w:rPr>
              <w:t>4 de l’a</w:t>
            </w:r>
            <w:r w:rsidR="00E25138">
              <w:rPr>
                <w:rFonts w:asciiTheme="majorBidi" w:eastAsia="MS Mincho" w:hAnsiTheme="majorBidi" w:cstheme="majorBidi"/>
                <w:lang w:val="fr-CH"/>
              </w:rPr>
              <w:t>ppendic</w:t>
            </w:r>
            <w:r w:rsidR="001945B7">
              <w:rPr>
                <w:rFonts w:asciiTheme="majorBidi" w:eastAsia="MS Mincho" w:hAnsiTheme="majorBidi" w:cstheme="majorBidi"/>
                <w:lang w:val="fr-CH"/>
              </w:rPr>
              <w:t>e </w:t>
            </w:r>
            <w:r w:rsidRPr="00EA488F">
              <w:rPr>
                <w:rFonts w:asciiTheme="majorBidi" w:eastAsia="MS Mincho" w:hAnsiTheme="majorBidi" w:cstheme="majorBidi"/>
                <w:lang w:val="fr-CH"/>
              </w:rPr>
              <w:t>II</w:t>
            </w:r>
            <w:r w:rsidR="001945B7">
              <w:rPr>
                <w:rFonts w:asciiTheme="majorBidi" w:eastAsia="MS Mincho" w:hAnsiTheme="majorBidi" w:cstheme="majorBidi"/>
                <w:lang w:val="fr-CH"/>
              </w:rPr>
              <w:t> </w:t>
            </w:r>
            <w:r w:rsidRPr="00EA488F">
              <w:rPr>
                <w:rFonts w:asciiTheme="majorBidi" w:eastAsia="MS Mincho" w:hAnsiTheme="majorBidi" w:cstheme="majorBidi"/>
                <w:lang w:val="fr-CH"/>
              </w:rPr>
              <w:t xml:space="preserve">: </w:t>
            </w:r>
          </w:p>
          <w:p w14:paraId="45AFBB79" w14:textId="27BE4B15" w:rsidR="00E54D19" w:rsidRDefault="00E54D19" w:rsidP="00E54D19">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d</w:t>
            </w:r>
            <w:r w:rsidRPr="00596E76">
              <w:rPr>
                <w:rFonts w:asciiTheme="majorBidi" w:eastAsia="MS Mincho" w:hAnsiTheme="majorBidi" w:cstheme="majorBidi"/>
                <w:lang w:val="fr-CH"/>
              </w:rPr>
              <w:t>épe</w:t>
            </w:r>
            <w:r w:rsidR="00634756">
              <w:rPr>
                <w:rFonts w:asciiTheme="majorBidi" w:eastAsia="MS Mincho" w:hAnsiTheme="majorBidi" w:cstheme="majorBidi"/>
                <w:lang w:val="fr-CH"/>
              </w:rPr>
              <w:t>nses de fonctionnement du s</w:t>
            </w:r>
            <w:r>
              <w:rPr>
                <w:rFonts w:asciiTheme="majorBidi" w:eastAsia="MS Mincho" w:hAnsiTheme="majorBidi" w:cstheme="majorBidi"/>
                <w:lang w:val="fr-CH"/>
              </w:rPr>
              <w:t xml:space="preserve">ecrétariat dans ce lieu d’implantation </w:t>
            </w:r>
            <w:r w:rsidR="001945B7">
              <w:rPr>
                <w:rFonts w:asciiTheme="majorBidi" w:eastAsia="MS Mincho" w:hAnsiTheme="majorBidi" w:cstheme="majorBidi"/>
                <w:lang w:val="fr-CH"/>
              </w:rPr>
              <w:t>est de 250 000 </w:t>
            </w:r>
            <w:r>
              <w:rPr>
                <w:rFonts w:asciiTheme="majorBidi" w:eastAsia="MS Mincho" w:hAnsiTheme="majorBidi" w:cstheme="majorBidi"/>
                <w:lang w:val="fr-CH"/>
              </w:rPr>
              <w:t>dollars par an;</w:t>
            </w:r>
          </w:p>
          <w:p w14:paraId="395F9B58" w14:textId="523D2FDA" w:rsidR="00055668" w:rsidRDefault="00055668" w:rsidP="00055668">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coûts d’organisation pour chaque réunion de la Conférence des Parties dans ce lie</w:t>
            </w:r>
            <w:r w:rsidR="001945B7">
              <w:rPr>
                <w:rFonts w:asciiTheme="majorBidi" w:eastAsia="MS Mincho" w:hAnsiTheme="majorBidi" w:cstheme="majorBidi"/>
                <w:lang w:val="fr-CH"/>
              </w:rPr>
              <w:t>u d’implantation est de 870 000 </w:t>
            </w:r>
            <w:r>
              <w:rPr>
                <w:rFonts w:asciiTheme="majorBidi" w:eastAsia="MS Mincho" w:hAnsiTheme="majorBidi" w:cstheme="majorBidi"/>
                <w:lang w:val="fr-CH"/>
              </w:rPr>
              <w:t>dollars;</w:t>
            </w:r>
          </w:p>
          <w:p w14:paraId="34D7F73A" w14:textId="7A957159" w:rsidR="00C304AA" w:rsidRDefault="00C304AA" w:rsidP="00C304AA">
            <w:pPr>
              <w:pStyle w:val="Normalnumber"/>
              <w:numPr>
                <w:ilvl w:val="0"/>
                <w:numId w:val="0"/>
              </w:numPr>
              <w:tabs>
                <w:tab w:val="left" w:pos="1871"/>
              </w:tabs>
              <w:rPr>
                <w:rFonts w:asciiTheme="majorBidi" w:eastAsia="MS Mincho" w:hAnsiTheme="majorBidi" w:cstheme="majorBidi"/>
                <w:lang w:val="fr-CH"/>
              </w:rPr>
            </w:pPr>
            <w:r w:rsidRPr="00DB46F4">
              <w:rPr>
                <w:rFonts w:asciiTheme="majorBidi" w:eastAsia="MS Mincho" w:hAnsiTheme="majorBidi" w:cstheme="majorBidi"/>
                <w:lang w:val="fr-CH"/>
              </w:rPr>
              <w:t xml:space="preserve">Le montant </w:t>
            </w:r>
            <w:r>
              <w:rPr>
                <w:rFonts w:asciiTheme="majorBidi" w:eastAsia="MS Mincho" w:hAnsiTheme="majorBidi" w:cstheme="majorBidi"/>
                <w:lang w:val="fr-CH"/>
              </w:rPr>
              <w:t>estimatif des frais de voyage pour le personnel participant aux réunions sur les produits chimiques et les déchets à Genève</w:t>
            </w:r>
            <w:r w:rsidRPr="00DB46F4">
              <w:rPr>
                <w:rFonts w:asciiTheme="majorBidi" w:eastAsia="MS Mincho" w:hAnsiTheme="majorBidi" w:cstheme="majorBidi"/>
                <w:lang w:val="fr-CH"/>
              </w:rPr>
              <w:t xml:space="preserve"> </w:t>
            </w:r>
            <w:r w:rsidR="001945B7">
              <w:rPr>
                <w:rFonts w:asciiTheme="majorBidi" w:eastAsia="MS Mincho" w:hAnsiTheme="majorBidi" w:cstheme="majorBidi"/>
                <w:lang w:val="fr-CH"/>
              </w:rPr>
              <w:t>est de 20 000 </w:t>
            </w:r>
            <w:r w:rsidR="00634756">
              <w:rPr>
                <w:rFonts w:asciiTheme="majorBidi" w:eastAsia="MS Mincho" w:hAnsiTheme="majorBidi" w:cstheme="majorBidi"/>
                <w:lang w:val="fr-CH"/>
              </w:rPr>
              <w:t xml:space="preserve">dollars environ pour la période </w:t>
            </w:r>
            <w:r>
              <w:rPr>
                <w:rFonts w:asciiTheme="majorBidi" w:eastAsia="MS Mincho" w:hAnsiTheme="majorBidi" w:cstheme="majorBidi"/>
                <w:lang w:val="fr-CH"/>
              </w:rPr>
              <w:t>biennal</w:t>
            </w:r>
            <w:r w:rsidR="00634756">
              <w:rPr>
                <w:rFonts w:asciiTheme="majorBidi" w:eastAsia="MS Mincho" w:hAnsiTheme="majorBidi" w:cstheme="majorBidi"/>
                <w:lang w:val="fr-CH"/>
              </w:rPr>
              <w:t>e</w:t>
            </w:r>
            <w:r>
              <w:rPr>
                <w:rFonts w:asciiTheme="majorBidi" w:eastAsia="MS Mincho" w:hAnsiTheme="majorBidi" w:cstheme="majorBidi"/>
                <w:lang w:val="fr-CH"/>
              </w:rPr>
              <w:t xml:space="preserve"> 2018-2019;</w:t>
            </w:r>
          </w:p>
          <w:p w14:paraId="376DE7D6" w14:textId="22B2189E" w:rsidR="0059785C" w:rsidRPr="00083005" w:rsidRDefault="00083005" w:rsidP="00067643">
            <w:pPr>
              <w:pStyle w:val="Normalnumber"/>
              <w:keepNext/>
              <w:keepLines/>
              <w:numPr>
                <w:ilvl w:val="0"/>
                <w:numId w:val="0"/>
              </w:numPr>
              <w:rPr>
                <w:rFonts w:asciiTheme="majorBidi" w:hAnsiTheme="majorBidi" w:cstheme="majorBidi"/>
                <w:lang w:val="fr-CH"/>
              </w:rPr>
            </w:pPr>
            <w:r>
              <w:rPr>
                <w:rFonts w:asciiTheme="majorBidi" w:eastAsia="MS Mincho" w:hAnsiTheme="majorBidi" w:cstheme="majorBidi"/>
                <w:lang w:val="fr-CH"/>
              </w:rPr>
              <w:t>L</w:t>
            </w:r>
            <w:r w:rsidRPr="00603BE8">
              <w:rPr>
                <w:rFonts w:asciiTheme="majorBidi" w:eastAsia="MS Mincho" w:hAnsiTheme="majorBidi" w:cstheme="majorBidi"/>
                <w:lang w:val="fr-CH"/>
              </w:rPr>
              <w:t>es frais de voyage pour les délégués</w:t>
            </w:r>
            <w:r>
              <w:rPr>
                <w:rFonts w:asciiTheme="majorBidi" w:eastAsia="MS Mincho" w:hAnsiTheme="majorBidi" w:cstheme="majorBidi"/>
                <w:lang w:val="fr-CH"/>
              </w:rPr>
              <w:t xml:space="preserve"> techniques</w:t>
            </w:r>
            <w:r w:rsidR="00E25138">
              <w:rPr>
                <w:rFonts w:asciiTheme="majorBidi" w:eastAsia="MS Mincho" w:hAnsiTheme="majorBidi" w:cstheme="majorBidi"/>
                <w:lang w:val="fr-CH"/>
              </w:rPr>
              <w:t xml:space="preserve"> bénéficiant d’un financement</w:t>
            </w:r>
            <w:r>
              <w:rPr>
                <w:rFonts w:asciiTheme="majorBidi" w:eastAsia="MS Mincho" w:hAnsiTheme="majorBidi" w:cstheme="majorBidi"/>
                <w:lang w:val="fr-CH"/>
              </w:rPr>
              <w:t xml:space="preserve"> qui participent à une réunion de la Conférence des Parties à </w:t>
            </w:r>
            <w:r w:rsidR="00067643">
              <w:rPr>
                <w:rFonts w:asciiTheme="majorBidi" w:eastAsia="MS Mincho" w:hAnsiTheme="majorBidi" w:cstheme="majorBidi"/>
                <w:lang w:val="fr-CH"/>
              </w:rPr>
              <w:t>Vienne</w:t>
            </w:r>
            <w:r w:rsidR="001945B7">
              <w:rPr>
                <w:rFonts w:asciiTheme="majorBidi" w:eastAsia="MS Mincho" w:hAnsiTheme="majorBidi" w:cstheme="majorBidi"/>
                <w:lang w:val="fr-CH"/>
              </w:rPr>
              <w:t xml:space="preserve"> </w:t>
            </w:r>
            <w:r w:rsidR="00634756">
              <w:rPr>
                <w:rFonts w:asciiTheme="majorBidi" w:eastAsia="MS Mincho" w:hAnsiTheme="majorBidi" w:cstheme="majorBidi"/>
                <w:lang w:val="fr-CH"/>
              </w:rPr>
              <w:t>sont estimés</w:t>
            </w:r>
            <w:r w:rsidR="001945B7">
              <w:rPr>
                <w:rFonts w:asciiTheme="majorBidi" w:eastAsia="MS Mincho" w:hAnsiTheme="majorBidi" w:cstheme="majorBidi"/>
                <w:lang w:val="fr-CH"/>
              </w:rPr>
              <w:t xml:space="preserve"> à 670 000 </w:t>
            </w:r>
            <w:r>
              <w:rPr>
                <w:rFonts w:asciiTheme="majorBidi" w:eastAsia="MS Mincho" w:hAnsiTheme="majorBidi" w:cstheme="majorBidi"/>
                <w:lang w:val="fr-CH"/>
              </w:rPr>
              <w:t>dollars environ.</w:t>
            </w:r>
            <w:r w:rsidR="0059785C" w:rsidRPr="00083005">
              <w:rPr>
                <w:rFonts w:asciiTheme="majorBidi" w:eastAsia="MS Mincho" w:hAnsiTheme="majorBidi" w:cstheme="majorBidi"/>
                <w:lang w:val="fr-CH"/>
              </w:rPr>
              <w:t xml:space="preserve"> </w:t>
            </w:r>
          </w:p>
        </w:tc>
      </w:tr>
      <w:tr w:rsidR="0059785C" w:rsidRPr="00A84D20" w14:paraId="6CD28C5E" w14:textId="77777777" w:rsidTr="006F64C0">
        <w:tc>
          <w:tcPr>
            <w:tcW w:w="1428" w:type="dxa"/>
          </w:tcPr>
          <w:p w14:paraId="26D8878E" w14:textId="74B4986E" w:rsidR="0059785C" w:rsidRPr="007428DB" w:rsidRDefault="003129FF" w:rsidP="00AB20EE">
            <w:pPr>
              <w:rPr>
                <w:rFonts w:asciiTheme="majorBidi" w:eastAsia="MS Mincho" w:hAnsiTheme="majorBidi" w:cstheme="majorBidi"/>
                <w:lang w:val="fr-CH"/>
              </w:rPr>
            </w:pPr>
            <w:r w:rsidRPr="007428DB">
              <w:rPr>
                <w:rFonts w:asciiTheme="majorBidi" w:eastAsia="MS Mincho" w:hAnsiTheme="majorBidi" w:cstheme="majorBidi"/>
                <w:b/>
                <w:lang w:val="fr-CH"/>
              </w:rPr>
              <w:t>Washington</w:t>
            </w:r>
          </w:p>
          <w:p w14:paraId="5BD50A08" w14:textId="3B34412F" w:rsidR="0059785C" w:rsidRPr="007428DB" w:rsidRDefault="003129FF" w:rsidP="00D3429D">
            <w:pPr>
              <w:rPr>
                <w:rFonts w:asciiTheme="majorBidi" w:hAnsiTheme="majorBidi" w:cstheme="majorBidi"/>
                <w:lang w:val="fr-CH"/>
              </w:rPr>
            </w:pPr>
            <w:r w:rsidRPr="003133C3">
              <w:rPr>
                <w:rFonts w:asciiTheme="majorBidi" w:hAnsiTheme="majorBidi" w:cstheme="majorBidi"/>
                <w:lang w:val="fr-CH"/>
              </w:rPr>
              <w:t>(</w:t>
            </w:r>
            <w:r w:rsidRPr="00710835">
              <w:rPr>
                <w:rFonts w:asciiTheme="majorBidi" w:hAnsiTheme="majorBidi" w:cstheme="majorBidi"/>
                <w:lang w:val="fr-CH"/>
              </w:rPr>
              <w:t>sur la base des co</w:t>
            </w:r>
            <w:r w:rsidR="00D3429D">
              <w:rPr>
                <w:rFonts w:asciiTheme="majorBidi" w:hAnsiTheme="majorBidi" w:cstheme="majorBidi"/>
                <w:lang w:val="fr-CH"/>
              </w:rPr>
              <w:t>ûts salariaux standards</w:t>
            </w:r>
            <w:r w:rsidR="004D6C4B" w:rsidRPr="007428DB">
              <w:rPr>
                <w:rFonts w:asciiTheme="majorBidi" w:hAnsiTheme="majorBidi" w:cstheme="majorBidi"/>
                <w:lang w:val="fr-CH"/>
              </w:rPr>
              <w:t>)</w:t>
            </w:r>
          </w:p>
        </w:tc>
        <w:tc>
          <w:tcPr>
            <w:tcW w:w="4479" w:type="dxa"/>
          </w:tcPr>
          <w:p w14:paraId="60140BA4" w14:textId="478BAD1D" w:rsidR="0059785C" w:rsidRPr="00435C4C" w:rsidRDefault="009D58F4" w:rsidP="00435C4C">
            <w:pPr>
              <w:pStyle w:val="Normalnumber"/>
              <w:numPr>
                <w:ilvl w:val="0"/>
                <w:numId w:val="0"/>
              </w:numPr>
              <w:rPr>
                <w:rFonts w:asciiTheme="majorBidi" w:eastAsia="MS Mincho" w:hAnsiTheme="majorBidi" w:cstheme="majorBidi"/>
                <w:lang w:val="fr-CH"/>
              </w:rPr>
            </w:pPr>
            <w:r w:rsidRPr="009D58F4">
              <w:rPr>
                <w:rFonts w:asciiTheme="majorBidi" w:eastAsia="MS Mincho" w:hAnsiTheme="majorBidi" w:cstheme="majorBidi"/>
                <w:lang w:val="fr-CH"/>
              </w:rPr>
              <w:t xml:space="preserve">Ce lieu d’implantation donne l’occasion de travailler en étroite coopération avec le </w:t>
            </w:r>
            <w:r w:rsidR="000251C7">
              <w:rPr>
                <w:rFonts w:asciiTheme="majorBidi" w:eastAsia="MS Mincho" w:hAnsiTheme="majorBidi" w:cstheme="majorBidi"/>
                <w:lang w:val="fr-CH"/>
              </w:rPr>
              <w:t>secré</w:t>
            </w:r>
            <w:r w:rsidRPr="009D58F4">
              <w:rPr>
                <w:rFonts w:asciiTheme="majorBidi" w:eastAsia="MS Mincho" w:hAnsiTheme="majorBidi" w:cstheme="majorBidi"/>
                <w:lang w:val="fr-CH"/>
              </w:rPr>
              <w:t xml:space="preserve">tariat du </w:t>
            </w:r>
            <w:r>
              <w:rPr>
                <w:rFonts w:asciiTheme="majorBidi" w:eastAsia="MS Mincho" w:hAnsiTheme="majorBidi" w:cstheme="majorBidi"/>
                <w:lang w:val="fr-CH"/>
              </w:rPr>
              <w:t>FEM</w:t>
            </w:r>
            <w:r w:rsidR="000251C7">
              <w:rPr>
                <w:rFonts w:asciiTheme="majorBidi" w:eastAsia="MS Mincho" w:hAnsiTheme="majorBidi" w:cstheme="majorBidi"/>
                <w:lang w:val="fr-CH"/>
              </w:rPr>
              <w:t xml:space="preserve"> et de collaborer avec la Banque mondiale, un autre agent d’exécution impliqué dans des activités de mise en œuvre liées à la Convention de Minamata. </w:t>
            </w:r>
            <w:r w:rsidR="00B012A5">
              <w:rPr>
                <w:rFonts w:asciiTheme="majorBidi" w:eastAsia="MS Mincho" w:hAnsiTheme="majorBidi" w:cstheme="majorBidi"/>
                <w:lang w:val="fr-CH"/>
              </w:rPr>
              <w:t xml:space="preserve">Le Bureau régional </w:t>
            </w:r>
            <w:r w:rsidR="00634756">
              <w:rPr>
                <w:rFonts w:asciiTheme="majorBidi" w:eastAsia="MS Mincho" w:hAnsiTheme="majorBidi" w:cstheme="majorBidi"/>
                <w:lang w:val="fr-CH"/>
              </w:rPr>
              <w:t xml:space="preserve">du PNUE </w:t>
            </w:r>
            <w:r w:rsidR="00B012A5">
              <w:rPr>
                <w:rFonts w:asciiTheme="majorBidi" w:eastAsia="MS Mincho" w:hAnsiTheme="majorBidi" w:cstheme="majorBidi"/>
                <w:lang w:val="fr-CH"/>
              </w:rPr>
              <w:t>pour l’</w:t>
            </w:r>
            <w:r w:rsidR="00651622">
              <w:rPr>
                <w:rFonts w:asciiTheme="majorBidi" w:eastAsia="MS Mincho" w:hAnsiTheme="majorBidi" w:cstheme="majorBidi"/>
                <w:lang w:val="fr-CH"/>
              </w:rPr>
              <w:t xml:space="preserve">Amérique du Nord </w:t>
            </w:r>
            <w:r w:rsidR="00B012A5">
              <w:rPr>
                <w:rFonts w:asciiTheme="majorBidi" w:eastAsia="MS Mincho" w:hAnsiTheme="majorBidi" w:cstheme="majorBidi"/>
                <w:lang w:val="fr-CH"/>
              </w:rPr>
              <w:t>est basé à Washington</w:t>
            </w:r>
            <w:r w:rsidR="00651622">
              <w:rPr>
                <w:rFonts w:asciiTheme="majorBidi" w:eastAsia="MS Mincho" w:hAnsiTheme="majorBidi" w:cstheme="majorBidi"/>
                <w:lang w:val="fr-CH"/>
              </w:rPr>
              <w:t xml:space="preserve"> et abrite également le Groupe consultatif scientifique et technique du FEM</w:t>
            </w:r>
            <w:r w:rsidR="00BB0AFD">
              <w:rPr>
                <w:rFonts w:asciiTheme="majorBidi" w:eastAsia="MS Mincho" w:hAnsiTheme="majorBidi" w:cstheme="majorBidi"/>
                <w:lang w:val="fr-CH"/>
              </w:rPr>
              <w:t xml:space="preserve"> chargé de fournir des avis au FEM sur les stratégies, les politiques et les projets, y compris ceux relatifs à la Convention de Minamata. </w:t>
            </w:r>
            <w:r w:rsidR="0059579E">
              <w:rPr>
                <w:rFonts w:asciiTheme="majorBidi" w:eastAsia="MS Mincho" w:hAnsiTheme="majorBidi" w:cstheme="majorBidi"/>
                <w:lang w:val="fr-CH"/>
              </w:rPr>
              <w:t>Installer le secrétariat</w:t>
            </w:r>
            <w:r w:rsidR="00BB0AFD">
              <w:rPr>
                <w:rFonts w:asciiTheme="majorBidi" w:eastAsia="MS Mincho" w:hAnsiTheme="majorBidi" w:cstheme="majorBidi"/>
                <w:lang w:val="fr-CH"/>
              </w:rPr>
              <w:t xml:space="preserve"> en Amérique du Nord permettrait également de bénéficier de liens </w:t>
            </w:r>
            <w:r w:rsidR="004B0C2D">
              <w:rPr>
                <w:rFonts w:asciiTheme="majorBidi" w:eastAsia="MS Mincho" w:hAnsiTheme="majorBidi" w:cstheme="majorBidi"/>
                <w:lang w:val="fr-CH"/>
              </w:rPr>
              <w:t xml:space="preserve">plus </w:t>
            </w:r>
            <w:r w:rsidR="00BB0AFD">
              <w:rPr>
                <w:rFonts w:asciiTheme="majorBidi" w:eastAsia="MS Mincho" w:hAnsiTheme="majorBidi" w:cstheme="majorBidi"/>
                <w:lang w:val="fr-CH"/>
              </w:rPr>
              <w:t xml:space="preserve">directs </w:t>
            </w:r>
            <w:r w:rsidR="004B0C2D">
              <w:rPr>
                <w:rFonts w:asciiTheme="majorBidi" w:eastAsia="MS Mincho" w:hAnsiTheme="majorBidi" w:cstheme="majorBidi"/>
                <w:lang w:val="fr-CH"/>
              </w:rPr>
              <w:t xml:space="preserve">avec le Programme des Nations Unies pour le développement, un autre agent d’exécution du FEM impliqué dans des activités de mise en œuvre liées à la Convention de Minamata. </w:t>
            </w:r>
            <w:r w:rsidR="0059579E">
              <w:rPr>
                <w:rFonts w:asciiTheme="majorBidi" w:eastAsia="MS Mincho" w:hAnsiTheme="majorBidi" w:cstheme="majorBidi"/>
                <w:lang w:val="fr-CH"/>
              </w:rPr>
              <w:t xml:space="preserve">Cela permettrait également de travailler en collaboration avec des missions permanentes. </w:t>
            </w:r>
            <w:r w:rsidR="00C52454">
              <w:rPr>
                <w:rFonts w:asciiTheme="majorBidi" w:eastAsia="MS Mincho" w:hAnsiTheme="majorBidi" w:cstheme="majorBidi"/>
                <w:lang w:val="fr-CH"/>
              </w:rPr>
              <w:lastRenderedPageBreak/>
              <w:t xml:space="preserve">Washington ne disposant pas d’installations de conférence des Nations Unies, il faudrait soit </w:t>
            </w:r>
            <w:r w:rsidR="00072085">
              <w:rPr>
                <w:rFonts w:asciiTheme="majorBidi" w:eastAsia="MS Mincho" w:hAnsiTheme="majorBidi" w:cstheme="majorBidi"/>
                <w:lang w:val="fr-CH"/>
              </w:rPr>
              <w:t>prendre en compte l</w:t>
            </w:r>
            <w:r w:rsidR="00C52454">
              <w:rPr>
                <w:rFonts w:asciiTheme="majorBidi" w:eastAsia="MS Mincho" w:hAnsiTheme="majorBidi" w:cstheme="majorBidi"/>
                <w:lang w:val="fr-CH"/>
              </w:rPr>
              <w:t xml:space="preserve">es </w:t>
            </w:r>
            <w:r w:rsidR="00072085">
              <w:rPr>
                <w:rFonts w:asciiTheme="majorBidi" w:eastAsia="MS Mincho" w:hAnsiTheme="majorBidi" w:cstheme="majorBidi"/>
                <w:lang w:val="fr-CH"/>
              </w:rPr>
              <w:t>coût</w:t>
            </w:r>
            <w:r w:rsidR="00C52454">
              <w:rPr>
                <w:rFonts w:asciiTheme="majorBidi" w:eastAsia="MS Mincho" w:hAnsiTheme="majorBidi" w:cstheme="majorBidi"/>
                <w:lang w:val="fr-CH"/>
              </w:rPr>
              <w:t xml:space="preserve">s liés à la location </w:t>
            </w:r>
            <w:r w:rsidR="00072085">
              <w:rPr>
                <w:rFonts w:asciiTheme="majorBidi" w:eastAsia="MS Mincho" w:hAnsiTheme="majorBidi" w:cstheme="majorBidi"/>
                <w:lang w:val="fr-CH"/>
              </w:rPr>
              <w:t>de locaux commerciaux,</w:t>
            </w:r>
            <w:r w:rsidR="00C52454">
              <w:rPr>
                <w:rFonts w:asciiTheme="majorBidi" w:eastAsia="MS Mincho" w:hAnsiTheme="majorBidi" w:cstheme="majorBidi"/>
                <w:lang w:val="fr-CH"/>
              </w:rPr>
              <w:t xml:space="preserve"> soit organiser les réunions à Montréal, </w:t>
            </w:r>
            <w:r w:rsidR="00072085">
              <w:rPr>
                <w:rFonts w:asciiTheme="majorBidi" w:eastAsia="MS Mincho" w:hAnsiTheme="majorBidi" w:cstheme="majorBidi"/>
                <w:lang w:val="fr-CH"/>
              </w:rPr>
              <w:t xml:space="preserve">la ville la plus proche disposant d’installations de conférence adéquates </w:t>
            </w:r>
            <w:r w:rsidR="00435C4C">
              <w:rPr>
                <w:rFonts w:asciiTheme="majorBidi" w:eastAsia="MS Mincho" w:hAnsiTheme="majorBidi" w:cstheme="majorBidi"/>
                <w:lang w:val="fr-CH"/>
              </w:rPr>
              <w:t xml:space="preserve">des Nations Unies </w:t>
            </w:r>
            <w:r w:rsidR="00072085">
              <w:rPr>
                <w:rFonts w:asciiTheme="majorBidi" w:eastAsia="MS Mincho" w:hAnsiTheme="majorBidi" w:cstheme="majorBidi"/>
                <w:lang w:val="fr-CH"/>
              </w:rPr>
              <w:t>(</w:t>
            </w:r>
            <w:r w:rsidR="00435C4C">
              <w:rPr>
                <w:rFonts w:asciiTheme="majorBidi" w:eastAsia="MS Mincho" w:hAnsiTheme="majorBidi" w:cstheme="majorBidi"/>
                <w:lang w:val="fr-CH"/>
              </w:rPr>
              <w:t>outre New York).</w:t>
            </w:r>
          </w:p>
        </w:tc>
        <w:tc>
          <w:tcPr>
            <w:tcW w:w="2955" w:type="dxa"/>
          </w:tcPr>
          <w:p w14:paraId="52871964" w14:textId="51E37A1D" w:rsidR="008D35C9" w:rsidRPr="00D82ABE" w:rsidRDefault="008D35C9" w:rsidP="00AB20EE">
            <w:pPr>
              <w:pStyle w:val="Normalnumber"/>
              <w:numPr>
                <w:ilvl w:val="0"/>
                <w:numId w:val="0"/>
              </w:numPr>
              <w:rPr>
                <w:rFonts w:eastAsia="MS Mincho"/>
                <w:lang w:val="fr-CH"/>
              </w:rPr>
            </w:pPr>
            <w:r w:rsidRPr="00CD608A">
              <w:rPr>
                <w:rFonts w:asciiTheme="majorBidi" w:eastAsia="MS Mincho" w:hAnsiTheme="majorBidi" w:cstheme="majorBidi"/>
                <w:lang w:val="fr-CH"/>
              </w:rPr>
              <w:lastRenderedPageBreak/>
              <w:t xml:space="preserve">Les </w:t>
            </w:r>
            <w:r w:rsidR="00634756">
              <w:rPr>
                <w:rFonts w:asciiTheme="majorBidi" w:eastAsia="MS Mincho" w:hAnsiTheme="majorBidi" w:cstheme="majorBidi"/>
                <w:lang w:val="fr-CH"/>
              </w:rPr>
              <w:t>dépenses de personnel</w:t>
            </w:r>
            <w:r w:rsidRPr="00CD608A">
              <w:rPr>
                <w:rFonts w:asciiTheme="majorBidi" w:eastAsia="MS Mincho" w:hAnsiTheme="majorBidi" w:cstheme="majorBidi"/>
                <w:lang w:val="fr-CH"/>
              </w:rPr>
              <w:t xml:space="preserve"> pour cette option s’élèvent à </w:t>
            </w:r>
            <w:r>
              <w:rPr>
                <w:rFonts w:eastAsia="MS Mincho"/>
                <w:b/>
                <w:bCs/>
                <w:lang w:val="fr-CH"/>
              </w:rPr>
              <w:t>2 </w:t>
            </w:r>
            <w:r w:rsidR="00D82ABE">
              <w:rPr>
                <w:rFonts w:eastAsia="MS Mincho"/>
                <w:b/>
                <w:bCs/>
                <w:lang w:val="fr-CH"/>
              </w:rPr>
              <w:t>490</w:t>
            </w:r>
            <w:r>
              <w:rPr>
                <w:rFonts w:eastAsia="MS Mincho"/>
                <w:b/>
                <w:bCs/>
                <w:lang w:val="fr-CH"/>
              </w:rPr>
              <w:t> </w:t>
            </w:r>
            <w:r w:rsidR="00D82ABE">
              <w:rPr>
                <w:rFonts w:eastAsia="MS Mincho"/>
                <w:b/>
                <w:bCs/>
                <w:lang w:val="fr-CH"/>
              </w:rPr>
              <w:t>05</w:t>
            </w:r>
            <w:r w:rsidR="001945B7">
              <w:rPr>
                <w:rFonts w:eastAsia="MS Mincho"/>
                <w:b/>
                <w:bCs/>
                <w:lang w:val="fr-CH"/>
              </w:rPr>
              <w:t>0 </w:t>
            </w:r>
            <w:r>
              <w:rPr>
                <w:rFonts w:eastAsia="MS Mincho"/>
                <w:b/>
                <w:bCs/>
                <w:lang w:val="fr-CH"/>
              </w:rPr>
              <w:t xml:space="preserve">dollars </w:t>
            </w:r>
            <w:r w:rsidRPr="00966A73">
              <w:rPr>
                <w:rFonts w:eastAsia="MS Mincho"/>
                <w:b/>
                <w:bCs/>
                <w:lang w:val="fr-CH"/>
              </w:rPr>
              <w:t>par an</w:t>
            </w:r>
            <w:r w:rsidRPr="004256D8">
              <w:rPr>
                <w:rFonts w:eastAsia="MS Mincho"/>
                <w:lang w:val="fr-CH"/>
              </w:rPr>
              <w:t xml:space="preserve"> (</w:t>
            </w:r>
            <w:r>
              <w:rPr>
                <w:rFonts w:eastAsia="MS Mincho"/>
                <w:lang w:val="fr-CH"/>
              </w:rPr>
              <w:t>voir</w:t>
            </w:r>
            <w:r w:rsidR="00C34176">
              <w:rPr>
                <w:rFonts w:eastAsia="MS Mincho"/>
                <w:lang w:val="fr-CH"/>
              </w:rPr>
              <w:t xml:space="preserve"> </w:t>
            </w:r>
            <w:r>
              <w:rPr>
                <w:rFonts w:eastAsia="MS Mincho"/>
                <w:lang w:val="fr-CH"/>
              </w:rPr>
              <w:t>a</w:t>
            </w:r>
            <w:r w:rsidR="001843A9">
              <w:rPr>
                <w:rFonts w:eastAsia="MS Mincho"/>
                <w:lang w:val="fr-CH"/>
              </w:rPr>
              <w:t>ppendic</w:t>
            </w:r>
            <w:r>
              <w:rPr>
                <w:rFonts w:eastAsia="MS Mincho"/>
                <w:lang w:val="fr-CH"/>
              </w:rPr>
              <w:t>e</w:t>
            </w:r>
            <w:r w:rsidR="001945B7">
              <w:rPr>
                <w:rFonts w:eastAsia="MS Mincho"/>
                <w:lang w:val="fr-CH"/>
              </w:rPr>
              <w:t> </w:t>
            </w:r>
            <w:r w:rsidRPr="004256D8">
              <w:rPr>
                <w:rFonts w:eastAsia="MS Mincho"/>
                <w:lang w:val="fr-CH"/>
              </w:rPr>
              <w:t>II</w:t>
            </w:r>
            <w:r w:rsidR="001945B7">
              <w:rPr>
                <w:rFonts w:eastAsia="MS Mincho"/>
                <w:lang w:val="fr-CH"/>
              </w:rPr>
              <w:t>, tableau </w:t>
            </w:r>
            <w:r w:rsidR="00C34176">
              <w:rPr>
                <w:rFonts w:eastAsia="MS Mincho"/>
                <w:lang w:val="fr-CH"/>
              </w:rPr>
              <w:t>3</w:t>
            </w:r>
            <w:r w:rsidR="00D82ABE">
              <w:rPr>
                <w:rFonts w:eastAsia="MS Mincho"/>
                <w:lang w:val="fr-CH"/>
              </w:rPr>
              <w:t>).</w:t>
            </w:r>
          </w:p>
          <w:p w14:paraId="477241E3" w14:textId="4F640644" w:rsidR="00D82ABE" w:rsidRDefault="00D82ABE" w:rsidP="00D82ABE">
            <w:pPr>
              <w:pStyle w:val="Normalnumber"/>
              <w:numPr>
                <w:ilvl w:val="0"/>
                <w:numId w:val="0"/>
              </w:numPr>
              <w:rPr>
                <w:rFonts w:asciiTheme="majorBidi" w:eastAsia="MS Mincho" w:hAnsiTheme="majorBidi" w:cstheme="majorBidi"/>
                <w:lang w:val="fr-CH"/>
              </w:rPr>
            </w:pPr>
            <w:r>
              <w:rPr>
                <w:rFonts w:asciiTheme="majorBidi" w:eastAsia="MS Mincho" w:hAnsiTheme="majorBidi" w:cstheme="majorBidi"/>
                <w:lang w:val="fr-CH"/>
              </w:rPr>
              <w:t xml:space="preserve">De plus, comme indiqué dans </w:t>
            </w:r>
            <w:r w:rsidR="001945B7">
              <w:rPr>
                <w:rFonts w:asciiTheme="majorBidi" w:eastAsia="MS Mincho" w:hAnsiTheme="majorBidi" w:cstheme="majorBidi"/>
                <w:lang w:val="fr-CH"/>
              </w:rPr>
              <w:t>le tableau </w:t>
            </w:r>
            <w:r w:rsidRPr="00EA488F">
              <w:rPr>
                <w:rFonts w:asciiTheme="majorBidi" w:eastAsia="MS Mincho" w:hAnsiTheme="majorBidi" w:cstheme="majorBidi"/>
                <w:lang w:val="fr-CH"/>
              </w:rPr>
              <w:t>4 de l’a</w:t>
            </w:r>
            <w:r w:rsidR="001843A9">
              <w:rPr>
                <w:rFonts w:asciiTheme="majorBidi" w:eastAsia="MS Mincho" w:hAnsiTheme="majorBidi" w:cstheme="majorBidi"/>
                <w:lang w:val="fr-CH"/>
              </w:rPr>
              <w:t>ppendic</w:t>
            </w:r>
            <w:r w:rsidR="001945B7">
              <w:rPr>
                <w:rFonts w:asciiTheme="majorBidi" w:eastAsia="MS Mincho" w:hAnsiTheme="majorBidi" w:cstheme="majorBidi"/>
                <w:lang w:val="fr-CH"/>
              </w:rPr>
              <w:t>e </w:t>
            </w:r>
            <w:r w:rsidRPr="00EA488F">
              <w:rPr>
                <w:rFonts w:asciiTheme="majorBidi" w:eastAsia="MS Mincho" w:hAnsiTheme="majorBidi" w:cstheme="majorBidi"/>
                <w:lang w:val="fr-CH"/>
              </w:rPr>
              <w:t>II</w:t>
            </w:r>
            <w:r w:rsidR="001945B7">
              <w:rPr>
                <w:rFonts w:asciiTheme="majorBidi" w:eastAsia="MS Mincho" w:hAnsiTheme="majorBidi" w:cstheme="majorBidi"/>
                <w:lang w:val="fr-CH"/>
              </w:rPr>
              <w:t> </w:t>
            </w:r>
            <w:r w:rsidRPr="00EA488F">
              <w:rPr>
                <w:rFonts w:asciiTheme="majorBidi" w:eastAsia="MS Mincho" w:hAnsiTheme="majorBidi" w:cstheme="majorBidi"/>
                <w:lang w:val="fr-CH"/>
              </w:rPr>
              <w:t xml:space="preserve">: </w:t>
            </w:r>
          </w:p>
          <w:p w14:paraId="013FC1DB" w14:textId="6553D31A" w:rsidR="00714B25" w:rsidRDefault="00714B25" w:rsidP="00714B25">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d</w:t>
            </w:r>
            <w:r w:rsidRPr="00596E76">
              <w:rPr>
                <w:rFonts w:asciiTheme="majorBidi" w:eastAsia="MS Mincho" w:hAnsiTheme="majorBidi" w:cstheme="majorBidi"/>
                <w:lang w:val="fr-CH"/>
              </w:rPr>
              <w:t>épe</w:t>
            </w:r>
            <w:r w:rsidR="00634756">
              <w:rPr>
                <w:rFonts w:asciiTheme="majorBidi" w:eastAsia="MS Mincho" w:hAnsiTheme="majorBidi" w:cstheme="majorBidi"/>
                <w:lang w:val="fr-CH"/>
              </w:rPr>
              <w:t>nses de fonctionnement du s</w:t>
            </w:r>
            <w:r>
              <w:rPr>
                <w:rFonts w:asciiTheme="majorBidi" w:eastAsia="MS Mincho" w:hAnsiTheme="majorBidi" w:cstheme="majorBidi"/>
                <w:lang w:val="fr-CH"/>
              </w:rPr>
              <w:t>ecrétariat dans ce lie</w:t>
            </w:r>
            <w:r w:rsidR="001945B7">
              <w:rPr>
                <w:rFonts w:asciiTheme="majorBidi" w:eastAsia="MS Mincho" w:hAnsiTheme="majorBidi" w:cstheme="majorBidi"/>
                <w:lang w:val="fr-CH"/>
              </w:rPr>
              <w:t>u d’implantation est de 450 000 </w:t>
            </w:r>
            <w:r>
              <w:rPr>
                <w:rFonts w:asciiTheme="majorBidi" w:eastAsia="MS Mincho" w:hAnsiTheme="majorBidi" w:cstheme="majorBidi"/>
                <w:lang w:val="fr-CH"/>
              </w:rPr>
              <w:t>dollars par an;</w:t>
            </w:r>
          </w:p>
          <w:p w14:paraId="549B5506" w14:textId="6A9E2DE9" w:rsidR="00714B25" w:rsidRPr="00714B25" w:rsidRDefault="00714B25" w:rsidP="00AB20EE">
            <w:pPr>
              <w:pStyle w:val="Normalnumber"/>
              <w:numPr>
                <w:ilvl w:val="0"/>
                <w:numId w:val="0"/>
              </w:numPr>
              <w:tabs>
                <w:tab w:val="left" w:pos="1871"/>
              </w:tabs>
              <w:rPr>
                <w:rFonts w:asciiTheme="majorBidi" w:eastAsia="MS Mincho" w:hAnsiTheme="majorBidi" w:cstheme="majorBidi"/>
                <w:lang w:val="fr-CH"/>
              </w:rPr>
            </w:pPr>
            <w:r>
              <w:rPr>
                <w:rFonts w:asciiTheme="majorBidi" w:eastAsia="MS Mincho" w:hAnsiTheme="majorBidi" w:cstheme="majorBidi"/>
                <w:lang w:val="fr-CH"/>
              </w:rPr>
              <w:t>Le montant estimatif des coûts d’organisation des réunions de la Conférence des Pa</w:t>
            </w:r>
            <w:r w:rsidR="00CD6B71">
              <w:rPr>
                <w:rFonts w:asciiTheme="majorBidi" w:eastAsia="MS Mincho" w:hAnsiTheme="majorBidi" w:cstheme="majorBidi"/>
                <w:lang w:val="fr-CH"/>
              </w:rPr>
              <w:t>rties à Montréal est de 980 000 dollars par réunion</w:t>
            </w:r>
            <w:r>
              <w:rPr>
                <w:rFonts w:asciiTheme="majorBidi" w:eastAsia="MS Mincho" w:hAnsiTheme="majorBidi" w:cstheme="majorBidi"/>
                <w:lang w:val="fr-CH"/>
              </w:rPr>
              <w:t>;</w:t>
            </w:r>
          </w:p>
          <w:p w14:paraId="1D378196" w14:textId="3B7C7A5D" w:rsidR="00714B25" w:rsidRPr="00714B25" w:rsidRDefault="00714B25" w:rsidP="00AB20EE">
            <w:pPr>
              <w:pStyle w:val="Normalnumber"/>
              <w:numPr>
                <w:ilvl w:val="0"/>
                <w:numId w:val="0"/>
              </w:numPr>
              <w:tabs>
                <w:tab w:val="left" w:pos="1871"/>
              </w:tabs>
              <w:rPr>
                <w:rFonts w:asciiTheme="majorBidi" w:eastAsia="MS Mincho" w:hAnsiTheme="majorBidi" w:cstheme="majorBidi"/>
                <w:lang w:val="fr-CH"/>
              </w:rPr>
            </w:pPr>
            <w:r w:rsidRPr="00DB46F4">
              <w:rPr>
                <w:rFonts w:asciiTheme="majorBidi" w:eastAsia="MS Mincho" w:hAnsiTheme="majorBidi" w:cstheme="majorBidi"/>
                <w:lang w:val="fr-CH"/>
              </w:rPr>
              <w:lastRenderedPageBreak/>
              <w:t xml:space="preserve">Le montant </w:t>
            </w:r>
            <w:r>
              <w:rPr>
                <w:rFonts w:asciiTheme="majorBidi" w:eastAsia="MS Mincho" w:hAnsiTheme="majorBidi" w:cstheme="majorBidi"/>
                <w:lang w:val="fr-CH"/>
              </w:rPr>
              <w:t>estimatif des frais de voyage pour le personnel participant aux réunions sur les produits chimiques et les déchets à Genève</w:t>
            </w:r>
            <w:r w:rsidRPr="00DB46F4">
              <w:rPr>
                <w:rFonts w:asciiTheme="majorBidi" w:eastAsia="MS Mincho" w:hAnsiTheme="majorBidi" w:cstheme="majorBidi"/>
                <w:lang w:val="fr-CH"/>
              </w:rPr>
              <w:t xml:space="preserve"> </w:t>
            </w:r>
            <w:r>
              <w:rPr>
                <w:rFonts w:asciiTheme="majorBidi" w:eastAsia="MS Mincho" w:hAnsiTheme="majorBidi" w:cstheme="majorBidi"/>
                <w:lang w:val="fr-CH"/>
              </w:rPr>
              <w:t xml:space="preserve">est de </w:t>
            </w:r>
            <w:r w:rsidR="00067643">
              <w:rPr>
                <w:rFonts w:asciiTheme="majorBidi" w:eastAsia="MS Mincho" w:hAnsiTheme="majorBidi" w:cstheme="majorBidi"/>
                <w:lang w:val="fr-CH"/>
              </w:rPr>
              <w:t>4</w:t>
            </w:r>
            <w:r w:rsidR="00CD6B71">
              <w:rPr>
                <w:rFonts w:asciiTheme="majorBidi" w:eastAsia="MS Mincho" w:hAnsiTheme="majorBidi" w:cstheme="majorBidi"/>
                <w:lang w:val="fr-CH"/>
              </w:rPr>
              <w:t>0 000 </w:t>
            </w:r>
            <w:r>
              <w:rPr>
                <w:rFonts w:asciiTheme="majorBidi" w:eastAsia="MS Mincho" w:hAnsiTheme="majorBidi" w:cstheme="majorBidi"/>
                <w:lang w:val="fr-CH"/>
              </w:rPr>
              <w:t xml:space="preserve">dollars environ pour </w:t>
            </w:r>
            <w:r w:rsidR="002C7153">
              <w:rPr>
                <w:rFonts w:asciiTheme="majorBidi" w:eastAsia="MS Mincho" w:hAnsiTheme="majorBidi" w:cstheme="majorBidi"/>
                <w:lang w:val="fr-CH"/>
              </w:rPr>
              <w:t xml:space="preserve">la période </w:t>
            </w:r>
            <w:r>
              <w:rPr>
                <w:rFonts w:asciiTheme="majorBidi" w:eastAsia="MS Mincho" w:hAnsiTheme="majorBidi" w:cstheme="majorBidi"/>
                <w:lang w:val="fr-CH"/>
              </w:rPr>
              <w:t>biennal</w:t>
            </w:r>
            <w:r w:rsidR="002C7153">
              <w:rPr>
                <w:rFonts w:asciiTheme="majorBidi" w:eastAsia="MS Mincho" w:hAnsiTheme="majorBidi" w:cstheme="majorBidi"/>
                <w:lang w:val="fr-CH"/>
              </w:rPr>
              <w:t>e</w:t>
            </w:r>
            <w:r>
              <w:rPr>
                <w:rFonts w:asciiTheme="majorBidi" w:eastAsia="MS Mincho" w:hAnsiTheme="majorBidi" w:cstheme="majorBidi"/>
                <w:lang w:val="fr-CH"/>
              </w:rPr>
              <w:t xml:space="preserve"> 2018-2019;</w:t>
            </w:r>
          </w:p>
          <w:p w14:paraId="3D7FD9C7" w14:textId="34909315" w:rsidR="0059785C" w:rsidRPr="00067643" w:rsidRDefault="002C7153" w:rsidP="001843A9">
            <w:pPr>
              <w:pStyle w:val="Normalnumber"/>
              <w:numPr>
                <w:ilvl w:val="0"/>
                <w:numId w:val="0"/>
              </w:numPr>
              <w:tabs>
                <w:tab w:val="left" w:pos="1871"/>
              </w:tabs>
              <w:rPr>
                <w:rFonts w:asciiTheme="majorBidi" w:hAnsiTheme="majorBidi" w:cstheme="majorBidi"/>
                <w:lang w:val="fr-CH"/>
              </w:rPr>
            </w:pPr>
            <w:r>
              <w:rPr>
                <w:rFonts w:asciiTheme="majorBidi" w:eastAsia="MS Mincho" w:hAnsiTheme="majorBidi" w:cstheme="majorBidi"/>
                <w:lang w:val="fr-CH"/>
              </w:rPr>
              <w:t>L</w:t>
            </w:r>
            <w:r w:rsidR="00067643" w:rsidRPr="00603BE8">
              <w:rPr>
                <w:rFonts w:asciiTheme="majorBidi" w:eastAsia="MS Mincho" w:hAnsiTheme="majorBidi" w:cstheme="majorBidi"/>
                <w:lang w:val="fr-CH"/>
              </w:rPr>
              <w:t>es frais de voyage pour les délégués</w:t>
            </w:r>
            <w:r w:rsidR="00067643">
              <w:rPr>
                <w:rFonts w:asciiTheme="majorBidi" w:eastAsia="MS Mincho" w:hAnsiTheme="majorBidi" w:cstheme="majorBidi"/>
                <w:lang w:val="fr-CH"/>
              </w:rPr>
              <w:t xml:space="preserve"> </w:t>
            </w:r>
            <w:r w:rsidR="00067643" w:rsidRPr="001843A9">
              <w:rPr>
                <w:rFonts w:asciiTheme="majorBidi" w:eastAsia="MS Mincho" w:hAnsiTheme="majorBidi" w:cstheme="majorBidi"/>
                <w:lang w:val="fr-CH"/>
              </w:rPr>
              <w:t xml:space="preserve">techniques </w:t>
            </w:r>
            <w:r w:rsidR="00777E38" w:rsidRPr="001843A9">
              <w:rPr>
                <w:rFonts w:asciiTheme="majorBidi" w:eastAsia="MS Mincho" w:hAnsiTheme="majorBidi" w:cstheme="majorBidi"/>
                <w:lang w:val="fr-CH"/>
              </w:rPr>
              <w:t>bénéficiant d’un financement</w:t>
            </w:r>
            <w:r w:rsidR="00777E38">
              <w:rPr>
                <w:rFonts w:asciiTheme="majorBidi" w:eastAsia="MS Mincho" w:hAnsiTheme="majorBidi" w:cstheme="majorBidi"/>
                <w:lang w:val="fr-CH"/>
              </w:rPr>
              <w:t xml:space="preserve"> </w:t>
            </w:r>
            <w:r w:rsidR="00067643">
              <w:rPr>
                <w:rFonts w:asciiTheme="majorBidi" w:eastAsia="MS Mincho" w:hAnsiTheme="majorBidi" w:cstheme="majorBidi"/>
                <w:lang w:val="fr-CH"/>
              </w:rPr>
              <w:t xml:space="preserve">qui participent à une réunion de la Conférence des Parties à Montréal </w:t>
            </w:r>
            <w:r>
              <w:rPr>
                <w:rFonts w:asciiTheme="majorBidi" w:eastAsia="MS Mincho" w:hAnsiTheme="majorBidi" w:cstheme="majorBidi"/>
                <w:lang w:val="fr-CH"/>
              </w:rPr>
              <w:t xml:space="preserve">sont estimés </w:t>
            </w:r>
            <w:r w:rsidR="001843A9">
              <w:rPr>
                <w:rFonts w:asciiTheme="majorBidi" w:eastAsia="MS Mincho" w:hAnsiTheme="majorBidi" w:cstheme="majorBidi"/>
                <w:lang w:val="fr-CH"/>
              </w:rPr>
              <w:t>à 6</w:t>
            </w:r>
            <w:r w:rsidR="00CD6B71">
              <w:rPr>
                <w:rFonts w:asciiTheme="majorBidi" w:eastAsia="MS Mincho" w:hAnsiTheme="majorBidi" w:cstheme="majorBidi"/>
                <w:lang w:val="fr-CH"/>
              </w:rPr>
              <w:t>70 000 </w:t>
            </w:r>
            <w:r w:rsidR="00067643">
              <w:rPr>
                <w:rFonts w:asciiTheme="majorBidi" w:eastAsia="MS Mincho" w:hAnsiTheme="majorBidi" w:cstheme="majorBidi"/>
                <w:lang w:val="fr-CH"/>
              </w:rPr>
              <w:t>dollars</w:t>
            </w:r>
            <w:r w:rsidR="001843A9">
              <w:rPr>
                <w:rFonts w:asciiTheme="majorBidi" w:eastAsia="MS Mincho" w:hAnsiTheme="majorBidi" w:cstheme="majorBidi"/>
                <w:lang w:val="fr-CH"/>
              </w:rPr>
              <w:t xml:space="preserve"> environ</w:t>
            </w:r>
            <w:r w:rsidR="00067643">
              <w:rPr>
                <w:rFonts w:asciiTheme="majorBidi" w:eastAsia="MS Mincho" w:hAnsiTheme="majorBidi" w:cstheme="majorBidi"/>
                <w:lang w:val="fr-CH"/>
              </w:rPr>
              <w:t>.</w:t>
            </w:r>
            <w:r w:rsidR="0059785C" w:rsidRPr="00067643">
              <w:rPr>
                <w:rFonts w:asciiTheme="majorBidi" w:eastAsia="MS Mincho" w:hAnsiTheme="majorBidi" w:cstheme="majorBidi"/>
                <w:lang w:val="fr-CH"/>
              </w:rPr>
              <w:t xml:space="preserve"> </w:t>
            </w:r>
          </w:p>
        </w:tc>
      </w:tr>
    </w:tbl>
    <w:p w14:paraId="10348820" w14:textId="5F7A131B" w:rsidR="0041238C" w:rsidRPr="00067643" w:rsidRDefault="0041238C" w:rsidP="006432A8">
      <w:pPr>
        <w:pStyle w:val="Normal-pool"/>
        <w:rPr>
          <w:rFonts w:eastAsia="MS Mincho"/>
          <w:lang w:val="fr-CH"/>
        </w:rPr>
      </w:pPr>
    </w:p>
    <w:p w14:paraId="1B2290EB" w14:textId="3ECFF8EF" w:rsidR="0041238C" w:rsidRPr="000332FD" w:rsidRDefault="0041238C" w:rsidP="006432A8">
      <w:pPr>
        <w:pStyle w:val="ZZAnxheader"/>
        <w:spacing w:after="240"/>
        <w:ind w:left="1247"/>
        <w:outlineLvl w:val="0"/>
        <w:rPr>
          <w:lang w:val="fr-CH"/>
        </w:rPr>
      </w:pPr>
      <w:r w:rsidRPr="00067643">
        <w:rPr>
          <w:rFonts w:eastAsia="MS Mincho"/>
          <w:lang w:val="fr-CH"/>
        </w:rPr>
        <w:br w:type="page"/>
      </w:r>
      <w:r w:rsidRPr="000332FD">
        <w:rPr>
          <w:lang w:val="fr-CH"/>
        </w:rPr>
        <w:lastRenderedPageBreak/>
        <w:t>A</w:t>
      </w:r>
      <w:r w:rsidR="000C6C07">
        <w:rPr>
          <w:lang w:val="fr-CH"/>
        </w:rPr>
        <w:t>ppendic</w:t>
      </w:r>
      <w:r w:rsidR="00A9713B" w:rsidRPr="000332FD">
        <w:rPr>
          <w:lang w:val="fr-CH"/>
        </w:rPr>
        <w:t>e </w:t>
      </w:r>
      <w:r w:rsidRPr="000332FD">
        <w:rPr>
          <w:lang w:val="fr-CH"/>
        </w:rPr>
        <w:t>I</w:t>
      </w:r>
    </w:p>
    <w:p w14:paraId="3B8D1DCA" w14:textId="2FBCA560" w:rsidR="00D740ED" w:rsidRPr="00E3180F" w:rsidRDefault="00E3180F" w:rsidP="00D740ED">
      <w:pPr>
        <w:pStyle w:val="ZZAnxtitle"/>
        <w:outlineLvl w:val="0"/>
        <w:rPr>
          <w:lang w:val="fr-CH"/>
        </w:rPr>
      </w:pPr>
      <w:r w:rsidRPr="00E3180F">
        <w:rPr>
          <w:lang w:val="fr-CH"/>
        </w:rPr>
        <w:t>Fo</w:t>
      </w:r>
      <w:r w:rsidR="0041238C" w:rsidRPr="00E3180F">
        <w:rPr>
          <w:lang w:val="fr-CH"/>
        </w:rPr>
        <w:t xml:space="preserve">nctions </w:t>
      </w:r>
      <w:r w:rsidRPr="00E3180F">
        <w:rPr>
          <w:lang w:val="fr-CH"/>
        </w:rPr>
        <w:t>du</w:t>
      </w:r>
      <w:r w:rsidR="0041238C" w:rsidRPr="00E3180F">
        <w:rPr>
          <w:lang w:val="fr-CH"/>
        </w:rPr>
        <w:t xml:space="preserve"> </w:t>
      </w:r>
      <w:r w:rsidR="008529CB" w:rsidRPr="00E3180F">
        <w:rPr>
          <w:lang w:val="fr-CH"/>
        </w:rPr>
        <w:t>s</w:t>
      </w:r>
      <w:r w:rsidRPr="00E3180F">
        <w:rPr>
          <w:lang w:val="fr-CH"/>
        </w:rPr>
        <w:t>ecré</w:t>
      </w:r>
      <w:r w:rsidR="0041238C" w:rsidRPr="00E3180F">
        <w:rPr>
          <w:lang w:val="fr-CH"/>
        </w:rPr>
        <w:t xml:space="preserve">tariat </w:t>
      </w:r>
      <w:r>
        <w:rPr>
          <w:lang w:val="fr-CH"/>
        </w:rPr>
        <w:t>de la Convention de Minamata</w:t>
      </w:r>
    </w:p>
    <w:p w14:paraId="7DF02514" w14:textId="5A9BD4D5" w:rsidR="00D740ED" w:rsidRPr="00D740ED" w:rsidRDefault="000C6C07"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Dans le cadre de l’examen de</w:t>
      </w:r>
      <w:r w:rsidR="00D740ED">
        <w:rPr>
          <w:rFonts w:eastAsia="MS Mincho"/>
          <w:lang w:val="fr-CH"/>
        </w:rPr>
        <w:t xml:space="preserve"> la manière</w:t>
      </w:r>
      <w:r w:rsidR="00D740ED" w:rsidRPr="00D740ED">
        <w:rPr>
          <w:rFonts w:eastAsia="MS Mincho"/>
          <w:lang w:val="fr-CH"/>
        </w:rPr>
        <w:t xml:space="preserve"> dont les fonctions du </w:t>
      </w:r>
      <w:r w:rsidR="00D740ED">
        <w:rPr>
          <w:rFonts w:eastAsia="MS Mincho"/>
          <w:lang w:val="fr-CH"/>
        </w:rPr>
        <w:t>secré</w:t>
      </w:r>
      <w:r w:rsidR="00D740ED" w:rsidRPr="00D740ED">
        <w:rPr>
          <w:rFonts w:eastAsia="MS Mincho"/>
          <w:lang w:val="fr-CH"/>
        </w:rPr>
        <w:t xml:space="preserve">tariat permanent devront </w:t>
      </w:r>
      <w:r w:rsidR="00D740ED">
        <w:rPr>
          <w:rFonts w:eastAsia="MS Mincho"/>
          <w:lang w:val="fr-CH"/>
        </w:rPr>
        <w:t>être exercées par le Directeur exécutif du Programme des Nations Unies pour l’environnement (PNUE), l</w:t>
      </w:r>
      <w:r w:rsidR="003C68F5">
        <w:rPr>
          <w:rFonts w:eastAsia="MS Mincho"/>
          <w:lang w:val="fr-CH"/>
        </w:rPr>
        <w:t xml:space="preserve">es dispositions de la Convention sont utilisées comme point de départ. </w:t>
      </w:r>
      <w:r>
        <w:rPr>
          <w:rFonts w:eastAsia="MS Mincho"/>
          <w:lang w:val="fr-CH"/>
        </w:rPr>
        <w:t>Le</w:t>
      </w:r>
      <w:r w:rsidR="003C68F5">
        <w:rPr>
          <w:rFonts w:eastAsia="MS Mincho"/>
          <w:lang w:val="fr-CH"/>
        </w:rPr>
        <w:t xml:space="preserve"> descriptif de ces dispositions fourni ci</w:t>
      </w:r>
      <w:r w:rsidR="003C68F5">
        <w:rPr>
          <w:rFonts w:eastAsia="MS Mincho"/>
          <w:lang w:val="fr-CH"/>
        </w:rPr>
        <w:noBreakHyphen/>
        <w:t xml:space="preserve">dessous suit </w:t>
      </w:r>
      <w:r w:rsidR="00EE1678">
        <w:rPr>
          <w:rFonts w:eastAsia="MS Mincho"/>
          <w:lang w:val="fr-CH"/>
        </w:rPr>
        <w:t>les</w:t>
      </w:r>
      <w:r w:rsidR="003C68F5">
        <w:rPr>
          <w:rFonts w:eastAsia="MS Mincho"/>
          <w:lang w:val="fr-CH"/>
        </w:rPr>
        <w:t xml:space="preserve"> fonctions telles</w:t>
      </w:r>
      <w:r w:rsidR="00EE1678">
        <w:rPr>
          <w:rFonts w:eastAsia="MS Mincho"/>
          <w:lang w:val="fr-CH"/>
        </w:rPr>
        <w:t xml:space="preserve"> </w:t>
      </w:r>
      <w:r w:rsidR="001106AA">
        <w:rPr>
          <w:rFonts w:eastAsia="MS Mincho"/>
          <w:lang w:val="fr-CH"/>
        </w:rPr>
        <w:t>que définies</w:t>
      </w:r>
      <w:r w:rsidR="003C68F5">
        <w:rPr>
          <w:rFonts w:eastAsia="MS Mincho"/>
          <w:lang w:val="fr-CH"/>
        </w:rPr>
        <w:t xml:space="preserve"> à l’article</w:t>
      </w:r>
      <w:r w:rsidR="00CD6B71">
        <w:rPr>
          <w:rFonts w:eastAsia="MS Mincho"/>
          <w:lang w:val="fr-CH"/>
        </w:rPr>
        <w:t> </w:t>
      </w:r>
      <w:r w:rsidR="003C68F5">
        <w:rPr>
          <w:rFonts w:eastAsia="MS Mincho"/>
          <w:lang w:val="fr-CH"/>
        </w:rPr>
        <w:t>24</w:t>
      </w:r>
      <w:r w:rsidR="001106AA">
        <w:rPr>
          <w:rFonts w:eastAsia="MS Mincho"/>
          <w:lang w:val="fr-CH"/>
        </w:rPr>
        <w:t xml:space="preserve"> et décrit le travail que la Convention devrait être amenée à exécuter au cours des prochaines années</w:t>
      </w:r>
      <w:r w:rsidR="00EE1678">
        <w:rPr>
          <w:rFonts w:eastAsia="MS Mincho"/>
          <w:lang w:val="fr-CH"/>
        </w:rPr>
        <w:t xml:space="preserve"> en se fondant sur les disposition</w:t>
      </w:r>
      <w:r w:rsidR="00B27883">
        <w:rPr>
          <w:rFonts w:eastAsia="MS Mincho"/>
          <w:lang w:val="fr-CH"/>
        </w:rPr>
        <w:t>s du texte de la Convention et l</w:t>
      </w:r>
      <w:r w:rsidR="00EE1678">
        <w:rPr>
          <w:rFonts w:eastAsia="MS Mincho"/>
          <w:lang w:val="fr-CH"/>
        </w:rPr>
        <w:t>es décisions qui devraient ressortir de la première Conférence des Parties. Même si le descriptif couvre tous les domaines d</w:t>
      </w:r>
      <w:r w:rsidR="00D35EDB">
        <w:rPr>
          <w:rFonts w:eastAsia="MS Mincho"/>
          <w:lang w:val="fr-CH"/>
        </w:rPr>
        <w:t xml:space="preserve">’activités </w:t>
      </w:r>
      <w:r w:rsidR="00EE1678">
        <w:rPr>
          <w:rFonts w:eastAsia="MS Mincho"/>
          <w:lang w:val="fr-CH"/>
        </w:rPr>
        <w:t>de la Convention dans les prochaines années,</w:t>
      </w:r>
      <w:r w:rsidR="00D35EDB">
        <w:rPr>
          <w:rFonts w:eastAsia="MS Mincho"/>
          <w:lang w:val="fr-CH"/>
        </w:rPr>
        <w:t xml:space="preserve"> la note du secrétariat sur le programme de travail du secrétariat et budget pour la période 2018-2019 (</w:t>
      </w:r>
      <w:r w:rsidR="00D35EDB" w:rsidRPr="00D35EDB">
        <w:rPr>
          <w:rFonts w:eastAsia="MS Mincho"/>
          <w:lang w:val="fr-CH"/>
        </w:rPr>
        <w:t>UNEP/MC/COP.1/21</w:t>
      </w:r>
      <w:r w:rsidR="00D35EDB">
        <w:rPr>
          <w:rFonts w:eastAsia="MS Mincho"/>
          <w:lang w:val="fr-CH"/>
        </w:rPr>
        <w:t>)</w:t>
      </w:r>
      <w:r w:rsidR="00D404AD">
        <w:rPr>
          <w:rFonts w:eastAsia="MS Mincho"/>
          <w:lang w:val="fr-CH"/>
        </w:rPr>
        <w:t xml:space="preserve"> décrit le travail du secrétariat pour le premier exercice biennal de ses activités. </w:t>
      </w:r>
    </w:p>
    <w:p w14:paraId="6173B989" w14:textId="3BB3BF01" w:rsidR="00D404AD" w:rsidRPr="00D404AD" w:rsidRDefault="0041238C" w:rsidP="00385738">
      <w:pPr>
        <w:pStyle w:val="CH3"/>
        <w:rPr>
          <w:lang w:val="fr-FR"/>
        </w:rPr>
      </w:pPr>
      <w:r w:rsidRPr="00D740ED">
        <w:rPr>
          <w:lang w:val="fr-CH"/>
        </w:rPr>
        <w:tab/>
      </w:r>
      <w:r w:rsidRPr="00D404AD">
        <w:rPr>
          <w:lang w:val="fr-CH"/>
        </w:rPr>
        <w:t>A.</w:t>
      </w:r>
      <w:r w:rsidRPr="00D404AD">
        <w:rPr>
          <w:lang w:val="fr-CH"/>
        </w:rPr>
        <w:tab/>
      </w:r>
      <w:r w:rsidR="00D404AD" w:rsidRPr="000332FD">
        <w:rPr>
          <w:sz w:val="24"/>
          <w:szCs w:val="24"/>
          <w:lang w:val="fr-CH"/>
        </w:rPr>
        <w:t>Organiser les réunions de la Conférence des Parties et de ses organes subsidiaires et leur fournir les services requis</w:t>
      </w:r>
    </w:p>
    <w:p w14:paraId="79B35D34" w14:textId="58F88A91" w:rsidR="00385738" w:rsidRPr="00385738" w:rsidRDefault="00385738"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 xml:space="preserve">Bien que l’on n’ait pas encore précisé les modalités d’organisation des réunions, il est prévu que les </w:t>
      </w:r>
      <w:r w:rsidRPr="000858E6">
        <w:rPr>
          <w:rFonts w:eastAsia="MS Mincho"/>
          <w:lang w:val="fr-FR"/>
        </w:rPr>
        <w:t>Parties demandent que soit tenue une réunion annuelle de la Conférence</w:t>
      </w:r>
      <w:r>
        <w:rPr>
          <w:rFonts w:eastAsia="MS Mincho"/>
          <w:lang w:val="fr-FR"/>
        </w:rPr>
        <w:t xml:space="preserve"> des Parties</w:t>
      </w:r>
      <w:r w:rsidRPr="000858E6">
        <w:rPr>
          <w:rFonts w:eastAsia="MS Mincho"/>
          <w:lang w:val="fr-FR"/>
        </w:rPr>
        <w:t>, dans un premier temps, afin de permettre l’adoption rapide d’orientations qui n’ont pas été adoptées au cours de la première réunion. L’expérience acquise dans le cadre des conventions de Bâle, de Rotterdam et de Stockholm semble indiquer que les trois premières réunions de la Conférence des Parties seront vraisemblablement annuelles et que les Parties pourraient ensuite décider d’adopter un cycle biannuel. Les Parties pourraient toutefois estimer qu’il serait plus approprié d’organiser des réunions moins fréquentes, en fonction des travaux à entreprendre. Certaines réunions de la Conférence des Parties pourraient comporter un segment de haut niveau.</w:t>
      </w:r>
    </w:p>
    <w:p w14:paraId="3DBE0F47" w14:textId="76831F6F" w:rsidR="00B56DD8" w:rsidRPr="00B56DD8" w:rsidRDefault="00B56DD8"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rFonts w:eastAsia="MS Mincho"/>
          <w:lang w:val="fr-FR"/>
        </w:rPr>
        <w:t>En outre, à sa première réunion, la Conférence des Parties procédera à la constitution du comité chargé de la mise en œuvre et du respect des obligations qui se réunira entre les sessions et devra élaborer son règlement intérieur et entreprendre ses travaux. Le comité comportera un petit nombre de membres (15). Au cours de la première réunion de la Conférence des Parties, des organes subsidiaires supplémentaires de la Convention pourraient être créés pour lesquels des services de secrétariat seraient nécessaires.</w:t>
      </w:r>
    </w:p>
    <w:p w14:paraId="1F59CFBA" w14:textId="1A8730A1" w:rsidR="00B56DD8" w:rsidRPr="00B56DD8" w:rsidRDefault="00B56DD8"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rFonts w:eastAsia="MS Mincho"/>
          <w:lang w:val="fr-FR"/>
        </w:rPr>
        <w:t>Les dispositions générales que prendront le secrétariat</w:t>
      </w:r>
      <w:r w:rsidR="002C7153">
        <w:rPr>
          <w:rFonts w:eastAsia="MS Mincho"/>
          <w:lang w:val="fr-FR"/>
        </w:rPr>
        <w:t xml:space="preserve"> pour les réunions</w:t>
      </w:r>
      <w:r w:rsidRPr="000858E6">
        <w:rPr>
          <w:rFonts w:eastAsia="MS Mincho"/>
          <w:lang w:val="fr-FR"/>
        </w:rPr>
        <w:t xml:space="preserve"> de la Conférence des Parties et</w:t>
      </w:r>
      <w:r w:rsidR="002C7153">
        <w:rPr>
          <w:rFonts w:eastAsia="MS Mincho"/>
          <w:lang w:val="fr-FR"/>
        </w:rPr>
        <w:t xml:space="preserve"> de</w:t>
      </w:r>
      <w:r w:rsidRPr="000858E6">
        <w:rPr>
          <w:rFonts w:eastAsia="MS Mincho"/>
          <w:lang w:val="fr-FR"/>
        </w:rPr>
        <w:t xml:space="preserve"> ses organes subsidiaires </w:t>
      </w:r>
      <w:r w:rsidR="00B27883">
        <w:rPr>
          <w:rFonts w:eastAsia="MS Mincho"/>
          <w:lang w:val="fr-FR"/>
        </w:rPr>
        <w:t xml:space="preserve">seront notamment les suivantes : </w:t>
      </w:r>
      <w:r w:rsidRPr="000858E6">
        <w:rPr>
          <w:rFonts w:eastAsia="MS Mincho"/>
          <w:lang w:val="fr-FR"/>
        </w:rPr>
        <w:t>envo</w:t>
      </w:r>
      <w:r w:rsidR="00B27883">
        <w:rPr>
          <w:rFonts w:eastAsia="MS Mincho"/>
          <w:lang w:val="fr-FR"/>
        </w:rPr>
        <w:t>yer</w:t>
      </w:r>
      <w:r w:rsidRPr="000858E6">
        <w:rPr>
          <w:rFonts w:eastAsia="MS Mincho"/>
          <w:lang w:val="fr-FR"/>
        </w:rPr>
        <w:t xml:space="preserve"> de</w:t>
      </w:r>
      <w:r w:rsidR="00B27883">
        <w:rPr>
          <w:rFonts w:eastAsia="MS Mincho"/>
          <w:lang w:val="fr-FR"/>
        </w:rPr>
        <w:t xml:space="preserve">s lettres </w:t>
      </w:r>
      <w:r w:rsidRPr="000858E6">
        <w:rPr>
          <w:rFonts w:eastAsia="MS Mincho"/>
          <w:lang w:val="fr-FR"/>
        </w:rPr>
        <w:t xml:space="preserve">d’invitation aux Parties et observateurs, notamment aux pays, aux organisations intergouvernementales et non gouvernementales; </w:t>
      </w:r>
      <w:r w:rsidR="00B27883">
        <w:rPr>
          <w:rFonts w:eastAsia="MS Mincho"/>
          <w:lang w:val="fr-FR"/>
        </w:rPr>
        <w:t>établir</w:t>
      </w:r>
      <w:r w:rsidRPr="000858E6">
        <w:rPr>
          <w:rFonts w:eastAsia="MS Mincho"/>
          <w:lang w:val="fr-FR"/>
        </w:rPr>
        <w:t xml:space="preserve"> des listes de</w:t>
      </w:r>
      <w:r w:rsidR="00B27883">
        <w:rPr>
          <w:rFonts w:eastAsia="MS Mincho"/>
          <w:lang w:val="fr-FR"/>
        </w:rPr>
        <w:t xml:space="preserve">s participants; éventuellement, négocier </w:t>
      </w:r>
      <w:r w:rsidRPr="000858E6">
        <w:rPr>
          <w:rFonts w:eastAsia="MS Mincho"/>
          <w:lang w:val="fr-FR"/>
        </w:rPr>
        <w:t xml:space="preserve">un instrument juridique avec le pays accueillant la réunion si celle-ci se tient en des lieux d’implantation autres que ceux des sièges de l’Organisation de Nations Unies tels que Genève, Nairobi ou Bangkok; </w:t>
      </w:r>
      <w:r w:rsidR="001955F7">
        <w:rPr>
          <w:rFonts w:eastAsia="MS Mincho"/>
          <w:lang w:val="fr-FR"/>
        </w:rPr>
        <w:t>adopter</w:t>
      </w:r>
      <w:r w:rsidRPr="000858E6">
        <w:rPr>
          <w:rFonts w:eastAsia="MS Mincho"/>
          <w:lang w:val="fr-FR"/>
        </w:rPr>
        <w:t xml:space="preserve"> de</w:t>
      </w:r>
      <w:r w:rsidR="001955F7">
        <w:rPr>
          <w:rFonts w:eastAsia="MS Mincho"/>
          <w:lang w:val="fr-FR"/>
        </w:rPr>
        <w:t>s</w:t>
      </w:r>
      <w:r w:rsidRPr="000858E6">
        <w:rPr>
          <w:rFonts w:eastAsia="MS Mincho"/>
          <w:lang w:val="fr-FR"/>
        </w:rPr>
        <w:t xml:space="preserve"> dispositions concernant les voyages et le versement des indemnités journalières de subsistance aux participants des pays en développement et pays à économie en transition parrainés, notamment en facilitant l’obtention de visas et la mobilisation des ressources nécessaire</w:t>
      </w:r>
      <w:r w:rsidR="001955F7">
        <w:rPr>
          <w:rFonts w:eastAsia="MS Mincho"/>
          <w:lang w:val="fr-FR"/>
        </w:rPr>
        <w:t>s pour financer les voyages; réserver</w:t>
      </w:r>
      <w:r w:rsidRPr="000858E6">
        <w:rPr>
          <w:rFonts w:eastAsia="MS Mincho"/>
          <w:lang w:val="fr-FR"/>
        </w:rPr>
        <w:t xml:space="preserve"> les installations nécessaires à la Conférence, y compris l’ensemble du dispositif logistique dans le but d’assurer la sécurité et la préparation des salles de conférence, d’obtenir les moyens technologiques appropriés nécessaires au déroulement des réunions, aux manifestations et expositions parallèles, aux médias et à l’information; </w:t>
      </w:r>
      <w:r w:rsidR="001955F7">
        <w:rPr>
          <w:rFonts w:eastAsia="MS Mincho"/>
          <w:lang w:val="fr-FR"/>
        </w:rPr>
        <w:t>et conclure des</w:t>
      </w:r>
      <w:r w:rsidRPr="000858E6">
        <w:rPr>
          <w:rFonts w:eastAsia="MS Mincho"/>
          <w:lang w:val="fr-FR"/>
        </w:rPr>
        <w:t xml:space="preserve"> arrangemen</w:t>
      </w:r>
      <w:r w:rsidR="001955F7">
        <w:rPr>
          <w:rFonts w:eastAsia="MS Mincho"/>
          <w:lang w:val="fr-FR"/>
        </w:rPr>
        <w:t>ts au niveau local, notamment dans</w:t>
      </w:r>
      <w:r w:rsidRPr="000858E6">
        <w:rPr>
          <w:rFonts w:eastAsia="MS Mincho"/>
          <w:lang w:val="fr-FR"/>
        </w:rPr>
        <w:t xml:space="preserve"> des lieux d’affectation qui ne sont pas des sièges (recherche d’hôtels convenables).</w:t>
      </w:r>
    </w:p>
    <w:p w14:paraId="779D3288" w14:textId="51A1CAF6" w:rsidR="00B56DD8" w:rsidRPr="00FA20BE" w:rsidRDefault="00FA20BE"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rFonts w:eastAsia="MS Mincho"/>
          <w:lang w:val="fr-FR"/>
        </w:rPr>
        <w:t>Sur le plan technique, le secrétariat est chargé de l’établissement de tous les documents des réunions, et notamment de la coordination des contacts avec les parties intéressées ainsi que de la collaboration avec les Services de conférences afin de faire en sorte que les documents soient édités et traduits en temps voulu</w:t>
      </w:r>
      <w:r w:rsidR="001955F7">
        <w:rPr>
          <w:rFonts w:eastAsia="MS Mincho"/>
          <w:lang w:val="fr-FR"/>
        </w:rPr>
        <w:t>.</w:t>
      </w:r>
    </w:p>
    <w:p w14:paraId="3E062FEE" w14:textId="77777777" w:rsidR="00FA20BE" w:rsidRPr="00FA20BE" w:rsidRDefault="00FA20BE" w:rsidP="00FA20BE">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FA20BE">
        <w:rPr>
          <w:rFonts w:eastAsia="MS Mincho"/>
          <w:lang w:val="fr-FR"/>
        </w:rPr>
        <w:t>Pour les réunions de haut niveau, des dispositions particulières pourraient être nécessaires pour faciliter la participation de représentants</w:t>
      </w:r>
      <w:r w:rsidRPr="00FA20BE">
        <w:rPr>
          <w:lang w:val="fr-FR"/>
        </w:rPr>
        <w:t xml:space="preserve"> de rang élevé (tels que des ministres), notamment en ce qui concerne les demandes officielles de titres de voyage et les arrangements de nature à faciliter l’accès aux lieux des réunions.</w:t>
      </w:r>
    </w:p>
    <w:p w14:paraId="6E7C711D" w14:textId="0633F7A8" w:rsidR="0041238C" w:rsidRPr="00FA20BE" w:rsidRDefault="0041238C" w:rsidP="006432A8">
      <w:pPr>
        <w:pStyle w:val="CH2"/>
        <w:rPr>
          <w:lang w:val="fr-CH"/>
        </w:rPr>
      </w:pPr>
      <w:r w:rsidRPr="000332FD">
        <w:rPr>
          <w:lang w:val="fr-CH"/>
        </w:rPr>
        <w:lastRenderedPageBreak/>
        <w:tab/>
      </w:r>
      <w:r w:rsidRPr="00FA20BE">
        <w:rPr>
          <w:lang w:val="fr-CH"/>
        </w:rPr>
        <w:t>B.</w:t>
      </w:r>
      <w:r w:rsidRPr="00FA20BE">
        <w:rPr>
          <w:lang w:val="fr-CH"/>
        </w:rPr>
        <w:tab/>
      </w:r>
      <w:r w:rsidR="00FA20BE" w:rsidRPr="000858E6">
        <w:rPr>
          <w:lang w:val="fr-FR"/>
        </w:rPr>
        <w:t xml:space="preserve">Faciliter l’octroi, sur demande, d’une assistance aux Parties, </w:t>
      </w:r>
      <w:r w:rsidR="00D348FA">
        <w:rPr>
          <w:lang w:val="fr-FR"/>
        </w:rPr>
        <w:br/>
      </w:r>
      <w:r w:rsidR="00FA20BE" w:rsidRPr="000858E6">
        <w:rPr>
          <w:lang w:val="fr-FR"/>
        </w:rPr>
        <w:t xml:space="preserve">en particulier aux Parties qui sont des pays en développement </w:t>
      </w:r>
      <w:r w:rsidR="00D348FA">
        <w:rPr>
          <w:lang w:val="fr-FR"/>
        </w:rPr>
        <w:br/>
      </w:r>
      <w:r w:rsidR="00FA20BE" w:rsidRPr="000858E6">
        <w:rPr>
          <w:lang w:val="fr-FR"/>
        </w:rPr>
        <w:t xml:space="preserve">ou à économie en transition, aux fins de la mise en œuvre </w:t>
      </w:r>
      <w:r w:rsidR="00576E52">
        <w:rPr>
          <w:lang w:val="fr-FR"/>
        </w:rPr>
        <w:br/>
      </w:r>
      <w:r w:rsidR="00FA20BE" w:rsidRPr="000858E6">
        <w:rPr>
          <w:lang w:val="fr-FR"/>
        </w:rPr>
        <w:t>de la Convention</w:t>
      </w:r>
      <w:r w:rsidR="00FA20BE" w:rsidRPr="00FA20BE">
        <w:rPr>
          <w:lang w:val="fr-FR"/>
        </w:rPr>
        <w:t xml:space="preserve"> </w:t>
      </w:r>
    </w:p>
    <w:p w14:paraId="370C484B" w14:textId="58D3822E" w:rsidR="0041238C" w:rsidRPr="00B726D5" w:rsidRDefault="00B726D5"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 xml:space="preserve">Un </w:t>
      </w:r>
      <w:r w:rsidRPr="000858E6">
        <w:rPr>
          <w:rFonts w:eastAsia="MS Mincho"/>
          <w:lang w:val="fr-FR"/>
        </w:rPr>
        <w:t>renforcement</w:t>
      </w:r>
      <w:r w:rsidRPr="000858E6">
        <w:rPr>
          <w:lang w:val="fr-FR"/>
        </w:rPr>
        <w:t xml:space="preserve"> des capacités et une assistance technique seront nécessaires pour aider les Parties à appliquer l’ensemble des dispositions de la Convention et les non Parties à parvenir à une ratification </w:t>
      </w:r>
      <w:r w:rsidR="002C7153">
        <w:rPr>
          <w:lang w:val="fr-FR"/>
        </w:rPr>
        <w:t xml:space="preserve">rapide </w:t>
      </w:r>
      <w:r w:rsidRPr="000858E6">
        <w:rPr>
          <w:lang w:val="fr-FR"/>
        </w:rPr>
        <w:t xml:space="preserve">et </w:t>
      </w:r>
      <w:r w:rsidR="002C7153">
        <w:rPr>
          <w:lang w:val="fr-FR"/>
        </w:rPr>
        <w:t xml:space="preserve">à une mise en œuvre </w:t>
      </w:r>
      <w:r w:rsidRPr="000858E6">
        <w:rPr>
          <w:lang w:val="fr-FR"/>
        </w:rPr>
        <w:t>de celle-ci. Les activités dans ce domaine devraient, en principe, être plutôt axées sur les besoins recensés lors des travaux sur les évaluations initiales de Minamata menés sous l’égide du Fonds pour l’environnement mondial (FEM).</w:t>
      </w:r>
      <w:r w:rsidR="0041238C" w:rsidRPr="00B726D5">
        <w:rPr>
          <w:rFonts w:eastAsia="MS Mincho"/>
          <w:lang w:val="fr-CH"/>
        </w:rPr>
        <w:t xml:space="preserve"> </w:t>
      </w:r>
    </w:p>
    <w:p w14:paraId="5398F08A" w14:textId="1E306DF9" w:rsidR="00B726D5" w:rsidRPr="00B726D5" w:rsidRDefault="00B726D5"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 xml:space="preserve">Le secrétariat pourrait être prié d’entreprendre des activités au titre de toutes les </w:t>
      </w:r>
      <w:r w:rsidR="002C7153">
        <w:rPr>
          <w:lang w:val="fr-FR"/>
        </w:rPr>
        <w:t xml:space="preserve">obligations au titre </w:t>
      </w:r>
      <w:r w:rsidRPr="000858E6">
        <w:rPr>
          <w:lang w:val="fr-FR"/>
        </w:rPr>
        <w:t>de la Convention, notamment la fourniture d’une assistance en ce qui concerne l’approvisionnement en mercure et le commerce de cette substance aux fins de l’article 3 de la Convention, ainsi que le commerce des produits contenant du mercure ajouté qui est visé à l’article 4 de la Convention.</w:t>
      </w:r>
    </w:p>
    <w:p w14:paraId="4055FE49" w14:textId="3FAF436A" w:rsidR="00B726D5" w:rsidRPr="00B726D5" w:rsidRDefault="00B726D5"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Les Partie</w:t>
      </w:r>
      <w:r w:rsidR="001D5071">
        <w:rPr>
          <w:lang w:val="fr-FR"/>
        </w:rPr>
        <w:t>s pourraient aussi avoir besoin</w:t>
      </w:r>
      <w:r w:rsidRPr="000858E6">
        <w:rPr>
          <w:lang w:val="fr-FR"/>
        </w:rPr>
        <w:t xml:space="preserve"> d’une assistance aux fins de l’établissement et de la gestion des inventaires, notamment ceux qui sont nécessaires s’agissant des stocks de mercure (article 3), des sources d’approvisionnement en mercure (article 3), de la fabrication de produits auxquels du mercure est ajouté (article 4), des installations dont les procédés recourent au mercure ou aux composés du mercure (article 5), de l’extraction minière artisanale et à petite échelle de l’or (article 7), des émissions (article 8), des rejets (article 9), de la gestion des déchets de mercure (article 11) et des sites contaminés (article 12).</w:t>
      </w:r>
    </w:p>
    <w:p w14:paraId="48DA33D4" w14:textId="49A79D99" w:rsidR="00B726D5" w:rsidRPr="00124A9C" w:rsidRDefault="00124A9C"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Il se peut également qu’une assistance soit nécessaire aux Parties pour qu’elles puissent s’acquitter de leur obligation de contrôler et, dans la mesure du possible, réduire les émissions de mercure provenant de sources énumérées à l’annexe D de la Convention, comme prescrit à l’article 8, ainsi que les rejets de sources identifiées, comme exigé à l’article 9. Elles peuvent aussi avoir besoin d’une assistance pour concevoir des moyens appropriés de stockage provisoire du mercure en prévision d’une utilisation autorisée en vertu de la Convention et gérer les déchets de mercure de manière écologiquement rationnelle.</w:t>
      </w:r>
    </w:p>
    <w:p w14:paraId="13313E72" w14:textId="1CFE5B2D" w:rsidR="009D2DF0" w:rsidRPr="009D2DF0" w:rsidRDefault="009D2DF0"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De même, une assistance peut être nécessaire pour faciliter des activités pertinentes visées à l’article 17 (échange d’informations), à l’article 18 (information, sensibilisation et éducation du public) et à l’article 19 (recherche-développement et surveillance). Une collaboration avec l’Organisation mondiale de la Santé pourrait être indiquée pour aider à la mise en œuvre de l’article 16 (aspects sanitaires).</w:t>
      </w:r>
    </w:p>
    <w:p w14:paraId="15C30AEB" w14:textId="0E016687" w:rsidR="009D2DF0" w:rsidRPr="009D2DF0" w:rsidRDefault="009D2DF0"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Les activités susmentionnées seront facilitées par le secrétariat, en partenariat avec des intervenants compétents, dont, entre autres, l</w:t>
      </w:r>
      <w:r w:rsidR="002C7153">
        <w:rPr>
          <w:lang w:val="fr-FR"/>
        </w:rPr>
        <w:t>e Service « substances</w:t>
      </w:r>
      <w:r w:rsidR="00B009DB">
        <w:rPr>
          <w:lang w:val="fr-FR"/>
        </w:rPr>
        <w:t xml:space="preserve"> chimiques et santé » du PNUE, les </w:t>
      </w:r>
      <w:r w:rsidRPr="000858E6">
        <w:rPr>
          <w:lang w:val="fr-FR"/>
        </w:rPr>
        <w:t>bureaux régionaux du PNUE et les centres régionaux des conventions de Bâle et de Stockholm, ainsi que le FEM et ses organismes d’exécution, à savoir le Programme des Nations Unies pour le développement et l’Organisation des Nations Unies pour le développement industriel. Au nombre des autres organismes internationaux intéressés figurent</w:t>
      </w:r>
      <w:r w:rsidR="002C7153">
        <w:rPr>
          <w:lang w:val="fr-FR"/>
        </w:rPr>
        <w:t xml:space="preserve"> l’Organisation mondiale de la S</w:t>
      </w:r>
      <w:r w:rsidRPr="000858E6">
        <w:rPr>
          <w:lang w:val="fr-FR"/>
        </w:rPr>
        <w:t>anté, l’Organisation internationale du Travail, l’Organisation mondiale des douanes et l’Organisation mondiale du commerce. Lorsqu’il y a lieu, une coopération avec le secrétariat conjoint des conventions de Bâle, de Rotterdam et de Stockholm peut être envisagée pour faciliter les travaux, de même qu’une coopération technique avec le Partenariat mondial pour le mercure du PNUE et l’Institut des Nations Unies pour la formation et la recherche.</w:t>
      </w:r>
    </w:p>
    <w:p w14:paraId="1E435FE6" w14:textId="4067BA5C" w:rsidR="006239E3" w:rsidRPr="006239E3" w:rsidRDefault="0041238C" w:rsidP="006239E3">
      <w:pPr>
        <w:pStyle w:val="CH2"/>
        <w:rPr>
          <w:lang w:val="fr-CH"/>
        </w:rPr>
      </w:pPr>
      <w:r w:rsidRPr="000332FD">
        <w:rPr>
          <w:lang w:val="fr-CH"/>
        </w:rPr>
        <w:tab/>
      </w:r>
      <w:r w:rsidRPr="00D54FAE">
        <w:rPr>
          <w:lang w:val="fr-CH"/>
        </w:rPr>
        <w:t>C.</w:t>
      </w:r>
      <w:r w:rsidRPr="00D54FAE">
        <w:rPr>
          <w:lang w:val="fr-CH"/>
        </w:rPr>
        <w:tab/>
      </w:r>
      <w:r w:rsidR="00D54FAE" w:rsidRPr="00D54FAE">
        <w:rPr>
          <w:lang w:val="fr-CH"/>
        </w:rPr>
        <w:t xml:space="preserve">Assurer la coordination, si besoin est, avec les </w:t>
      </w:r>
      <w:r w:rsidR="00D54FAE">
        <w:rPr>
          <w:lang w:val="fr-CH"/>
        </w:rPr>
        <w:t>secré</w:t>
      </w:r>
      <w:r w:rsidR="00D54FAE" w:rsidRPr="00D54FAE">
        <w:rPr>
          <w:lang w:val="fr-CH"/>
        </w:rPr>
        <w:t xml:space="preserve">tariats d’organismes internationaux compétents, en particulier avec ceux d’autres conventions </w:t>
      </w:r>
      <w:r w:rsidR="00CD6B71">
        <w:rPr>
          <w:lang w:val="fr-CH"/>
        </w:rPr>
        <w:br/>
      </w:r>
      <w:r w:rsidR="00D54FAE" w:rsidRPr="00D54FAE">
        <w:rPr>
          <w:lang w:val="fr-CH"/>
        </w:rPr>
        <w:t>sur les produits chimiques et les déchets</w:t>
      </w:r>
    </w:p>
    <w:p w14:paraId="5FEE6E35" w14:textId="58F3E674" w:rsidR="006239E3" w:rsidRPr="009A794D" w:rsidRDefault="009A794D" w:rsidP="006239E3">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9A794D">
        <w:rPr>
          <w:lang w:val="fr-FR"/>
        </w:rPr>
        <w:t>La coordination des activités a fait partie intégrante de la plupart des travaux du secrétariat provisoire au cours des négociations de la Convention de Minamata. Cette coordination devrait être développée en particulier aux fins du fonctionnement du mécanisme financier après l’entrée en vigueur de l’instrument.</w:t>
      </w:r>
    </w:p>
    <w:p w14:paraId="1FDCE09C" w14:textId="57110F72" w:rsidR="009A794D" w:rsidRPr="000454C4" w:rsidRDefault="009A794D"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Cette coordination des activités comprend, entre autres, des activités de renforcement des capacités et d’assistance technique menées en coopération avec le secrétariat des conventions de Bâle, de Rotterdam et de Stockholm et d’autres secrétariats d’organismes internationaux pertinents. Des efforts seront en outre faits avec le secrétariat de ces conventions pour coordonner d’autres activités telles que</w:t>
      </w:r>
      <w:r w:rsidR="001752E9">
        <w:rPr>
          <w:lang w:val="fr-FR"/>
        </w:rPr>
        <w:t xml:space="preserve"> </w:t>
      </w:r>
      <w:r w:rsidRPr="000858E6">
        <w:rPr>
          <w:lang w:val="fr-FR"/>
        </w:rPr>
        <w:t>l’établissement de calendriers</w:t>
      </w:r>
      <w:r w:rsidR="001752E9">
        <w:rPr>
          <w:lang w:val="fr-FR"/>
        </w:rPr>
        <w:t xml:space="preserve"> de réunions</w:t>
      </w:r>
      <w:r w:rsidRPr="000858E6">
        <w:rPr>
          <w:lang w:val="fr-FR"/>
        </w:rPr>
        <w:t xml:space="preserve"> afin de pouvoir exécuter les activités le plus efficacement possible et d’éviter les chevauchements et les problèmes pouvant empêcher la </w:t>
      </w:r>
      <w:r w:rsidRPr="000858E6">
        <w:rPr>
          <w:lang w:val="fr-FR"/>
        </w:rPr>
        <w:lastRenderedPageBreak/>
        <w:t>participation à des réunions utiles. Une coordination sera également assurée au titre des travaux du comité chargé de la mise en œuvre et du respect.</w:t>
      </w:r>
      <w:r w:rsidR="001752E9">
        <w:rPr>
          <w:lang w:val="fr-FR"/>
        </w:rPr>
        <w:t xml:space="preserve"> La plupart de ces activités sont déjà en cours</w:t>
      </w:r>
      <w:r w:rsidR="005B41D7">
        <w:rPr>
          <w:lang w:val="fr-FR"/>
        </w:rPr>
        <w:t xml:space="preserve"> sur la base de la tenue l’une à la suite de l’autre de réunions dans les régions. </w:t>
      </w:r>
    </w:p>
    <w:p w14:paraId="47E99F07" w14:textId="2619C347" w:rsidR="0041238C" w:rsidRPr="000454C4" w:rsidRDefault="00994835" w:rsidP="000454C4">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454C4">
        <w:rPr>
          <w:lang w:val="fr-FR"/>
        </w:rPr>
        <w:t>Une coordina</w:t>
      </w:r>
      <w:r w:rsidR="00B504D5" w:rsidRPr="000454C4">
        <w:rPr>
          <w:lang w:val="fr-FR"/>
        </w:rPr>
        <w:t xml:space="preserve">tion avec d’autres secrétariats, en particulier </w:t>
      </w:r>
      <w:r w:rsidRPr="000454C4">
        <w:rPr>
          <w:lang w:val="fr-FR"/>
        </w:rPr>
        <w:t>celui du FEM</w:t>
      </w:r>
      <w:r w:rsidR="000454C4" w:rsidRPr="000454C4">
        <w:rPr>
          <w:lang w:val="fr-FR"/>
        </w:rPr>
        <w:t>,</w:t>
      </w:r>
      <w:r w:rsidRPr="000454C4">
        <w:rPr>
          <w:lang w:val="fr-FR"/>
        </w:rPr>
        <w:t xml:space="preserve"> sera également nécessaire aux fins de l’élaboration de plans de travail et de l’application des orientations données au </w:t>
      </w:r>
      <w:r w:rsidR="002C7153">
        <w:rPr>
          <w:lang w:val="fr-FR"/>
        </w:rPr>
        <w:t>Conseil du</w:t>
      </w:r>
      <w:r w:rsidR="00B504D5" w:rsidRPr="000454C4">
        <w:rPr>
          <w:lang w:val="fr-FR"/>
        </w:rPr>
        <w:t xml:space="preserve"> </w:t>
      </w:r>
      <w:r w:rsidRPr="000454C4">
        <w:rPr>
          <w:lang w:val="fr-FR"/>
        </w:rPr>
        <w:t>FEM par la Conférence des Parties.</w:t>
      </w:r>
    </w:p>
    <w:p w14:paraId="6886BBBD" w14:textId="4FC02C44" w:rsidR="0041238C" w:rsidRPr="000454C4" w:rsidRDefault="0041238C" w:rsidP="006432A8">
      <w:pPr>
        <w:pStyle w:val="CH2"/>
        <w:rPr>
          <w:lang w:val="fr-CH"/>
        </w:rPr>
      </w:pPr>
      <w:r w:rsidRPr="00994835">
        <w:rPr>
          <w:lang w:val="fr-CH"/>
        </w:rPr>
        <w:tab/>
      </w:r>
      <w:r w:rsidRPr="000454C4">
        <w:rPr>
          <w:lang w:val="fr-CH"/>
        </w:rPr>
        <w:t>D.</w:t>
      </w:r>
      <w:r w:rsidRPr="000454C4">
        <w:rPr>
          <w:lang w:val="fr-CH"/>
        </w:rPr>
        <w:tab/>
      </w:r>
      <w:r w:rsidR="000454C4" w:rsidRPr="000858E6">
        <w:rPr>
          <w:lang w:val="fr-FR"/>
        </w:rPr>
        <w:t xml:space="preserve">Soutenir les Parties dans le cadre de l’échange d’informations </w:t>
      </w:r>
      <w:r w:rsidR="00CD6B71">
        <w:rPr>
          <w:lang w:val="fr-FR"/>
        </w:rPr>
        <w:br/>
      </w:r>
      <w:r w:rsidR="000454C4" w:rsidRPr="000858E6">
        <w:rPr>
          <w:lang w:val="fr-FR"/>
        </w:rPr>
        <w:t>concernant la mise en œuvre de la Convention</w:t>
      </w:r>
    </w:p>
    <w:p w14:paraId="558F9A80" w14:textId="44AD8687" w:rsidR="008E4E78" w:rsidRPr="00A84BA5" w:rsidRDefault="008E4E78"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 xml:space="preserve">L’échange d’informations nécessitera la mise en place et la gestion d’une structure officielle qui permettra aux Parties de s’acquitter de leurs obligations au titre de la Convention. C’est en particulier au cours de </w:t>
      </w:r>
      <w:r w:rsidR="00EB00E7">
        <w:rPr>
          <w:lang w:val="fr-FR"/>
        </w:rPr>
        <w:t xml:space="preserve">sa mise en place que </w:t>
      </w:r>
      <w:r w:rsidRPr="000858E6">
        <w:rPr>
          <w:lang w:val="fr-FR"/>
        </w:rPr>
        <w:t xml:space="preserve">cette structure d’échange d’informations </w:t>
      </w:r>
      <w:r w:rsidR="00EB00E7">
        <w:rPr>
          <w:lang w:val="fr-FR"/>
        </w:rPr>
        <w:t>nécessitera</w:t>
      </w:r>
      <w:r w:rsidRPr="000858E6">
        <w:rPr>
          <w:lang w:val="fr-FR"/>
        </w:rPr>
        <w:t xml:space="preserve"> vraisemblablement </w:t>
      </w:r>
      <w:r w:rsidR="00EB00E7">
        <w:rPr>
          <w:lang w:val="fr-FR"/>
        </w:rPr>
        <w:t xml:space="preserve">une allocation </w:t>
      </w:r>
      <w:r w:rsidRPr="000858E6">
        <w:rPr>
          <w:lang w:val="fr-FR"/>
        </w:rPr>
        <w:t>des ressources</w:t>
      </w:r>
      <w:r w:rsidR="00EB00E7">
        <w:rPr>
          <w:lang w:val="fr-FR"/>
        </w:rPr>
        <w:t xml:space="preserve"> et bénéficiera des </w:t>
      </w:r>
      <w:r w:rsidR="00056B8B">
        <w:rPr>
          <w:lang w:val="fr-FR"/>
        </w:rPr>
        <w:t>mesures initiales prises p</w:t>
      </w:r>
      <w:r w:rsidR="00EB00E7">
        <w:rPr>
          <w:lang w:val="fr-FR"/>
        </w:rPr>
        <w:t>ar le secrétariat provisoire pour co</w:t>
      </w:r>
      <w:r w:rsidR="00056B8B">
        <w:rPr>
          <w:lang w:val="fr-FR"/>
        </w:rPr>
        <w:t>opére</w:t>
      </w:r>
      <w:r w:rsidR="00EB00E7">
        <w:rPr>
          <w:lang w:val="fr-FR"/>
        </w:rPr>
        <w:t xml:space="preserve">r avec d’autres </w:t>
      </w:r>
      <w:r w:rsidR="00A81921">
        <w:rPr>
          <w:lang w:val="fr-FR"/>
        </w:rPr>
        <w:t xml:space="preserve">plateformes de partage des connaissances </w:t>
      </w:r>
      <w:r w:rsidR="00056B8B">
        <w:rPr>
          <w:lang w:val="fr-FR"/>
        </w:rPr>
        <w:t>comme InforMEA.</w:t>
      </w:r>
    </w:p>
    <w:p w14:paraId="32E2AF31" w14:textId="599E1FAC" w:rsidR="00A84BA5" w:rsidRPr="00A84BA5" w:rsidRDefault="00A84BA5" w:rsidP="00A84BA5">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A84BA5">
        <w:rPr>
          <w:lang w:val="fr-FR"/>
        </w:rPr>
        <w:t>Plus concrètement, à l’article 17</w:t>
      </w:r>
      <w:r w:rsidR="00360574">
        <w:rPr>
          <w:lang w:val="fr-FR"/>
        </w:rPr>
        <w:t>,</w:t>
      </w:r>
      <w:r w:rsidRPr="00A84BA5">
        <w:rPr>
          <w:lang w:val="fr-FR"/>
        </w:rPr>
        <w:t xml:space="preserve"> il est demandé au secrétariat de faciliter la coopération en matière d’échange d’informations sur un certain nombre de questions ainsi qu’avec des organisations compétentes, notamment les secrétariats des accords multilatéraux sur l’environnement et d’autres initiatives internationales, outre les informations fournies par les Parties. Il s’agira d’informations émanant d’organisations intergouvernementales et non gouvernementales et d’institutions nationales et internationales qui possèdent des compétences dans le domaine du mercure. Les informations dont l’échange est prévu à l’article 17 sont les suivantes :</w:t>
      </w:r>
    </w:p>
    <w:p w14:paraId="55017474" w14:textId="7BEAC007" w:rsidR="00A84BA5" w:rsidRPr="000858E6" w:rsidRDefault="00A84BA5" w:rsidP="00CD6B71">
      <w:pPr>
        <w:pStyle w:val="NormalNonumber"/>
        <w:tabs>
          <w:tab w:val="clear" w:pos="1247"/>
          <w:tab w:val="clear" w:pos="1814"/>
          <w:tab w:val="left" w:pos="4678"/>
        </w:tabs>
        <w:ind w:left="1260" w:firstLine="630"/>
        <w:rPr>
          <w:rFonts w:eastAsia="MS Mincho"/>
          <w:lang w:val="fr-FR"/>
        </w:rPr>
      </w:pPr>
      <w:r w:rsidRPr="000858E6">
        <w:rPr>
          <w:lang w:val="fr-FR"/>
        </w:rPr>
        <w:t>a)</w:t>
      </w:r>
      <w:r w:rsidRPr="000858E6">
        <w:rPr>
          <w:lang w:val="fr-FR"/>
        </w:rPr>
        <w:tab/>
      </w:r>
      <w:r w:rsidRPr="000858E6">
        <w:rPr>
          <w:rFonts w:eastAsia="MS Mincho"/>
          <w:lang w:val="fr-FR"/>
        </w:rPr>
        <w:t>Informations scientifiques, techniques, économiques et juridiques concernant le mercure et les composés du mercure, y compris des informations toxicologiques, écotoxicologiques et relatives à la sécurité;</w:t>
      </w:r>
    </w:p>
    <w:p w14:paraId="33DD6B5F" w14:textId="38937A64" w:rsidR="00A84BA5" w:rsidRPr="000858E6" w:rsidRDefault="00A84BA5" w:rsidP="00CD6B71">
      <w:pPr>
        <w:pStyle w:val="NormalNonumber"/>
        <w:tabs>
          <w:tab w:val="clear" w:pos="1247"/>
          <w:tab w:val="clear" w:pos="1814"/>
          <w:tab w:val="left" w:pos="4678"/>
        </w:tabs>
        <w:ind w:left="1260" w:firstLine="630"/>
        <w:rPr>
          <w:rFonts w:eastAsia="MS Mincho"/>
          <w:lang w:val="fr-FR"/>
        </w:rPr>
      </w:pPr>
      <w:r w:rsidRPr="000858E6">
        <w:rPr>
          <w:rFonts w:eastAsia="MS Mincho"/>
          <w:lang w:val="fr-FR"/>
        </w:rPr>
        <w:t>b)</w:t>
      </w:r>
      <w:r w:rsidRPr="000858E6">
        <w:rPr>
          <w:rFonts w:eastAsia="MS Mincho"/>
          <w:lang w:val="fr-FR"/>
        </w:rPr>
        <w:tab/>
        <w:t>Informations sur la réduction ou l’élimination de la production, de l’utilisation, du commerce, des émissions et des rejets de mercure et de composés du mercure;</w:t>
      </w:r>
    </w:p>
    <w:p w14:paraId="506CDE32" w14:textId="7390E981" w:rsidR="00A84BA5" w:rsidRPr="000858E6" w:rsidRDefault="00A84BA5" w:rsidP="00CD6B71">
      <w:pPr>
        <w:pStyle w:val="NormalNonumber"/>
        <w:tabs>
          <w:tab w:val="clear" w:pos="1247"/>
          <w:tab w:val="clear" w:pos="1814"/>
          <w:tab w:val="left" w:pos="4678"/>
        </w:tabs>
        <w:ind w:left="1260" w:firstLine="630"/>
        <w:rPr>
          <w:rFonts w:eastAsia="MS Mincho"/>
          <w:lang w:val="fr-FR"/>
        </w:rPr>
      </w:pPr>
      <w:r w:rsidRPr="000858E6">
        <w:rPr>
          <w:rFonts w:eastAsia="MS Mincho"/>
          <w:lang w:val="fr-FR"/>
        </w:rPr>
        <w:t>c)</w:t>
      </w:r>
      <w:r w:rsidRPr="000858E6">
        <w:rPr>
          <w:rFonts w:eastAsia="MS Mincho"/>
          <w:lang w:val="fr-FR"/>
        </w:rPr>
        <w:tab/>
        <w:t>Informations concernant les solutions de remplacement techniquement et économiquement viables pour :</w:t>
      </w:r>
    </w:p>
    <w:p w14:paraId="7B951753" w14:textId="72F04509" w:rsidR="00A84BA5" w:rsidRPr="000858E6" w:rsidRDefault="00A84BA5" w:rsidP="00CD6B71">
      <w:pPr>
        <w:pStyle w:val="NormalNonumber"/>
        <w:tabs>
          <w:tab w:val="clear" w:pos="1247"/>
          <w:tab w:val="clear" w:pos="1814"/>
          <w:tab w:val="clear" w:pos="2381"/>
          <w:tab w:val="clear" w:pos="2948"/>
          <w:tab w:val="left" w:pos="2977"/>
          <w:tab w:val="left" w:pos="4678"/>
          <w:tab w:val="left" w:pos="5387"/>
          <w:tab w:val="left" w:pos="6096"/>
        </w:tabs>
        <w:ind w:left="2430"/>
        <w:rPr>
          <w:lang w:val="fr-FR"/>
        </w:rPr>
      </w:pPr>
      <w:r w:rsidRPr="000858E6">
        <w:rPr>
          <w:lang w:val="fr-FR"/>
        </w:rPr>
        <w:t>i)</w:t>
      </w:r>
      <w:r w:rsidRPr="000858E6">
        <w:rPr>
          <w:lang w:val="fr-FR"/>
        </w:rPr>
        <w:tab/>
        <w:t>Les produits contenant du mercure ajouté;</w:t>
      </w:r>
    </w:p>
    <w:p w14:paraId="21ACD253" w14:textId="714EDC5B" w:rsidR="00A84BA5" w:rsidRPr="000858E6" w:rsidRDefault="00A84BA5" w:rsidP="00CD6B71">
      <w:pPr>
        <w:pStyle w:val="NormalNonumber"/>
        <w:tabs>
          <w:tab w:val="clear" w:pos="1247"/>
          <w:tab w:val="clear" w:pos="1814"/>
          <w:tab w:val="clear" w:pos="2381"/>
          <w:tab w:val="clear" w:pos="2948"/>
          <w:tab w:val="left" w:pos="2977"/>
          <w:tab w:val="left" w:pos="4678"/>
          <w:tab w:val="left" w:pos="5387"/>
          <w:tab w:val="left" w:pos="6096"/>
        </w:tabs>
        <w:ind w:left="2970" w:hanging="540"/>
        <w:rPr>
          <w:lang w:val="fr-FR"/>
        </w:rPr>
      </w:pPr>
      <w:r w:rsidRPr="000858E6">
        <w:rPr>
          <w:lang w:val="fr-FR"/>
        </w:rPr>
        <w:t>ii)</w:t>
      </w:r>
      <w:r w:rsidRPr="000858E6">
        <w:rPr>
          <w:lang w:val="fr-FR"/>
        </w:rPr>
        <w:tab/>
        <w:t>Les procédés de fabrication dans lesquels du mercure ou des composés du mercure sont utilisés; et</w:t>
      </w:r>
    </w:p>
    <w:p w14:paraId="7E0D87B3" w14:textId="4147E89D" w:rsidR="00A84BA5" w:rsidRPr="000858E6" w:rsidRDefault="00A84BA5" w:rsidP="00CD6B71">
      <w:pPr>
        <w:pStyle w:val="NormalNonumber"/>
        <w:tabs>
          <w:tab w:val="clear" w:pos="1247"/>
          <w:tab w:val="clear" w:pos="1814"/>
          <w:tab w:val="clear" w:pos="2381"/>
          <w:tab w:val="clear" w:pos="2948"/>
          <w:tab w:val="left" w:pos="2977"/>
          <w:tab w:val="left" w:pos="4678"/>
          <w:tab w:val="left" w:pos="5387"/>
          <w:tab w:val="left" w:pos="6096"/>
        </w:tabs>
        <w:ind w:left="2970" w:hanging="540"/>
        <w:rPr>
          <w:lang w:val="fr-FR"/>
        </w:rPr>
      </w:pPr>
      <w:r w:rsidRPr="000858E6">
        <w:rPr>
          <w:lang w:val="fr-FR"/>
        </w:rPr>
        <w:t>iii)</w:t>
      </w:r>
      <w:r w:rsidRPr="000858E6">
        <w:rPr>
          <w:lang w:val="fr-FR"/>
        </w:rPr>
        <w:tab/>
        <w:t>Les activités et procédés qui émettent ou rejettent du mercure ou des composés du mercure;</w:t>
      </w:r>
    </w:p>
    <w:p w14:paraId="681BDE27" w14:textId="79519CD1" w:rsidR="00A84BA5" w:rsidRPr="000858E6" w:rsidRDefault="00A84BA5" w:rsidP="00CD6B71">
      <w:pPr>
        <w:pStyle w:val="NormalNonumber"/>
        <w:tabs>
          <w:tab w:val="clear" w:pos="1247"/>
          <w:tab w:val="clear" w:pos="1814"/>
          <w:tab w:val="left" w:pos="1843"/>
        </w:tabs>
        <w:ind w:firstLine="643"/>
        <w:rPr>
          <w:lang w:val="fr-FR"/>
        </w:rPr>
      </w:pPr>
      <w:r w:rsidRPr="000858E6">
        <w:rPr>
          <w:lang w:val="fr-FR"/>
        </w:rPr>
        <w:t>y compris des informations relatives aux risques pour la santé et l’environnement et aux coûts et avantages socio-économiques de ces solutions de remplacement; et</w:t>
      </w:r>
    </w:p>
    <w:p w14:paraId="0074EA80" w14:textId="5D417781" w:rsidR="00EC0022" w:rsidRPr="00EC0022" w:rsidRDefault="00A84BA5" w:rsidP="00CD6B71">
      <w:pPr>
        <w:pStyle w:val="NormalNonumber"/>
        <w:tabs>
          <w:tab w:val="clear" w:pos="1247"/>
          <w:tab w:val="clear" w:pos="1814"/>
          <w:tab w:val="left" w:pos="4678"/>
        </w:tabs>
        <w:ind w:left="1260" w:firstLine="630"/>
        <w:rPr>
          <w:lang w:val="fr-FR"/>
        </w:rPr>
      </w:pPr>
      <w:r w:rsidRPr="000858E6">
        <w:rPr>
          <w:lang w:val="fr-FR"/>
        </w:rPr>
        <w:t>d)</w:t>
      </w:r>
      <w:r w:rsidRPr="000858E6">
        <w:rPr>
          <w:lang w:val="fr-FR"/>
        </w:rPr>
        <w:tab/>
        <w:t xml:space="preserve">Informations épidémiologiques concernant les effets sur la santé de l’exposition au mercure et aux </w:t>
      </w:r>
      <w:r w:rsidRPr="000858E6">
        <w:rPr>
          <w:rFonts w:eastAsia="MS Mincho"/>
          <w:lang w:val="fr-FR"/>
        </w:rPr>
        <w:t>composés</w:t>
      </w:r>
      <w:r w:rsidRPr="000858E6">
        <w:rPr>
          <w:lang w:val="fr-FR"/>
        </w:rPr>
        <w:t xml:space="preserve"> du mercure, en étroite coopération avec l’Organisation mondiale de la Santé et d’autres organisations compétentes au besoin.</w:t>
      </w:r>
    </w:p>
    <w:p w14:paraId="31623044" w14:textId="2029FF7C" w:rsidR="00D23E0D" w:rsidRPr="00D23E0D" w:rsidRDefault="00F80C5C" w:rsidP="00D23E0D">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D23E0D">
        <w:rPr>
          <w:rFonts w:eastAsia="MS Mincho"/>
          <w:lang w:val="fr-CH"/>
        </w:rPr>
        <w:t>En outre, d’autres dispositions de la Convention exigent que le secrétariat facilite l’échange d’informations ; ces dispositions figurent aux articles suivants :</w:t>
      </w:r>
    </w:p>
    <w:p w14:paraId="77568D7D" w14:textId="7CB4B223" w:rsidR="00F80C5C" w:rsidRPr="000537EA" w:rsidRDefault="00F80C5C" w:rsidP="000537EA">
      <w:pPr>
        <w:pStyle w:val="NormalNonumber"/>
        <w:numPr>
          <w:ilvl w:val="0"/>
          <w:numId w:val="148"/>
        </w:numPr>
        <w:tabs>
          <w:tab w:val="clear" w:pos="1247"/>
          <w:tab w:val="clear" w:pos="1814"/>
          <w:tab w:val="clear" w:pos="2381"/>
          <w:tab w:val="left" w:pos="1276"/>
          <w:tab w:val="left" w:pos="2410"/>
          <w:tab w:val="left" w:pos="4820"/>
          <w:tab w:val="left" w:pos="5387"/>
          <w:tab w:val="left" w:pos="5954"/>
        </w:tabs>
        <w:ind w:left="1276" w:firstLine="567"/>
        <w:rPr>
          <w:lang w:val="fr-FR"/>
        </w:rPr>
      </w:pPr>
      <w:r w:rsidRPr="000858E6">
        <w:rPr>
          <w:lang w:val="fr-FR"/>
        </w:rPr>
        <w:t>L’article 3, qui impose au secrétariat de tenir un regis</w:t>
      </w:r>
      <w:r w:rsidR="000537EA">
        <w:rPr>
          <w:lang w:val="fr-FR"/>
        </w:rPr>
        <w:t xml:space="preserve">tre public des notifications de </w:t>
      </w:r>
      <w:r w:rsidRPr="000537EA">
        <w:rPr>
          <w:lang w:val="fr-FR"/>
        </w:rPr>
        <w:t>consentement;</w:t>
      </w:r>
    </w:p>
    <w:p w14:paraId="4E7EED58" w14:textId="7E8DBD40" w:rsidR="00F80C5C" w:rsidRDefault="008370BD" w:rsidP="000537EA">
      <w:pPr>
        <w:pStyle w:val="NormalNonumber"/>
        <w:numPr>
          <w:ilvl w:val="0"/>
          <w:numId w:val="148"/>
        </w:numPr>
        <w:tabs>
          <w:tab w:val="clear" w:pos="1247"/>
          <w:tab w:val="clear" w:pos="1814"/>
          <w:tab w:val="clear" w:pos="2381"/>
          <w:tab w:val="left" w:pos="2410"/>
          <w:tab w:val="left" w:pos="4820"/>
          <w:tab w:val="left" w:pos="5387"/>
          <w:tab w:val="left" w:pos="5954"/>
        </w:tabs>
        <w:ind w:left="1276" w:firstLine="567"/>
        <w:rPr>
          <w:lang w:val="fr-FR"/>
        </w:rPr>
      </w:pPr>
      <w:r>
        <w:rPr>
          <w:lang w:val="fr-FR"/>
        </w:rPr>
        <w:t>L’a</w:t>
      </w:r>
      <w:r w:rsidR="00F80C5C" w:rsidRPr="00E62C7B">
        <w:rPr>
          <w:lang w:val="fr-FR"/>
        </w:rPr>
        <w:t>rticle 4, qui impose au secrétariat, à partir d’informations fournies par les Parties, de recueillir et tenir à jour des informations sur les produits contenant du mercure ajouté et sur leurs solutions de remplacement, et de mettre ces informations à la disposition du public, ainsi que des informations fournies par une Partie sur des produits contenant du mercure ajouté à des fins qui ne cadrent avec aucune des utilisations connues de tels produits avant la date d’entrée en vigueur de la Convention à son égard, ainsi que toutes autres informations pertinentes fournies par les Parties;</w:t>
      </w:r>
    </w:p>
    <w:p w14:paraId="76642966" w14:textId="41BF99E4" w:rsidR="00F80C5C" w:rsidRPr="008370BD" w:rsidRDefault="00F80C5C" w:rsidP="008370BD">
      <w:pPr>
        <w:pStyle w:val="NormalNonumber"/>
        <w:numPr>
          <w:ilvl w:val="0"/>
          <w:numId w:val="148"/>
        </w:numPr>
        <w:tabs>
          <w:tab w:val="clear" w:pos="1247"/>
          <w:tab w:val="clear" w:pos="1814"/>
          <w:tab w:val="clear" w:pos="2381"/>
          <w:tab w:val="left" w:pos="2410"/>
          <w:tab w:val="left" w:pos="4820"/>
          <w:tab w:val="left" w:pos="5387"/>
          <w:tab w:val="left" w:pos="5954"/>
        </w:tabs>
        <w:ind w:left="1276" w:firstLine="567"/>
        <w:rPr>
          <w:lang w:val="fr-FR"/>
        </w:rPr>
      </w:pPr>
      <w:r w:rsidRPr="008370BD">
        <w:rPr>
          <w:lang w:val="fr-FR"/>
        </w:rPr>
        <w:t xml:space="preserve">L’article 5, qui impose au secrétariat, à partir d’informations fournies par les Parties, de recueillir et de tenir à jour des informations sur les procédés utilisant du mercure ou des composés du mercure et leurs solutions de remplacement, et de mettre ces informations à la disposition du public, ainsi que des informations fournies par une Partie sur le nombre et les types d’installations opérant sur son territoire dont les procédés, énumérés à l’annexe B, recourent au mercure ou à des composés du </w:t>
      </w:r>
      <w:r w:rsidRPr="008370BD">
        <w:rPr>
          <w:lang w:val="fr-FR"/>
        </w:rPr>
        <w:lastRenderedPageBreak/>
        <w:t>mercure, et sur leur consommation estimative annuelle de mercure et de composés du mercure utilisés par ces installations et toutes autres informations pertinentes fournies par les Parties;</w:t>
      </w:r>
    </w:p>
    <w:p w14:paraId="5395B1FB" w14:textId="0F412493" w:rsidR="00F80C5C" w:rsidRPr="008370BD" w:rsidRDefault="00F80C5C" w:rsidP="008370BD">
      <w:pPr>
        <w:pStyle w:val="NormalNonumber"/>
        <w:numPr>
          <w:ilvl w:val="0"/>
          <w:numId w:val="148"/>
        </w:numPr>
        <w:tabs>
          <w:tab w:val="clear" w:pos="1247"/>
          <w:tab w:val="clear" w:pos="1814"/>
          <w:tab w:val="clear" w:pos="2381"/>
          <w:tab w:val="left" w:pos="4820"/>
          <w:tab w:val="left" w:pos="5387"/>
          <w:tab w:val="left" w:pos="5954"/>
        </w:tabs>
        <w:ind w:left="2410" w:hanging="567"/>
        <w:rPr>
          <w:lang w:val="fr-FR"/>
        </w:rPr>
      </w:pPr>
      <w:r w:rsidRPr="000858E6">
        <w:rPr>
          <w:lang w:val="fr-FR"/>
        </w:rPr>
        <w:t>L’article</w:t>
      </w:r>
      <w:r w:rsidRPr="000858E6">
        <w:rPr>
          <w:rFonts w:eastAsia="MS Mincho"/>
          <w:lang w:val="fr-FR"/>
        </w:rPr>
        <w:t> 6, qui impose au secrétariat de tenir un registre des dérogations.</w:t>
      </w:r>
    </w:p>
    <w:p w14:paraId="38166EFE" w14:textId="77777777" w:rsidR="00A05929" w:rsidRPr="00A05929" w:rsidRDefault="00A05929" w:rsidP="00A05929">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A05929">
        <w:rPr>
          <w:lang w:val="fr-FR"/>
        </w:rPr>
        <w:t>Enfin, l’assistance du secrétariat pourrait aussi être considérée comme nécessaire dans d’autres domaines où un échange d’informations est prescrit, à l’article 5 par exemple, où les Parties sont encouragées à échanger des informations sur les nouveaux développements techniques pertinents, les solutions de remplacement sans mercure qui sont économiquement et techniquement applicables, les mesures et techniques envisageables pour réduire et, si possible, éliminer l’utilisation du mercure et de composés de mercure dans les procédés de fabrication inscrits à l’annexe B ou visés à l’article 18, et les émissions et rejets de mercure et de composés du mercure provenant de ces procédés.</w:t>
      </w:r>
    </w:p>
    <w:p w14:paraId="194F4498" w14:textId="47A7BD00" w:rsidR="0041238C" w:rsidRPr="00A05929" w:rsidRDefault="0041238C" w:rsidP="006432A8">
      <w:pPr>
        <w:pStyle w:val="CH2"/>
        <w:rPr>
          <w:lang w:val="fr-CH"/>
        </w:rPr>
      </w:pPr>
      <w:r w:rsidRPr="000332FD">
        <w:rPr>
          <w:lang w:val="fr-CH"/>
        </w:rPr>
        <w:tab/>
      </w:r>
      <w:r w:rsidRPr="00A05929">
        <w:rPr>
          <w:lang w:val="fr-CH"/>
        </w:rPr>
        <w:t>E.</w:t>
      </w:r>
      <w:r w:rsidRPr="00A05929">
        <w:rPr>
          <w:lang w:val="fr-CH"/>
        </w:rPr>
        <w:tab/>
      </w:r>
      <w:r w:rsidR="00A05929" w:rsidRPr="000858E6">
        <w:rPr>
          <w:lang w:val="fr-FR"/>
        </w:rPr>
        <w:t xml:space="preserve">Établir et mettre à la disposition des Parties des rapports périodiques </w:t>
      </w:r>
      <w:r w:rsidR="00576E52">
        <w:rPr>
          <w:lang w:val="fr-FR"/>
        </w:rPr>
        <w:br/>
      </w:r>
      <w:r w:rsidR="00A05929" w:rsidRPr="000858E6">
        <w:rPr>
          <w:lang w:val="fr-FR"/>
        </w:rPr>
        <w:t xml:space="preserve">fondés sur des informations reçues en vertu des articles 15 et 21 </w:t>
      </w:r>
      <w:r w:rsidR="00576E52">
        <w:rPr>
          <w:lang w:val="fr-FR"/>
        </w:rPr>
        <w:br/>
      </w:r>
      <w:r w:rsidR="00A05929" w:rsidRPr="000858E6">
        <w:rPr>
          <w:lang w:val="fr-FR"/>
        </w:rPr>
        <w:t>ainsi que d’autres informations disponibles</w:t>
      </w:r>
      <w:r w:rsidR="00A05929" w:rsidRPr="00A05929">
        <w:rPr>
          <w:lang w:val="fr-CH"/>
        </w:rPr>
        <w:t xml:space="preserve"> </w:t>
      </w:r>
    </w:p>
    <w:p w14:paraId="76A34AB6" w14:textId="74917398" w:rsidR="00C84A7A" w:rsidRPr="00C84A7A" w:rsidRDefault="00C84A7A"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Établir des rapports fondés sur les informations reçues en vertu des articles 15 et 21 ainsi que d’autres informations disponibles et les mettre à la disposition des Part</w:t>
      </w:r>
      <w:r w:rsidR="004A09E9">
        <w:rPr>
          <w:lang w:val="fr-FR"/>
        </w:rPr>
        <w:t xml:space="preserve">ies supposera vraisemblablement </w:t>
      </w:r>
      <w:r w:rsidRPr="000858E6">
        <w:rPr>
          <w:lang w:val="fr-FR"/>
        </w:rPr>
        <w:t xml:space="preserve">que l’on sensibilise les Parties </w:t>
      </w:r>
      <w:r w:rsidR="00FA2A06">
        <w:rPr>
          <w:lang w:val="fr-FR"/>
        </w:rPr>
        <w:t xml:space="preserve">et </w:t>
      </w:r>
      <w:r w:rsidRPr="000858E6">
        <w:rPr>
          <w:lang w:val="fr-FR"/>
        </w:rPr>
        <w:t>que l’on communique avec elles, notamment qu’on leur rappelle leurs obligations en matière de communication de données, que l’on diffuse le formulaire utilisé pour la communication des informations et que l’on fournisse des avis à cet effet. Comme prévu et c</w:t>
      </w:r>
      <w:r w:rsidR="00FA2A06">
        <w:rPr>
          <w:lang w:val="fr-FR"/>
        </w:rPr>
        <w:t>omme cela a été débattu par le C</w:t>
      </w:r>
      <w:r w:rsidRPr="000858E6">
        <w:rPr>
          <w:lang w:val="fr-FR"/>
        </w:rPr>
        <w:t xml:space="preserve">omité à sa sixième session, il serait nécessaire, dans la mesure du possible, de mettre en place un système électronique de </w:t>
      </w:r>
      <w:r w:rsidR="004A09E9">
        <w:rPr>
          <w:lang w:val="fr-FR"/>
        </w:rPr>
        <w:t xml:space="preserve">communication des informations, </w:t>
      </w:r>
      <w:r w:rsidRPr="000858E6">
        <w:rPr>
          <w:lang w:val="fr-FR"/>
        </w:rPr>
        <w:t>d’entreprendre des activités en vue de la mise en place d’un dispositif en ligne et de moyens permanents pour son entretien. Après réception des rapports des Parties, le secrétariat devrait s’assurer qu’ils sont complets et, au cas où des informations manqueraient, faire le nécessaire avec les Parties ayant présenté les rapports pour y remédier. L’établissement des rapports périodiques destinés aux Parties supposera la compilation et l’analyse des informations communiquées.</w:t>
      </w:r>
    </w:p>
    <w:p w14:paraId="2F6A2197" w14:textId="4E21DA72" w:rsidR="00C84A7A" w:rsidRPr="00EB46A9" w:rsidRDefault="00D93A29"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EB46A9">
        <w:rPr>
          <w:rFonts w:eastAsia="MS Mincho"/>
          <w:lang w:val="fr-CH"/>
        </w:rPr>
        <w:t xml:space="preserve">La </w:t>
      </w:r>
      <w:r w:rsidR="00EB46A9" w:rsidRPr="00EB46A9">
        <w:rPr>
          <w:rFonts w:eastAsia="MS Mincho"/>
          <w:lang w:val="fr-CH"/>
        </w:rPr>
        <w:t>cré</w:t>
      </w:r>
      <w:r w:rsidRPr="00EB46A9">
        <w:rPr>
          <w:rFonts w:eastAsia="MS Mincho"/>
          <w:lang w:val="fr-CH"/>
        </w:rPr>
        <w:t xml:space="preserve">ation d’une </w:t>
      </w:r>
      <w:r w:rsidR="00EB46A9" w:rsidRPr="00EB46A9">
        <w:rPr>
          <w:rFonts w:eastAsia="MS Mincho"/>
          <w:lang w:val="fr-CH"/>
        </w:rPr>
        <w:t>plateforme</w:t>
      </w:r>
      <w:r w:rsidR="007936EC">
        <w:rPr>
          <w:rFonts w:eastAsia="MS Mincho"/>
          <w:lang w:val="fr-CH"/>
        </w:rPr>
        <w:t xml:space="preserve"> de communication</w:t>
      </w:r>
      <w:r w:rsidR="00EB46A9" w:rsidRPr="00EB46A9">
        <w:rPr>
          <w:rFonts w:eastAsia="MS Mincho"/>
          <w:lang w:val="fr-CH"/>
        </w:rPr>
        <w:t xml:space="preserve"> d’information</w:t>
      </w:r>
      <w:r w:rsidR="007936EC">
        <w:rPr>
          <w:rFonts w:eastAsia="MS Mincho"/>
          <w:lang w:val="fr-CH"/>
        </w:rPr>
        <w:t>s</w:t>
      </w:r>
      <w:r w:rsidR="00EB46A9" w:rsidRPr="00EB46A9">
        <w:rPr>
          <w:rFonts w:eastAsia="MS Mincho"/>
          <w:lang w:val="fr-CH"/>
        </w:rPr>
        <w:t xml:space="preserve"> bénéficiera des mesures init</w:t>
      </w:r>
      <w:r w:rsidR="0020116C">
        <w:rPr>
          <w:rFonts w:eastAsia="MS Mincho"/>
          <w:lang w:val="fr-CH"/>
        </w:rPr>
        <w:t>i</w:t>
      </w:r>
      <w:r w:rsidR="00EB46A9" w:rsidRPr="00EB46A9">
        <w:rPr>
          <w:rFonts w:eastAsia="MS Mincho"/>
          <w:lang w:val="fr-CH"/>
        </w:rPr>
        <w:t xml:space="preserve">ales prises par le </w:t>
      </w:r>
      <w:r w:rsidR="00B77AC7">
        <w:rPr>
          <w:rFonts w:eastAsia="MS Mincho"/>
          <w:lang w:val="fr-CH"/>
        </w:rPr>
        <w:t>secré</w:t>
      </w:r>
      <w:r w:rsidR="00EB46A9" w:rsidRPr="00EB46A9">
        <w:rPr>
          <w:rFonts w:eastAsia="MS Mincho"/>
          <w:lang w:val="fr-CH"/>
        </w:rPr>
        <w:t xml:space="preserve">tariat pour coopérer avec d’autres plateformes de partages des connaissances et portails </w:t>
      </w:r>
      <w:r w:rsidR="00AF2882">
        <w:rPr>
          <w:rFonts w:eastAsia="MS Mincho"/>
          <w:lang w:val="fr-CH"/>
        </w:rPr>
        <w:t>de communication d’informations qui fonctionnent bien,</w:t>
      </w:r>
      <w:r w:rsidR="00B77AC7">
        <w:rPr>
          <w:rFonts w:eastAsia="MS Mincho"/>
          <w:lang w:val="fr-CH"/>
        </w:rPr>
        <w:t xml:space="preserve"> comme celui mis en place par le Centre </w:t>
      </w:r>
      <w:r w:rsidR="00FA2A06">
        <w:rPr>
          <w:lang w:val="fr-CH"/>
        </w:rPr>
        <w:t>mondial de surveillance pour</w:t>
      </w:r>
      <w:r w:rsidR="0020116C" w:rsidRPr="0020116C">
        <w:rPr>
          <w:lang w:val="fr-CH"/>
        </w:rPr>
        <w:t xml:space="preserve"> la </w:t>
      </w:r>
      <w:r w:rsidR="00AA3811">
        <w:rPr>
          <w:lang w:val="fr-CH"/>
        </w:rPr>
        <w:t>conservation pour différents accords multilatéraux</w:t>
      </w:r>
      <w:r w:rsidR="00674705">
        <w:rPr>
          <w:lang w:val="fr-CH"/>
        </w:rPr>
        <w:t xml:space="preserve"> sur l’environnement</w:t>
      </w:r>
      <w:r w:rsidR="00AA3811">
        <w:rPr>
          <w:lang w:val="fr-CH"/>
        </w:rPr>
        <w:t>.</w:t>
      </w:r>
    </w:p>
    <w:p w14:paraId="122CA7AB" w14:textId="1140CC26" w:rsidR="00701403" w:rsidRPr="00701403" w:rsidRDefault="00CD366D" w:rsidP="00701403">
      <w:pPr>
        <w:pStyle w:val="CH2"/>
        <w:rPr>
          <w:lang w:val="fr-CH"/>
        </w:rPr>
      </w:pPr>
      <w:r w:rsidRPr="000332FD">
        <w:rPr>
          <w:lang w:val="fr-CH"/>
        </w:rPr>
        <w:tab/>
      </w:r>
      <w:r w:rsidRPr="00CD366D">
        <w:rPr>
          <w:lang w:val="fr-CH"/>
        </w:rPr>
        <w:t>F.</w:t>
      </w:r>
      <w:r w:rsidRPr="00CD366D">
        <w:rPr>
          <w:lang w:val="fr-CH"/>
        </w:rPr>
        <w:tab/>
      </w:r>
      <w:r w:rsidR="00B62D45" w:rsidRPr="00CD366D">
        <w:rPr>
          <w:lang w:val="fr-CH"/>
        </w:rPr>
        <w:t xml:space="preserve">Conclure, sous la supervision générale de la Conférence des Parties, </w:t>
      </w:r>
      <w:r w:rsidR="00DB2725">
        <w:rPr>
          <w:lang w:val="fr-CH"/>
        </w:rPr>
        <w:br/>
      </w:r>
      <w:r w:rsidR="00B62D45" w:rsidRPr="00CD366D">
        <w:rPr>
          <w:lang w:val="fr-CH"/>
        </w:rPr>
        <w:t xml:space="preserve">les arrangements administratifs et contractuels qui pourraient </w:t>
      </w:r>
      <w:r w:rsidR="00DB2725">
        <w:rPr>
          <w:lang w:val="fr-CH"/>
        </w:rPr>
        <w:br/>
      </w:r>
      <w:r w:rsidR="00B62D45" w:rsidRPr="00CD366D">
        <w:rPr>
          <w:lang w:val="fr-CH"/>
        </w:rPr>
        <w:t xml:space="preserve">lui être nécessaires pour s’acquitter efficacement de ses fonctions </w:t>
      </w:r>
    </w:p>
    <w:p w14:paraId="39BA1640" w14:textId="08C2B7CE" w:rsidR="00542948" w:rsidRPr="00542948" w:rsidRDefault="00542948" w:rsidP="00542948">
      <w:pPr>
        <w:pStyle w:val="NormalNonumber"/>
        <w:numPr>
          <w:ilvl w:val="0"/>
          <w:numId w:val="135"/>
        </w:numPr>
        <w:tabs>
          <w:tab w:val="clear" w:pos="1247"/>
          <w:tab w:val="clear" w:pos="1814"/>
          <w:tab w:val="left" w:pos="1843"/>
        </w:tabs>
        <w:ind w:left="1276" w:firstLine="0"/>
        <w:rPr>
          <w:lang w:val="fr-FR"/>
        </w:rPr>
      </w:pPr>
      <w:r w:rsidRPr="00542948">
        <w:rPr>
          <w:lang w:val="fr-FR"/>
        </w:rPr>
        <w:t xml:space="preserve"> </w:t>
      </w:r>
      <w:r w:rsidR="00701403" w:rsidRPr="00542948">
        <w:rPr>
          <w:lang w:val="fr-FR"/>
        </w:rPr>
        <w:t>Les arrangements administratifs et contractuels qui seront nécessaires au secrétariat pour s’acquitter de ses fonctions dépendront dans une certaine mesure de son lieu d’implantation</w:t>
      </w:r>
      <w:r w:rsidR="00FA2A06">
        <w:rPr>
          <w:lang w:val="fr-FR"/>
        </w:rPr>
        <w:t>,</w:t>
      </w:r>
      <w:r w:rsidR="00701403" w:rsidRPr="00542948">
        <w:rPr>
          <w:lang w:val="fr-FR"/>
        </w:rPr>
        <w:t xml:space="preserve"> outre ce qui suit :</w:t>
      </w:r>
    </w:p>
    <w:p w14:paraId="1117112C" w14:textId="72187F31" w:rsidR="00701403" w:rsidRPr="000858E6" w:rsidRDefault="00C661BB" w:rsidP="00C661BB">
      <w:pPr>
        <w:pStyle w:val="NormalNonumber"/>
        <w:tabs>
          <w:tab w:val="clear" w:pos="1247"/>
          <w:tab w:val="clear" w:pos="1814"/>
          <w:tab w:val="clear" w:pos="2381"/>
          <w:tab w:val="left" w:pos="1843"/>
          <w:tab w:val="left" w:pos="2520"/>
          <w:tab w:val="left" w:pos="4678"/>
        </w:tabs>
        <w:ind w:left="1296" w:firstLine="594"/>
        <w:rPr>
          <w:lang w:val="fr-FR"/>
        </w:rPr>
      </w:pPr>
      <w:r>
        <w:rPr>
          <w:lang w:val="fr-FR"/>
        </w:rPr>
        <w:t>a)</w:t>
      </w:r>
      <w:r w:rsidR="00542948">
        <w:rPr>
          <w:lang w:val="fr-FR"/>
        </w:rPr>
        <w:tab/>
      </w:r>
      <w:r w:rsidR="00701403" w:rsidRPr="000858E6">
        <w:rPr>
          <w:lang w:val="fr-FR"/>
        </w:rPr>
        <w:t>Élaboration d’accords concernant la mise à disposition du secrétariat de locaux à usage de bureaux convenables;</w:t>
      </w:r>
    </w:p>
    <w:p w14:paraId="2530E065" w14:textId="04BBEFD4" w:rsidR="00FD324F" w:rsidRPr="00971776" w:rsidRDefault="00701403" w:rsidP="00C661BB">
      <w:pPr>
        <w:pStyle w:val="NormalNonumber"/>
        <w:tabs>
          <w:tab w:val="clear" w:pos="1247"/>
          <w:tab w:val="clear" w:pos="1814"/>
          <w:tab w:val="clear" w:pos="2381"/>
          <w:tab w:val="left" w:pos="2520"/>
          <w:tab w:val="left" w:pos="4678"/>
        </w:tabs>
        <w:spacing w:after="0"/>
        <w:ind w:left="1296" w:firstLine="594"/>
        <w:rPr>
          <w:lang w:val="fr-FR"/>
        </w:rPr>
      </w:pPr>
      <w:r w:rsidRPr="000858E6">
        <w:rPr>
          <w:lang w:val="fr-FR"/>
        </w:rPr>
        <w:t>b)</w:t>
      </w:r>
      <w:r w:rsidRPr="000858E6">
        <w:rPr>
          <w:lang w:val="fr-FR"/>
        </w:rPr>
        <w:tab/>
        <w:t>Définition des arrangements administratifs concernant l’administration du Fonds d’affectation sur lequel seront versées les contributions</w:t>
      </w:r>
      <w:r w:rsidR="00B61058">
        <w:rPr>
          <w:lang w:val="fr-FR"/>
        </w:rPr>
        <w:t xml:space="preserve"> (Fonds d’affectation générale)</w:t>
      </w:r>
      <w:r w:rsidRPr="000858E6">
        <w:rPr>
          <w:lang w:val="fr-FR"/>
        </w:rPr>
        <w:t xml:space="preserve">, </w:t>
      </w:r>
      <w:r w:rsidR="00971776">
        <w:rPr>
          <w:lang w:val="fr-FR"/>
        </w:rPr>
        <w:t xml:space="preserve">et celui sur lequel seront versées les contributions volontaires (Fonds d’affectation spéciale), </w:t>
      </w:r>
      <w:r w:rsidRPr="000858E6">
        <w:rPr>
          <w:lang w:val="fr-FR"/>
        </w:rPr>
        <w:t>y compris les arrangements aux fins d’utilisation des prélèvements sur les dépenses d’appui au programme pour financer les activités du secrétariat;</w:t>
      </w:r>
    </w:p>
    <w:p w14:paraId="705F135D" w14:textId="77777777" w:rsidR="00701403" w:rsidRPr="000858E6" w:rsidRDefault="00701403" w:rsidP="00C661BB">
      <w:pPr>
        <w:pStyle w:val="NormalNonumber"/>
        <w:tabs>
          <w:tab w:val="clear" w:pos="1247"/>
          <w:tab w:val="clear" w:pos="1814"/>
          <w:tab w:val="clear" w:pos="2381"/>
          <w:tab w:val="left" w:pos="1843"/>
          <w:tab w:val="left" w:pos="2520"/>
          <w:tab w:val="left" w:pos="4678"/>
        </w:tabs>
        <w:ind w:left="1296" w:firstLine="594"/>
        <w:rPr>
          <w:lang w:val="fr-FR"/>
        </w:rPr>
      </w:pPr>
      <w:r w:rsidRPr="000858E6">
        <w:rPr>
          <w:lang w:val="fr-FR"/>
        </w:rPr>
        <w:t>c)</w:t>
      </w:r>
      <w:r w:rsidRPr="000858E6">
        <w:rPr>
          <w:lang w:val="fr-FR"/>
        </w:rPr>
        <w:tab/>
        <w:t>Dispositions nécessaires pour doter le secrétariat d’effectifs adéquats, et, notamment, le cas échéant, élaboration de définitions d’emploi conformément au budget convenu et recrutement d’un personnel convenablement qualifié pour ces emplois;</w:t>
      </w:r>
    </w:p>
    <w:p w14:paraId="0A76CB27" w14:textId="77777777" w:rsidR="00701403" w:rsidRPr="000858E6" w:rsidRDefault="00701403" w:rsidP="00C661BB">
      <w:pPr>
        <w:pStyle w:val="NormalNonumber"/>
        <w:tabs>
          <w:tab w:val="clear" w:pos="1247"/>
          <w:tab w:val="clear" w:pos="1814"/>
          <w:tab w:val="clear" w:pos="2381"/>
          <w:tab w:val="left" w:pos="1843"/>
          <w:tab w:val="left" w:pos="2520"/>
          <w:tab w:val="left" w:pos="4678"/>
        </w:tabs>
        <w:ind w:left="1296" w:firstLine="594"/>
        <w:rPr>
          <w:lang w:val="fr-FR"/>
        </w:rPr>
      </w:pPr>
      <w:r w:rsidRPr="000858E6">
        <w:rPr>
          <w:lang w:val="fr-FR"/>
        </w:rPr>
        <w:t>d)</w:t>
      </w:r>
      <w:r w:rsidRPr="000858E6">
        <w:rPr>
          <w:lang w:val="fr-FR"/>
        </w:rPr>
        <w:tab/>
        <w:t>Dispositions nécessaires à la mise en place d’une infrastructure appropriée en matière de technologies de l’information et à la fourniture d’un appui continu;</w:t>
      </w:r>
    </w:p>
    <w:p w14:paraId="0A5C4E18" w14:textId="77777777" w:rsidR="00701403" w:rsidRPr="000858E6" w:rsidRDefault="00701403" w:rsidP="00C661BB">
      <w:pPr>
        <w:pStyle w:val="NormalNonumber"/>
        <w:tabs>
          <w:tab w:val="clear" w:pos="1247"/>
          <w:tab w:val="clear" w:pos="1814"/>
          <w:tab w:val="clear" w:pos="2381"/>
          <w:tab w:val="left" w:pos="1843"/>
          <w:tab w:val="left" w:pos="2520"/>
          <w:tab w:val="left" w:pos="4678"/>
        </w:tabs>
        <w:ind w:left="1296" w:firstLine="594"/>
        <w:rPr>
          <w:kern w:val="1"/>
          <w:lang w:val="fr-FR"/>
        </w:rPr>
      </w:pPr>
      <w:r w:rsidRPr="000858E6">
        <w:rPr>
          <w:lang w:val="fr-FR"/>
        </w:rPr>
        <w:t>e)</w:t>
      </w:r>
      <w:r w:rsidRPr="000858E6">
        <w:rPr>
          <w:lang w:val="fr-FR"/>
        </w:rPr>
        <w:tab/>
        <w:t>Tous types d’arrangements contractuels avec des partenaires qui pourraient être nécessaires pour tenir des réunions ou mener à bien des activités, par leur entremise, aux fins d’appui aux initiatives que pourrait</w:t>
      </w:r>
      <w:r w:rsidRPr="000858E6">
        <w:rPr>
          <w:kern w:val="1"/>
          <w:lang w:val="fr-FR"/>
        </w:rPr>
        <w:t xml:space="preserve"> prendre le secrétariat.</w:t>
      </w:r>
    </w:p>
    <w:p w14:paraId="0C74DF0E" w14:textId="77777777" w:rsidR="00701403" w:rsidRPr="00701403" w:rsidRDefault="00701403" w:rsidP="00701403">
      <w:pPr>
        <w:pStyle w:val="Normal-pool"/>
        <w:tabs>
          <w:tab w:val="clear" w:pos="1247"/>
          <w:tab w:val="clear" w:pos="1814"/>
          <w:tab w:val="clear" w:pos="2381"/>
          <w:tab w:val="clear" w:pos="2948"/>
          <w:tab w:val="clear" w:pos="3515"/>
          <w:tab w:val="clear" w:pos="4082"/>
        </w:tabs>
        <w:spacing w:after="120"/>
        <w:ind w:left="1247"/>
        <w:rPr>
          <w:kern w:val="1"/>
          <w:lang w:val="fr-CH"/>
        </w:rPr>
      </w:pPr>
    </w:p>
    <w:p w14:paraId="4FE234FC" w14:textId="17967FD2" w:rsidR="0041238C" w:rsidRPr="006A2DE9" w:rsidRDefault="0041238C" w:rsidP="006432A8">
      <w:pPr>
        <w:pStyle w:val="CH2"/>
        <w:rPr>
          <w:lang w:val="fr-CH"/>
        </w:rPr>
      </w:pPr>
      <w:r w:rsidRPr="000332FD">
        <w:rPr>
          <w:lang w:val="fr-CH"/>
        </w:rPr>
        <w:lastRenderedPageBreak/>
        <w:tab/>
      </w:r>
      <w:r w:rsidR="006A2DE9">
        <w:rPr>
          <w:lang w:val="fr-CH"/>
        </w:rPr>
        <w:t>G.</w:t>
      </w:r>
      <w:r w:rsidR="006A2DE9">
        <w:rPr>
          <w:lang w:val="fr-CH"/>
        </w:rPr>
        <w:tab/>
      </w:r>
      <w:r w:rsidR="006A2DE9" w:rsidRPr="000858E6">
        <w:rPr>
          <w:lang w:val="fr-FR"/>
        </w:rPr>
        <w:t>S’acquitter des autres fonctions de secrétariat spécifiées dans la Convention et de toute fonction supplémentaire qui pourrait lui être confié</w:t>
      </w:r>
      <w:r w:rsidR="006A2DE9">
        <w:rPr>
          <w:lang w:val="fr-FR"/>
        </w:rPr>
        <w:t xml:space="preserve">e </w:t>
      </w:r>
      <w:r w:rsidR="00DB2725">
        <w:rPr>
          <w:lang w:val="fr-FR"/>
        </w:rPr>
        <w:br/>
      </w:r>
      <w:r w:rsidR="006A2DE9">
        <w:rPr>
          <w:lang w:val="fr-FR"/>
        </w:rPr>
        <w:t>par la Conférence des Parties</w:t>
      </w:r>
    </w:p>
    <w:p w14:paraId="571AB8FB" w14:textId="5FBCEC67" w:rsidR="004A5782" w:rsidRPr="004A5782" w:rsidRDefault="004A5782"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S’agissant d’autres fonctions du secrétariat, il est prévu que la Conférence des Parties adopte à sa première réunion les orientations techniques sur les émissions atmosphériques prescrites par la Convention. Plutôt que de mettre à jour ces orientations en fonction des besoins ou que de concevoir des orientations pour de nouveaux secteurs qui pourraient être ajoutés à l’annexe D de la Convention, on prévoit d’entreprendre de nouveaux travaux de faible portée</w:t>
      </w:r>
      <w:r>
        <w:rPr>
          <w:lang w:val="fr-FR"/>
        </w:rPr>
        <w:t>.</w:t>
      </w:r>
    </w:p>
    <w:p w14:paraId="2D51D2E7" w14:textId="31C1A801" w:rsidR="00274B43" w:rsidRPr="00274B43" w:rsidRDefault="00274B43" w:rsidP="006432A8">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0858E6">
        <w:rPr>
          <w:lang w:val="fr-FR"/>
        </w:rPr>
        <w:t>La Convention indique que la Conférence des Parties adoptera, dès que possible, des orientations sur les meilleures techniques disponibles et les meilleures pratiques environnementales concernant les rejets ainsi qu’une méthode d’établissement des inventaires des rejets. Les Parties n’ayant pour seule obligation que de recenser leurs importantes sources ponctuelles de rejets dans un délai de trois ans, à compter de la date d’entrée en vigueur de la Convention, l’élaboration des orientations relatives aux rejets pourrait ne pas débuter durant la période correspondant aux réunions annuelles de la Conférence</w:t>
      </w:r>
      <w:r>
        <w:rPr>
          <w:lang w:val="fr-FR"/>
        </w:rPr>
        <w:t>.</w:t>
      </w:r>
    </w:p>
    <w:p w14:paraId="03377EAB" w14:textId="77777777" w:rsidR="00DB2725" w:rsidRPr="00DB2725" w:rsidRDefault="00274B43" w:rsidP="0041238C">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274B43">
        <w:rPr>
          <w:lang w:val="fr-FR"/>
        </w:rPr>
        <w:t xml:space="preserve">Pour d’autres orientations prescrites par la Convention, telles que celles concernant l’offre, le stockage, les déchets et les sites contaminés, des travaux supplémentaires pourraient être nécessaires, en particulier durant la phase initiale succédant à la première réunion de la Conférence des Parties. </w:t>
      </w:r>
    </w:p>
    <w:p w14:paraId="5D7550C8" w14:textId="2462F401" w:rsidR="0041238C" w:rsidRPr="00274B43" w:rsidRDefault="0041238C" w:rsidP="0041238C">
      <w:pPr>
        <w:pStyle w:val="Normal-pool"/>
        <w:numPr>
          <w:ilvl w:val="0"/>
          <w:numId w:val="135"/>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274B43">
        <w:rPr>
          <w:lang w:val="fr-CH"/>
        </w:rPr>
        <w:br w:type="page"/>
      </w:r>
    </w:p>
    <w:p w14:paraId="78A8EDA8" w14:textId="71E9CD95" w:rsidR="0041238C" w:rsidRPr="00BA6248" w:rsidRDefault="0041238C" w:rsidP="00161024">
      <w:pPr>
        <w:pStyle w:val="ZZAnxheader"/>
        <w:outlineLvl w:val="0"/>
        <w:rPr>
          <w:lang w:val="fr-CH"/>
        </w:rPr>
      </w:pPr>
      <w:r w:rsidRPr="00BA6248">
        <w:rPr>
          <w:lang w:val="fr-CH"/>
        </w:rPr>
        <w:lastRenderedPageBreak/>
        <w:t>A</w:t>
      </w:r>
      <w:r w:rsidR="00FC7B20">
        <w:rPr>
          <w:lang w:val="fr-CH"/>
        </w:rPr>
        <w:t>ppendic</w:t>
      </w:r>
      <w:r w:rsidR="002B101D" w:rsidRPr="00BA6248">
        <w:rPr>
          <w:lang w:val="fr-CH"/>
        </w:rPr>
        <w:t>e</w:t>
      </w:r>
      <w:r w:rsidR="001672AD">
        <w:rPr>
          <w:lang w:val="fr-CH"/>
        </w:rPr>
        <w:t> </w:t>
      </w:r>
      <w:r w:rsidRPr="00BA6248">
        <w:rPr>
          <w:lang w:val="fr-CH"/>
        </w:rPr>
        <w:t>II</w:t>
      </w:r>
    </w:p>
    <w:p w14:paraId="03B2408B" w14:textId="0F0FC1CB" w:rsidR="0041238C" w:rsidRPr="00590029" w:rsidRDefault="0041238C" w:rsidP="00590029">
      <w:pPr>
        <w:pStyle w:val="ZZAnxtitle"/>
        <w:rPr>
          <w:lang w:val="fr-CH"/>
        </w:rPr>
      </w:pPr>
      <w:r w:rsidRPr="00BA6248">
        <w:rPr>
          <w:lang w:val="fr-CH"/>
        </w:rPr>
        <w:t>Res</w:t>
      </w:r>
      <w:r w:rsidR="00BA6248" w:rsidRPr="00BA6248">
        <w:rPr>
          <w:lang w:val="fr-CH"/>
        </w:rPr>
        <w:t>sources nécessaires pour financer les propositions</w:t>
      </w:r>
      <w:r w:rsidR="00BA6248">
        <w:rPr>
          <w:lang w:val="fr-CH"/>
        </w:rPr>
        <w:t xml:space="preserve"> </w:t>
      </w:r>
      <w:r w:rsidR="00DB2725">
        <w:rPr>
          <w:lang w:val="fr-CH"/>
        </w:rPr>
        <w:br/>
      </w:r>
      <w:r w:rsidR="00BA6248">
        <w:rPr>
          <w:lang w:val="fr-CH"/>
        </w:rPr>
        <w:t xml:space="preserve">relatives à la manière dont le Directeur exécutif du Programme </w:t>
      </w:r>
      <w:r w:rsidR="00DB2725">
        <w:rPr>
          <w:lang w:val="fr-CH"/>
        </w:rPr>
        <w:br/>
      </w:r>
      <w:r w:rsidR="00BA6248">
        <w:rPr>
          <w:lang w:val="fr-CH"/>
        </w:rPr>
        <w:t xml:space="preserve">des Nations Unies pour l’environnement exercerait les fonctions </w:t>
      </w:r>
      <w:r w:rsidR="00DB2725">
        <w:rPr>
          <w:lang w:val="fr-CH"/>
        </w:rPr>
        <w:br/>
      </w:r>
      <w:r w:rsidR="00FA2A06">
        <w:rPr>
          <w:lang w:val="fr-CH"/>
        </w:rPr>
        <w:t>du</w:t>
      </w:r>
      <w:r w:rsidR="00BA6248">
        <w:rPr>
          <w:lang w:val="fr-CH"/>
        </w:rPr>
        <w:t xml:space="preserve"> secrétariat permanent de la Convention de Minamata</w:t>
      </w:r>
      <w:r w:rsidR="00590029">
        <w:rPr>
          <w:lang w:val="fr-CH"/>
        </w:rPr>
        <w:t xml:space="preserve"> </w:t>
      </w:r>
      <w:r w:rsidR="00DB2725">
        <w:rPr>
          <w:lang w:val="fr-CH"/>
        </w:rPr>
        <w:br/>
      </w:r>
      <w:r w:rsidR="00590029">
        <w:rPr>
          <w:lang w:val="fr-CH"/>
        </w:rPr>
        <w:t>sur le mercure</w:t>
      </w:r>
    </w:p>
    <w:p w14:paraId="00C1ED80" w14:textId="4EAF22E8" w:rsidR="00FA073B" w:rsidRPr="00B5645E" w:rsidRDefault="002128C1"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rPr>
          <w:lang w:val="fr-CH"/>
        </w:rPr>
      </w:pPr>
      <w:r>
        <w:rPr>
          <w:lang w:val="fr-CH"/>
        </w:rPr>
        <w:t>Le présent appendic</w:t>
      </w:r>
      <w:r w:rsidR="00B5645E" w:rsidRPr="00B5645E">
        <w:rPr>
          <w:lang w:val="fr-CH"/>
        </w:rPr>
        <w:t xml:space="preserve">e, qui contient quatre tableaux, </w:t>
      </w:r>
      <w:r w:rsidR="00B5645E">
        <w:rPr>
          <w:lang w:val="fr-CH"/>
        </w:rPr>
        <w:t xml:space="preserve">correspond à la section D. </w:t>
      </w:r>
      <w:r>
        <w:rPr>
          <w:lang w:val="fr-CH"/>
        </w:rPr>
        <w:t>Il</w:t>
      </w:r>
      <w:r w:rsidR="00B5645E">
        <w:rPr>
          <w:lang w:val="fr-CH"/>
        </w:rPr>
        <w:t xml:space="preserve"> fournit un aperçu des ressources nécessaires au financement des propositions relatives à la manière dont le Directeur exécutif du Programme des Nations Unies pour l’environnement (PNUE)</w:t>
      </w:r>
      <w:r w:rsidR="00FA2A06">
        <w:rPr>
          <w:lang w:val="fr-CH"/>
        </w:rPr>
        <w:t xml:space="preserve"> exercerait les fonctions du</w:t>
      </w:r>
      <w:r w:rsidR="00DA2A55">
        <w:rPr>
          <w:lang w:val="fr-CH"/>
        </w:rPr>
        <w:t xml:space="preserve"> secrétariat permanent de la Convention de Minamata sur le mercure. </w:t>
      </w:r>
      <w:r w:rsidR="00B5645E">
        <w:rPr>
          <w:lang w:val="fr-CH"/>
        </w:rPr>
        <w:t xml:space="preserve"> </w:t>
      </w:r>
    </w:p>
    <w:p w14:paraId="3130212D" w14:textId="67FDD943" w:rsidR="00DA2A55" w:rsidRPr="00DA2A55" w:rsidRDefault="001672AD"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rPr>
          <w:lang w:val="fr-CH"/>
        </w:rPr>
      </w:pPr>
      <w:r>
        <w:rPr>
          <w:lang w:val="fr-CH"/>
        </w:rPr>
        <w:t>Le tableau </w:t>
      </w:r>
      <w:r w:rsidR="00DA2A55" w:rsidRPr="00DA2A55">
        <w:rPr>
          <w:lang w:val="fr-CH"/>
        </w:rPr>
        <w:t xml:space="preserve">1 fournit un aperçu des </w:t>
      </w:r>
      <w:r w:rsidR="00FA2A06">
        <w:rPr>
          <w:lang w:val="fr-CH"/>
        </w:rPr>
        <w:t>postes</w:t>
      </w:r>
      <w:r w:rsidR="00DA2A55" w:rsidRPr="00DA2A55">
        <w:rPr>
          <w:lang w:val="fr-CH"/>
        </w:rPr>
        <w:t xml:space="preserve"> pour chacune des options :</w:t>
      </w:r>
    </w:p>
    <w:p w14:paraId="29A74AC9" w14:textId="0440F42D" w:rsidR="00CA7573" w:rsidRPr="00FC7B20" w:rsidRDefault="00DA2A55" w:rsidP="008C1B61">
      <w:pPr>
        <w:pStyle w:val="Normal-pool"/>
        <w:tabs>
          <w:tab w:val="clear" w:pos="1247"/>
          <w:tab w:val="clear" w:pos="1814"/>
          <w:tab w:val="clear" w:pos="2381"/>
          <w:tab w:val="clear" w:pos="2948"/>
          <w:tab w:val="clear" w:pos="3515"/>
          <w:tab w:val="clear" w:pos="4082"/>
          <w:tab w:val="left" w:pos="624"/>
        </w:tabs>
        <w:spacing w:after="120"/>
        <w:ind w:left="1247" w:firstLine="624"/>
        <w:rPr>
          <w:lang w:val="fr-CH"/>
        </w:rPr>
      </w:pPr>
      <w:r w:rsidRPr="004B1961">
        <w:rPr>
          <w:lang w:val="fr-CH"/>
        </w:rPr>
        <w:tab/>
      </w:r>
      <w:r w:rsidR="001672AD">
        <w:rPr>
          <w:lang w:val="fr-CH"/>
        </w:rPr>
        <w:t>a)</w:t>
      </w:r>
      <w:r w:rsidR="0059352D">
        <w:rPr>
          <w:lang w:val="fr-CH"/>
        </w:rPr>
        <w:tab/>
        <w:t>Option </w:t>
      </w:r>
      <w:r w:rsidR="0041238C" w:rsidRPr="00FC7B20">
        <w:rPr>
          <w:lang w:val="fr-CH"/>
        </w:rPr>
        <w:t>1</w:t>
      </w:r>
      <w:r w:rsidR="0059352D">
        <w:rPr>
          <w:lang w:val="fr-CH"/>
        </w:rPr>
        <w:t> </w:t>
      </w:r>
      <w:r w:rsidR="0041238C" w:rsidRPr="00FC7B20">
        <w:rPr>
          <w:lang w:val="fr-CH"/>
        </w:rPr>
        <w:t>a</w:t>
      </w:r>
      <w:r w:rsidR="007B1D74" w:rsidRPr="00FC7B20">
        <w:rPr>
          <w:lang w:val="fr-CH"/>
        </w:rPr>
        <w:t>)</w:t>
      </w:r>
      <w:r w:rsidR="00E531E4" w:rsidRPr="00FC7B20">
        <w:rPr>
          <w:lang w:val="fr-CH"/>
        </w:rPr>
        <w:t xml:space="preserve"> </w:t>
      </w:r>
      <w:r w:rsidR="001A2884" w:rsidRPr="00FC7B20">
        <w:rPr>
          <w:lang w:val="fr-CH"/>
        </w:rPr>
        <w:t>(</w:t>
      </w:r>
      <w:r w:rsidR="008C1B61" w:rsidRPr="00FC7B20">
        <w:rPr>
          <w:lang w:val="fr-CH"/>
        </w:rPr>
        <w:t>fusionnement</w:t>
      </w:r>
      <w:r w:rsidR="001A2884" w:rsidRPr="00FC7B20">
        <w:rPr>
          <w:lang w:val="fr-CH"/>
        </w:rPr>
        <w:t>)</w:t>
      </w:r>
      <w:r w:rsidR="0059352D">
        <w:rPr>
          <w:lang w:val="fr-CH"/>
        </w:rPr>
        <w:t> </w:t>
      </w:r>
      <w:r w:rsidR="0041238C" w:rsidRPr="00FC7B20">
        <w:rPr>
          <w:lang w:val="fr-CH"/>
        </w:rPr>
        <w:t xml:space="preserve">: </w:t>
      </w:r>
      <w:r w:rsidR="008C1B61" w:rsidRPr="00FC7B20">
        <w:rPr>
          <w:lang w:val="fr-CH"/>
        </w:rPr>
        <w:t>Incorporation des fonctions du secrétariat de la Convention de Minamata dans la structure actuelle du Secrétariat des conventions de Bâle, de Rotterdam et de Stockholm (lieu d’implantation : Genève);</w:t>
      </w:r>
    </w:p>
    <w:p w14:paraId="702E29D7" w14:textId="7E849AB6" w:rsidR="0041238C" w:rsidRPr="00FC7B20" w:rsidRDefault="00DA2A55" w:rsidP="006432A8">
      <w:pPr>
        <w:pStyle w:val="Normal-pool"/>
        <w:tabs>
          <w:tab w:val="clear" w:pos="1247"/>
          <w:tab w:val="clear" w:pos="1814"/>
          <w:tab w:val="clear" w:pos="2381"/>
          <w:tab w:val="clear" w:pos="2948"/>
          <w:tab w:val="clear" w:pos="3515"/>
          <w:tab w:val="clear" w:pos="4082"/>
          <w:tab w:val="left" w:pos="624"/>
        </w:tabs>
        <w:spacing w:after="120"/>
        <w:ind w:left="1247" w:firstLine="624"/>
        <w:rPr>
          <w:lang w:val="fr-CH"/>
        </w:rPr>
      </w:pPr>
      <w:r w:rsidRPr="00FC7B20">
        <w:rPr>
          <w:lang w:val="fr-CH"/>
        </w:rPr>
        <w:tab/>
      </w:r>
      <w:r w:rsidR="001672AD">
        <w:rPr>
          <w:lang w:val="fr-CH"/>
        </w:rPr>
        <w:t>b)</w:t>
      </w:r>
      <w:r w:rsidR="0041238C" w:rsidRPr="00FC7B20">
        <w:rPr>
          <w:lang w:val="fr-CH"/>
        </w:rPr>
        <w:tab/>
      </w:r>
      <w:r w:rsidR="0059352D">
        <w:rPr>
          <w:lang w:val="fr-CH"/>
        </w:rPr>
        <w:t>Option </w:t>
      </w:r>
      <w:r w:rsidR="008C1B61" w:rsidRPr="00FC7B20">
        <w:rPr>
          <w:lang w:val="fr-CH"/>
        </w:rPr>
        <w:t>1 b) (intégration sous forme de Service)</w:t>
      </w:r>
      <w:r w:rsidR="0059352D">
        <w:rPr>
          <w:lang w:val="fr-CH"/>
        </w:rPr>
        <w:t> </w:t>
      </w:r>
      <w:r w:rsidR="008C1B61" w:rsidRPr="00FC7B20">
        <w:rPr>
          <w:lang w:val="fr-CH"/>
        </w:rPr>
        <w:t xml:space="preserve">: </w:t>
      </w:r>
      <w:r w:rsidR="00FA2A06">
        <w:rPr>
          <w:lang w:val="fr-CH"/>
        </w:rPr>
        <w:t xml:space="preserve">Fusionnement </w:t>
      </w:r>
      <w:r w:rsidR="008C1B61" w:rsidRPr="00FC7B20">
        <w:rPr>
          <w:lang w:val="fr-CH"/>
        </w:rPr>
        <w:t xml:space="preserve">du secrétariat de la Convention de Minamata </w:t>
      </w:r>
      <w:r w:rsidR="00FA2A06">
        <w:rPr>
          <w:lang w:val="fr-CH"/>
        </w:rPr>
        <w:t>avec le</w:t>
      </w:r>
      <w:r w:rsidR="008C1B61" w:rsidRPr="00FC7B20">
        <w:rPr>
          <w:lang w:val="fr-CH"/>
        </w:rPr>
        <w:t xml:space="preserve"> Secrétariat des conventions de Bâle, de Rotterdam et de Stockholm par la création, au cours de la période intérimaire, d’un </w:t>
      </w:r>
      <w:r w:rsidR="00FA2A06">
        <w:rPr>
          <w:lang w:val="fr-CH"/>
        </w:rPr>
        <w:t>quatrième s</w:t>
      </w:r>
      <w:r w:rsidR="008C1B61" w:rsidRPr="00FC7B20">
        <w:rPr>
          <w:lang w:val="fr-CH"/>
        </w:rPr>
        <w:t>ervice de la Convention de Minamata au sein de celui-ci (lieu d’implantation : Genève);</w:t>
      </w:r>
      <w:r w:rsidR="0041238C" w:rsidRPr="00FC7B20">
        <w:rPr>
          <w:lang w:val="fr-CH"/>
        </w:rPr>
        <w:t xml:space="preserve"> </w:t>
      </w:r>
    </w:p>
    <w:p w14:paraId="0D647EAB" w14:textId="6C7B5750" w:rsidR="006F7FE0" w:rsidRPr="006F7FE0" w:rsidRDefault="00DA2A55" w:rsidP="006432A8">
      <w:pPr>
        <w:pStyle w:val="Normal-pool"/>
        <w:tabs>
          <w:tab w:val="clear" w:pos="1247"/>
          <w:tab w:val="clear" w:pos="1814"/>
          <w:tab w:val="clear" w:pos="2381"/>
          <w:tab w:val="clear" w:pos="2948"/>
          <w:tab w:val="clear" w:pos="3515"/>
          <w:tab w:val="clear" w:pos="4082"/>
          <w:tab w:val="left" w:pos="624"/>
        </w:tabs>
        <w:spacing w:after="120"/>
        <w:ind w:left="1247" w:firstLine="624"/>
        <w:rPr>
          <w:lang w:val="fr-CH"/>
        </w:rPr>
      </w:pPr>
      <w:r w:rsidRPr="00FC7B20">
        <w:rPr>
          <w:lang w:val="fr-CH"/>
        </w:rPr>
        <w:tab/>
      </w:r>
      <w:r w:rsidR="001672AD">
        <w:rPr>
          <w:lang w:val="fr-CH"/>
        </w:rPr>
        <w:t>c)</w:t>
      </w:r>
      <w:r w:rsidR="0059352D">
        <w:rPr>
          <w:lang w:val="fr-CH"/>
        </w:rPr>
        <w:tab/>
        <w:t>Option </w:t>
      </w:r>
      <w:r w:rsidR="0041238C" w:rsidRPr="00FC7B20">
        <w:rPr>
          <w:lang w:val="fr-CH"/>
        </w:rPr>
        <w:t>2</w:t>
      </w:r>
      <w:r w:rsidR="00E531E4" w:rsidRPr="00FC7B20">
        <w:rPr>
          <w:lang w:val="fr-CH"/>
        </w:rPr>
        <w:t xml:space="preserve"> </w:t>
      </w:r>
      <w:r w:rsidR="001A2884" w:rsidRPr="00FC7B20">
        <w:rPr>
          <w:lang w:val="fr-CH"/>
        </w:rPr>
        <w:t>(</w:t>
      </w:r>
      <w:r w:rsidR="006F7FE0" w:rsidRPr="00FC7B20">
        <w:rPr>
          <w:lang w:val="fr-CH"/>
        </w:rPr>
        <w:t>autonomie</w:t>
      </w:r>
      <w:r w:rsidR="001A2884" w:rsidRPr="00FC7B20">
        <w:rPr>
          <w:lang w:val="fr-CH"/>
        </w:rPr>
        <w:t>)</w:t>
      </w:r>
      <w:r w:rsidR="0059352D">
        <w:rPr>
          <w:lang w:val="fr-CH"/>
        </w:rPr>
        <w:t> </w:t>
      </w:r>
      <w:r w:rsidR="0041238C" w:rsidRPr="00FC7B20">
        <w:rPr>
          <w:lang w:val="fr-CH"/>
        </w:rPr>
        <w:t xml:space="preserve">: </w:t>
      </w:r>
      <w:r w:rsidR="006F7FE0" w:rsidRPr="00FC7B20">
        <w:rPr>
          <w:lang w:val="fr-CH"/>
        </w:rPr>
        <w:t>Créat</w:t>
      </w:r>
      <w:r w:rsidR="00CD2563">
        <w:rPr>
          <w:lang w:val="fr-CH"/>
        </w:rPr>
        <w:t>ion d’un secrétariat autonome</w:t>
      </w:r>
      <w:r w:rsidR="006F7FE0" w:rsidRPr="00FC7B20">
        <w:rPr>
          <w:lang w:val="fr-CH"/>
        </w:rPr>
        <w:t xml:space="preserve"> de la Convention de Minamata (lieu d’implantation : à déterminer sur la base d’une analyse des lieux d’affectation du PNUE suivants : Bangkok, Genève, Nairobi, Osaka, Vienne et Washington).</w:t>
      </w:r>
    </w:p>
    <w:p w14:paraId="0DB39231" w14:textId="057EBD05" w:rsidR="00132A41" w:rsidRPr="00132A41" w:rsidRDefault="00132A41"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rPr>
          <w:lang w:val="fr-CH"/>
        </w:rPr>
      </w:pPr>
      <w:r w:rsidRPr="00132A41">
        <w:rPr>
          <w:lang w:val="fr-CH"/>
        </w:rPr>
        <w:t>Le t</w:t>
      </w:r>
      <w:r w:rsidR="009C02AB" w:rsidRPr="00132A41">
        <w:rPr>
          <w:lang w:val="fr-CH"/>
        </w:rPr>
        <w:t>able</w:t>
      </w:r>
      <w:r w:rsidRPr="00132A41">
        <w:rPr>
          <w:lang w:val="fr-CH"/>
        </w:rPr>
        <w:t>au</w:t>
      </w:r>
      <w:r w:rsidR="001672AD">
        <w:rPr>
          <w:lang w:val="fr-CH"/>
        </w:rPr>
        <w:t> </w:t>
      </w:r>
      <w:r w:rsidR="009C02AB" w:rsidRPr="00132A41">
        <w:rPr>
          <w:lang w:val="fr-CH"/>
        </w:rPr>
        <w:t xml:space="preserve">2 </w:t>
      </w:r>
      <w:r w:rsidR="000332FD">
        <w:rPr>
          <w:lang w:val="fr-CH"/>
        </w:rPr>
        <w:t>décrit l</w:t>
      </w:r>
      <w:r>
        <w:rPr>
          <w:lang w:val="fr-CH"/>
        </w:rPr>
        <w:t xml:space="preserve">es </w:t>
      </w:r>
      <w:r w:rsidR="00FA2A06">
        <w:rPr>
          <w:lang w:val="fr-CH"/>
        </w:rPr>
        <w:t xml:space="preserve">dépenses de personnel totales </w:t>
      </w:r>
      <w:r w:rsidR="00A87C55">
        <w:rPr>
          <w:lang w:val="fr-CH"/>
        </w:rPr>
        <w:t>prévu</w:t>
      </w:r>
      <w:r w:rsidR="00FA2A06">
        <w:rPr>
          <w:lang w:val="fr-CH"/>
        </w:rPr>
        <w:t>e</w:t>
      </w:r>
      <w:r>
        <w:rPr>
          <w:lang w:val="fr-CH"/>
        </w:rPr>
        <w:t xml:space="preserve">s pour l’option </w:t>
      </w:r>
      <w:r w:rsidR="00E31CDC">
        <w:rPr>
          <w:lang w:val="fr-CH"/>
        </w:rPr>
        <w:t>1 </w:t>
      </w:r>
      <w:r>
        <w:rPr>
          <w:lang w:val="fr-CH"/>
        </w:rPr>
        <w:t>a</w:t>
      </w:r>
      <w:r w:rsidR="00E31CDC">
        <w:rPr>
          <w:lang w:val="fr-CH"/>
        </w:rPr>
        <w:t>), l’option 1 b) et l’option 2 sur la manière dont le Directeur exécutif exercerait les fonctions du secrétariat permanent à Genève</w:t>
      </w:r>
      <w:r w:rsidR="000332FD">
        <w:rPr>
          <w:lang w:val="fr-CH"/>
        </w:rPr>
        <w:t>.</w:t>
      </w:r>
    </w:p>
    <w:p w14:paraId="787A9B43" w14:textId="089D5A1B" w:rsidR="00435A59" w:rsidRPr="00435A59" w:rsidRDefault="001672AD" w:rsidP="00435A59">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rPr>
          <w:lang w:val="fr-CH"/>
        </w:rPr>
      </w:pPr>
      <w:r>
        <w:rPr>
          <w:lang w:val="fr-CH"/>
        </w:rPr>
        <w:t>Le tableau </w:t>
      </w:r>
      <w:r w:rsidR="00BF3AFD" w:rsidRPr="00435A59">
        <w:rPr>
          <w:lang w:val="fr-CH"/>
        </w:rPr>
        <w:t>3 donne un aperç</w:t>
      </w:r>
      <w:r w:rsidR="00435A59" w:rsidRPr="00435A59">
        <w:rPr>
          <w:lang w:val="fr-CH"/>
        </w:rPr>
        <w:t>u du</w:t>
      </w:r>
      <w:r w:rsidR="00BF3AFD" w:rsidRPr="00435A59">
        <w:rPr>
          <w:lang w:val="fr-CH"/>
        </w:rPr>
        <w:t xml:space="preserve"> total </w:t>
      </w:r>
      <w:r w:rsidR="00435A59" w:rsidRPr="00435A59">
        <w:rPr>
          <w:lang w:val="fr-CH"/>
        </w:rPr>
        <w:t xml:space="preserve">des </w:t>
      </w:r>
      <w:r w:rsidR="00FA2A06">
        <w:rPr>
          <w:lang w:val="fr-CH"/>
        </w:rPr>
        <w:t>dépenses de personnel estimatives</w:t>
      </w:r>
      <w:r w:rsidR="00BF3AFD" w:rsidRPr="00435A59">
        <w:rPr>
          <w:lang w:val="fr-CH"/>
        </w:rPr>
        <w:t xml:space="preserve"> dans le cas d’</w:t>
      </w:r>
      <w:r w:rsidR="00F500C4">
        <w:rPr>
          <w:lang w:val="fr-CH"/>
        </w:rPr>
        <w:t>un secrétariat autonome</w:t>
      </w:r>
      <w:r w:rsidR="001003EF" w:rsidRPr="00435A59">
        <w:rPr>
          <w:lang w:val="fr-CH"/>
        </w:rPr>
        <w:t xml:space="preserve"> </w:t>
      </w:r>
      <w:r w:rsidR="00435A59" w:rsidRPr="00435A59">
        <w:rPr>
          <w:lang w:val="fr-CH"/>
        </w:rPr>
        <w:t>dans</w:t>
      </w:r>
      <w:r w:rsidR="00FA2A06">
        <w:rPr>
          <w:lang w:val="fr-CH"/>
        </w:rPr>
        <w:t xml:space="preserve"> l’une d</w:t>
      </w:r>
      <w:r w:rsidR="001003EF" w:rsidRPr="00435A59">
        <w:rPr>
          <w:lang w:val="fr-CH"/>
        </w:rPr>
        <w:t>es six villes proposées (option 2).</w:t>
      </w:r>
    </w:p>
    <w:p w14:paraId="10E9420B" w14:textId="4A7364E9" w:rsidR="000332FD" w:rsidRDefault="001672AD" w:rsidP="006432A8">
      <w:pPr>
        <w:pStyle w:val="Normal-pool"/>
        <w:numPr>
          <w:ilvl w:val="0"/>
          <w:numId w:val="138"/>
        </w:numPr>
        <w:tabs>
          <w:tab w:val="clear" w:pos="1247"/>
          <w:tab w:val="clear" w:pos="1814"/>
          <w:tab w:val="clear" w:pos="2381"/>
          <w:tab w:val="clear" w:pos="2948"/>
          <w:tab w:val="clear" w:pos="3515"/>
          <w:tab w:val="clear" w:pos="4082"/>
          <w:tab w:val="left" w:pos="624"/>
        </w:tabs>
        <w:spacing w:after="120"/>
        <w:ind w:left="1247" w:firstLine="0"/>
        <w:rPr>
          <w:lang w:val="fr-CH"/>
        </w:rPr>
      </w:pPr>
      <w:r>
        <w:rPr>
          <w:lang w:val="fr-CH"/>
        </w:rPr>
        <w:t>Le tableau </w:t>
      </w:r>
      <w:r w:rsidR="00F21671">
        <w:rPr>
          <w:lang w:val="fr-CH"/>
        </w:rPr>
        <w:t>4 répond à la demande du C</w:t>
      </w:r>
      <w:r w:rsidR="000332FD" w:rsidRPr="000332FD">
        <w:rPr>
          <w:lang w:val="fr-CH"/>
        </w:rPr>
        <w:t>omité de négociation i</w:t>
      </w:r>
      <w:r w:rsidR="000332FD">
        <w:rPr>
          <w:lang w:val="fr-CH"/>
        </w:rPr>
        <w:t>ntergouvernemental</w:t>
      </w:r>
      <w:r w:rsidR="00AD3265">
        <w:rPr>
          <w:lang w:val="fr-CH"/>
        </w:rPr>
        <w:t xml:space="preserve"> visant à </w:t>
      </w:r>
      <w:r w:rsidR="00534454">
        <w:rPr>
          <w:lang w:val="fr-CH"/>
        </w:rPr>
        <w:t>recevoir</w:t>
      </w:r>
      <w:r w:rsidR="00AD3265">
        <w:rPr>
          <w:lang w:val="fr-CH"/>
        </w:rPr>
        <w:t xml:space="preserve"> davantage d’informations dans les domaines suivants : </w:t>
      </w:r>
      <w:r w:rsidR="00534454">
        <w:rPr>
          <w:lang w:val="fr-CH"/>
        </w:rPr>
        <w:t xml:space="preserve">une estimation des coûts totaux de fonctionnement d’un secrétariat robuste pour chacun des lieux proposés ; une estimation </w:t>
      </w:r>
      <w:r w:rsidR="00A404D3">
        <w:rPr>
          <w:lang w:val="fr-CH"/>
        </w:rPr>
        <w:t>du total des frais d’organisation des réunions dans ces différents sites;</w:t>
      </w:r>
      <w:r w:rsidR="007B7D0C">
        <w:rPr>
          <w:lang w:val="fr-CH"/>
        </w:rPr>
        <w:t xml:space="preserve"> une estimation des frai</w:t>
      </w:r>
      <w:r w:rsidR="00A404D3">
        <w:rPr>
          <w:lang w:val="fr-CH"/>
        </w:rPr>
        <w:t>s de voyage</w:t>
      </w:r>
      <w:r w:rsidR="007B7D0C">
        <w:rPr>
          <w:lang w:val="fr-CH"/>
        </w:rPr>
        <w:t xml:space="preserve"> pour le personnel participant aux réunions</w:t>
      </w:r>
      <w:r w:rsidR="00274650">
        <w:rPr>
          <w:lang w:val="fr-CH"/>
        </w:rPr>
        <w:t xml:space="preserve"> clés</w:t>
      </w:r>
      <w:r w:rsidR="007B7D0C">
        <w:rPr>
          <w:lang w:val="fr-CH"/>
        </w:rPr>
        <w:t xml:space="preserve"> sur les produits chimiques et les déchets à Genè</w:t>
      </w:r>
      <w:r w:rsidR="00274650">
        <w:rPr>
          <w:lang w:val="fr-CH"/>
        </w:rPr>
        <w:t>ve si le secrétariat permanent devait être implanté</w:t>
      </w:r>
      <w:r w:rsidR="007B7D0C">
        <w:rPr>
          <w:lang w:val="fr-CH"/>
        </w:rPr>
        <w:t xml:space="preserve"> dans une des cinq autres villes envisagées. </w:t>
      </w:r>
      <w:r w:rsidR="003537FA">
        <w:rPr>
          <w:lang w:val="fr-CH"/>
        </w:rPr>
        <w:t xml:space="preserve">Une estimation du montant total des indemnités journalières de subsistance pour </w:t>
      </w:r>
      <w:r w:rsidR="00274650">
        <w:rPr>
          <w:lang w:val="fr-CH"/>
        </w:rPr>
        <w:t xml:space="preserve">les </w:t>
      </w:r>
      <w:r w:rsidR="00777E38">
        <w:rPr>
          <w:lang w:val="fr-CH"/>
        </w:rPr>
        <w:t>p</w:t>
      </w:r>
      <w:r w:rsidR="003537FA">
        <w:rPr>
          <w:lang w:val="fr-CH"/>
        </w:rPr>
        <w:t>ersonne</w:t>
      </w:r>
      <w:r w:rsidR="00777E38">
        <w:rPr>
          <w:lang w:val="fr-CH"/>
        </w:rPr>
        <w:t>s bénéficiant d’un financement</w:t>
      </w:r>
      <w:r w:rsidR="003537FA">
        <w:rPr>
          <w:lang w:val="fr-CH"/>
        </w:rPr>
        <w:t xml:space="preserve"> qui participent à </w:t>
      </w:r>
      <w:r w:rsidR="00777E38">
        <w:rPr>
          <w:lang w:val="fr-CH"/>
        </w:rPr>
        <w:t xml:space="preserve">une réunion de la Conférence des Parties </w:t>
      </w:r>
      <w:r w:rsidR="00CC0C01">
        <w:rPr>
          <w:lang w:val="fr-CH"/>
        </w:rPr>
        <w:t>organisée dans les six lieux d’implantation potentiels du secrétariat est indiquée à des fins de comparaison entre ces sites.</w:t>
      </w:r>
    </w:p>
    <w:p w14:paraId="2A624617" w14:textId="5B670345" w:rsidR="00B959C3" w:rsidRPr="004C77DF" w:rsidRDefault="00B959C3" w:rsidP="00B959C3">
      <w:pPr>
        <w:pStyle w:val="Normal-pool"/>
        <w:spacing w:before="240"/>
        <w:ind w:left="567"/>
        <w:rPr>
          <w:lang w:val="fr-CH"/>
        </w:rPr>
      </w:pPr>
      <w:r w:rsidRPr="004C77DF">
        <w:rPr>
          <w:lang w:val="fr-CH"/>
        </w:rPr>
        <w:t>Table</w:t>
      </w:r>
      <w:r w:rsidR="00CC0C01" w:rsidRPr="004C77DF">
        <w:rPr>
          <w:lang w:val="fr-CH"/>
        </w:rPr>
        <w:t>au</w:t>
      </w:r>
      <w:r w:rsidR="001672AD">
        <w:rPr>
          <w:lang w:val="fr-CH"/>
        </w:rPr>
        <w:t> </w:t>
      </w:r>
      <w:r w:rsidRPr="004C77DF">
        <w:rPr>
          <w:lang w:val="fr-CH"/>
        </w:rPr>
        <w:t>1</w:t>
      </w:r>
    </w:p>
    <w:p w14:paraId="617A9DFF" w14:textId="3E391F7D" w:rsidR="009B3919" w:rsidRPr="009B3919" w:rsidRDefault="009B3919" w:rsidP="004C77DF">
      <w:pPr>
        <w:pStyle w:val="Normal-pool"/>
        <w:spacing w:after="120"/>
        <w:ind w:left="567"/>
        <w:rPr>
          <w:b/>
          <w:lang w:val="fr-CH"/>
        </w:rPr>
      </w:pPr>
      <w:r w:rsidRPr="009B3919">
        <w:rPr>
          <w:b/>
          <w:lang w:val="fr-CH"/>
        </w:rPr>
        <w:t>Tableau</w:t>
      </w:r>
      <w:r w:rsidR="00A50485">
        <w:rPr>
          <w:b/>
          <w:lang w:val="fr-CH"/>
        </w:rPr>
        <w:t>x</w:t>
      </w:r>
      <w:r w:rsidRPr="009B3919">
        <w:rPr>
          <w:b/>
          <w:lang w:val="fr-CH"/>
        </w:rPr>
        <w:t xml:space="preserve"> indicatif</w:t>
      </w:r>
      <w:r w:rsidR="00A50485">
        <w:rPr>
          <w:b/>
          <w:lang w:val="fr-CH"/>
        </w:rPr>
        <w:t>s</w:t>
      </w:r>
      <w:r w:rsidRPr="009B3919">
        <w:rPr>
          <w:b/>
          <w:lang w:val="fr-CH"/>
        </w:rPr>
        <w:t xml:space="preserve"> des effectifs pour les options proposées concernant le </w:t>
      </w:r>
      <w:r w:rsidR="001672AD">
        <w:rPr>
          <w:b/>
          <w:lang w:val="fr-CH"/>
        </w:rPr>
        <w:t>secrétariat de la Convention de </w:t>
      </w:r>
      <w:r w:rsidRPr="009B3919">
        <w:rPr>
          <w:b/>
          <w:lang w:val="fr-CH"/>
        </w:rPr>
        <w:t>Minamata</w:t>
      </w:r>
    </w:p>
    <w:tbl>
      <w:tblPr>
        <w:tblW w:w="4743" w:type="pct"/>
        <w:tblInd w:w="676" w:type="dxa"/>
        <w:tblLayout w:type="fixed"/>
        <w:tblLook w:val="04A0" w:firstRow="1" w:lastRow="0" w:firstColumn="1" w:lastColumn="0" w:noHBand="0" w:noVBand="1"/>
      </w:tblPr>
      <w:tblGrid>
        <w:gridCol w:w="2217"/>
        <w:gridCol w:w="2166"/>
        <w:gridCol w:w="52"/>
        <w:gridCol w:w="1663"/>
        <w:gridCol w:w="229"/>
        <w:gridCol w:w="1850"/>
        <w:gridCol w:w="139"/>
        <w:gridCol w:w="692"/>
      </w:tblGrid>
      <w:tr w:rsidR="00B959C3" w:rsidRPr="00A84D20" w14:paraId="32614FC0" w14:textId="77777777" w:rsidTr="00654183">
        <w:trPr>
          <w:trHeight w:val="159"/>
        </w:trPr>
        <w:tc>
          <w:tcPr>
            <w:tcW w:w="5000" w:type="pct"/>
            <w:gridSpan w:val="8"/>
            <w:tcBorders>
              <w:top w:val="single" w:sz="4" w:space="0" w:color="auto"/>
              <w:bottom w:val="single" w:sz="4" w:space="0" w:color="auto"/>
            </w:tcBorders>
            <w:shd w:val="clear" w:color="auto" w:fill="auto"/>
            <w:vAlign w:val="center"/>
            <w:hideMark/>
          </w:tcPr>
          <w:p w14:paraId="67B1FDC5" w14:textId="38FF9BB6" w:rsidR="00B959C3" w:rsidRPr="004C77DF" w:rsidRDefault="004C77DF" w:rsidP="00654183">
            <w:pPr>
              <w:keepNext/>
              <w:keepLines/>
              <w:tabs>
                <w:tab w:val="clear" w:pos="1247"/>
                <w:tab w:val="clear" w:pos="1814"/>
                <w:tab w:val="clear" w:pos="2381"/>
                <w:tab w:val="clear" w:pos="2948"/>
                <w:tab w:val="clear" w:pos="3515"/>
              </w:tabs>
              <w:spacing w:before="120" w:after="40"/>
              <w:rPr>
                <w:bCs/>
                <w:color w:val="000000"/>
                <w:sz w:val="18"/>
                <w:szCs w:val="18"/>
                <w:lang w:val="fr-CH"/>
              </w:rPr>
            </w:pPr>
            <w:r w:rsidRPr="004C77DF">
              <w:rPr>
                <w:sz w:val="18"/>
                <w:szCs w:val="18"/>
                <w:lang w:val="fr-CH"/>
              </w:rPr>
              <w:t>Option 1 a) (fusionnement): Incorporation des fonctions du secrétariat de la Convention de Minamata dans la structure actuelle du Secrétariat des conventions de Bâle, de Rotterdam et de Stockholm</w:t>
            </w:r>
            <w:r>
              <w:rPr>
                <w:sz w:val="18"/>
                <w:szCs w:val="18"/>
                <w:lang w:val="fr-CH"/>
              </w:rPr>
              <w:t xml:space="preserve"> (lieu d’implantation : Genève)</w:t>
            </w:r>
          </w:p>
        </w:tc>
      </w:tr>
      <w:tr w:rsidR="00B959C3" w:rsidRPr="00A84D20" w14:paraId="23939981" w14:textId="77777777" w:rsidTr="00654183">
        <w:trPr>
          <w:trHeight w:val="83"/>
        </w:trPr>
        <w:tc>
          <w:tcPr>
            <w:tcW w:w="1231" w:type="pct"/>
            <w:vMerge w:val="restart"/>
            <w:tcBorders>
              <w:top w:val="single" w:sz="4" w:space="0" w:color="auto"/>
              <w:bottom w:val="single" w:sz="12" w:space="0" w:color="auto"/>
            </w:tcBorders>
            <w:shd w:val="clear" w:color="auto" w:fill="auto"/>
            <w:noWrap/>
            <w:vAlign w:val="bottom"/>
            <w:hideMark/>
          </w:tcPr>
          <w:p w14:paraId="5A3D42C7" w14:textId="53E20857" w:rsidR="00B959C3" w:rsidRPr="006643F9" w:rsidRDefault="009B3919" w:rsidP="009B3919">
            <w:pPr>
              <w:tabs>
                <w:tab w:val="clear" w:pos="1247"/>
                <w:tab w:val="clear" w:pos="1814"/>
                <w:tab w:val="clear" w:pos="2381"/>
                <w:tab w:val="clear" w:pos="2948"/>
                <w:tab w:val="clear" w:pos="3515"/>
              </w:tabs>
              <w:spacing w:before="40" w:after="20"/>
              <w:rPr>
                <w:bCs/>
                <w:color w:val="000000"/>
                <w:sz w:val="18"/>
                <w:szCs w:val="18"/>
                <w:lang w:val="fr-CH"/>
              </w:rPr>
            </w:pPr>
            <w:r>
              <w:rPr>
                <w:bCs/>
                <w:color w:val="000000"/>
                <w:sz w:val="18"/>
                <w:szCs w:val="18"/>
                <w:lang w:val="fr-CH"/>
              </w:rPr>
              <w:t>Catégorie et classe</w:t>
            </w:r>
          </w:p>
        </w:tc>
        <w:tc>
          <w:tcPr>
            <w:tcW w:w="3769" w:type="pct"/>
            <w:gridSpan w:val="7"/>
            <w:tcBorders>
              <w:top w:val="single" w:sz="4" w:space="0" w:color="auto"/>
              <w:bottom w:val="single" w:sz="4" w:space="0" w:color="auto"/>
            </w:tcBorders>
            <w:shd w:val="clear" w:color="auto" w:fill="auto"/>
            <w:noWrap/>
            <w:vAlign w:val="bottom"/>
            <w:hideMark/>
          </w:tcPr>
          <w:p w14:paraId="7B37B7D0" w14:textId="6F329AFE" w:rsidR="00B959C3" w:rsidRPr="005173D7" w:rsidRDefault="00B959C3" w:rsidP="005173D7">
            <w:pPr>
              <w:tabs>
                <w:tab w:val="clear" w:pos="1247"/>
                <w:tab w:val="clear" w:pos="1814"/>
                <w:tab w:val="clear" w:pos="2381"/>
                <w:tab w:val="clear" w:pos="2948"/>
                <w:tab w:val="clear" w:pos="3515"/>
              </w:tabs>
              <w:spacing w:before="40" w:after="20"/>
              <w:jc w:val="center"/>
              <w:rPr>
                <w:bCs/>
                <w:i/>
                <w:color w:val="000000"/>
                <w:sz w:val="18"/>
                <w:szCs w:val="18"/>
                <w:lang w:val="fr-CH"/>
              </w:rPr>
            </w:pPr>
            <w:r w:rsidRPr="005173D7">
              <w:rPr>
                <w:bCs/>
                <w:i/>
                <w:color w:val="000000"/>
                <w:sz w:val="18"/>
                <w:szCs w:val="18"/>
                <w:lang w:val="fr-CH"/>
              </w:rPr>
              <w:t xml:space="preserve">Total </w:t>
            </w:r>
            <w:r w:rsidR="005173D7">
              <w:rPr>
                <w:bCs/>
                <w:i/>
                <w:color w:val="000000"/>
                <w:sz w:val="18"/>
                <w:szCs w:val="18"/>
                <w:lang w:val="fr-CH"/>
              </w:rPr>
              <w:t>proposé</w:t>
            </w:r>
            <w:r w:rsidR="005173D7" w:rsidRPr="005173D7">
              <w:rPr>
                <w:bCs/>
                <w:i/>
                <w:color w:val="000000"/>
                <w:sz w:val="18"/>
                <w:szCs w:val="18"/>
                <w:lang w:val="fr-CH"/>
              </w:rPr>
              <w:t xml:space="preserve"> pour le </w:t>
            </w:r>
            <w:r w:rsidR="005173D7">
              <w:rPr>
                <w:bCs/>
                <w:i/>
                <w:color w:val="000000"/>
                <w:sz w:val="18"/>
                <w:szCs w:val="18"/>
                <w:lang w:val="fr-CH"/>
              </w:rPr>
              <w:t>secré</w:t>
            </w:r>
            <w:r w:rsidR="005173D7" w:rsidRPr="005173D7">
              <w:rPr>
                <w:bCs/>
                <w:i/>
                <w:color w:val="000000"/>
                <w:sz w:val="18"/>
                <w:szCs w:val="18"/>
                <w:lang w:val="fr-CH"/>
              </w:rPr>
              <w:t>tariat de la Convention de</w:t>
            </w:r>
            <w:r w:rsidRPr="005173D7">
              <w:rPr>
                <w:bCs/>
                <w:i/>
                <w:color w:val="000000"/>
                <w:sz w:val="18"/>
                <w:szCs w:val="18"/>
                <w:lang w:val="fr-CH"/>
              </w:rPr>
              <w:t xml:space="preserve"> Minamata </w:t>
            </w:r>
            <w:r w:rsidR="00F30FEB">
              <w:rPr>
                <w:bCs/>
                <w:i/>
                <w:color w:val="000000"/>
                <w:sz w:val="18"/>
                <w:szCs w:val="18"/>
                <w:lang w:val="fr-CH"/>
              </w:rPr>
              <w:br/>
            </w:r>
            <w:r w:rsidR="00636926">
              <w:rPr>
                <w:bCs/>
                <w:i/>
                <w:color w:val="000000"/>
                <w:sz w:val="18"/>
                <w:szCs w:val="18"/>
                <w:lang w:val="fr-CH"/>
              </w:rPr>
              <w:t>pour la période</w:t>
            </w:r>
            <w:r w:rsidR="005173D7">
              <w:rPr>
                <w:bCs/>
                <w:i/>
                <w:color w:val="000000"/>
                <w:sz w:val="18"/>
                <w:szCs w:val="18"/>
                <w:lang w:val="fr-CH"/>
              </w:rPr>
              <w:t xml:space="preserve"> </w:t>
            </w:r>
            <w:r w:rsidRPr="005173D7">
              <w:rPr>
                <w:bCs/>
                <w:i/>
                <w:color w:val="000000"/>
                <w:sz w:val="18"/>
                <w:szCs w:val="18"/>
                <w:lang w:val="fr-CH"/>
              </w:rPr>
              <w:t>2018–2019</w:t>
            </w:r>
          </w:p>
        </w:tc>
      </w:tr>
      <w:tr w:rsidR="00B959C3" w:rsidRPr="001828CD" w14:paraId="6E9DDC43" w14:textId="77777777" w:rsidTr="00654183">
        <w:trPr>
          <w:trHeight w:val="275"/>
        </w:trPr>
        <w:tc>
          <w:tcPr>
            <w:tcW w:w="1231" w:type="pct"/>
            <w:vMerge/>
            <w:tcBorders>
              <w:bottom w:val="single" w:sz="12" w:space="0" w:color="auto"/>
            </w:tcBorders>
            <w:vAlign w:val="bottom"/>
            <w:hideMark/>
          </w:tcPr>
          <w:p w14:paraId="7074B5EA" w14:textId="77777777" w:rsidR="00B959C3" w:rsidRPr="005173D7" w:rsidRDefault="00B959C3" w:rsidP="00654183">
            <w:pPr>
              <w:tabs>
                <w:tab w:val="clear" w:pos="1247"/>
                <w:tab w:val="clear" w:pos="1814"/>
                <w:tab w:val="clear" w:pos="2381"/>
                <w:tab w:val="clear" w:pos="2948"/>
                <w:tab w:val="clear" w:pos="3515"/>
              </w:tabs>
              <w:spacing w:before="40" w:after="20"/>
              <w:ind w:left="1400"/>
              <w:rPr>
                <w:bCs/>
                <w:color w:val="000000"/>
                <w:sz w:val="18"/>
                <w:szCs w:val="18"/>
                <w:lang w:val="fr-CH"/>
              </w:rPr>
            </w:pPr>
          </w:p>
        </w:tc>
        <w:tc>
          <w:tcPr>
            <w:tcW w:w="1202" w:type="pct"/>
            <w:tcBorders>
              <w:bottom w:val="single" w:sz="12" w:space="0" w:color="auto"/>
            </w:tcBorders>
            <w:shd w:val="clear" w:color="auto" w:fill="auto"/>
            <w:vAlign w:val="center"/>
            <w:hideMark/>
          </w:tcPr>
          <w:p w14:paraId="4873B9DC" w14:textId="783704E3" w:rsidR="00636926" w:rsidRPr="00636926" w:rsidRDefault="00BB6974" w:rsidP="00636926">
            <w:pPr>
              <w:tabs>
                <w:tab w:val="clear" w:pos="1247"/>
                <w:tab w:val="clear" w:pos="1814"/>
                <w:tab w:val="clear" w:pos="2381"/>
                <w:tab w:val="clear" w:pos="2948"/>
                <w:tab w:val="clear" w:pos="3515"/>
              </w:tabs>
              <w:spacing w:before="40" w:after="20"/>
              <w:jc w:val="right"/>
              <w:rPr>
                <w:bCs/>
                <w:i/>
                <w:color w:val="000000"/>
                <w:sz w:val="18"/>
                <w:szCs w:val="18"/>
                <w:lang w:val="fr-CH"/>
              </w:rPr>
            </w:pPr>
            <w:r w:rsidRPr="00BB6974">
              <w:rPr>
                <w:bCs/>
                <w:i/>
                <w:color w:val="000000"/>
                <w:sz w:val="18"/>
                <w:szCs w:val="18"/>
                <w:lang w:val="fr-CH"/>
              </w:rPr>
              <w:t xml:space="preserve">Postes </w:t>
            </w:r>
            <w:r w:rsidR="00636926">
              <w:rPr>
                <w:bCs/>
                <w:i/>
                <w:color w:val="000000"/>
                <w:sz w:val="18"/>
                <w:szCs w:val="18"/>
                <w:lang w:val="fr-CH"/>
              </w:rPr>
              <w:t xml:space="preserve">relevant </w:t>
            </w:r>
            <w:r w:rsidRPr="00BB6974">
              <w:rPr>
                <w:bCs/>
                <w:i/>
                <w:color w:val="000000"/>
                <w:sz w:val="18"/>
                <w:szCs w:val="18"/>
                <w:lang w:val="fr-CH"/>
              </w:rPr>
              <w:t>des conventions de B</w:t>
            </w:r>
            <w:r w:rsidR="00636926">
              <w:rPr>
                <w:bCs/>
                <w:i/>
                <w:color w:val="000000"/>
                <w:sz w:val="18"/>
                <w:szCs w:val="18"/>
                <w:lang w:val="fr-CH"/>
              </w:rPr>
              <w:t>âle, de Rotterdam,</w:t>
            </w:r>
            <w:r w:rsidRPr="00BB6974">
              <w:rPr>
                <w:bCs/>
                <w:i/>
                <w:color w:val="000000"/>
                <w:sz w:val="18"/>
                <w:szCs w:val="18"/>
                <w:lang w:val="fr-CH"/>
              </w:rPr>
              <w:t xml:space="preserve"> de Stockholm</w:t>
            </w:r>
            <w:r w:rsidR="00636926">
              <w:rPr>
                <w:bCs/>
                <w:i/>
                <w:color w:val="000000"/>
                <w:sz w:val="18"/>
                <w:szCs w:val="18"/>
                <w:lang w:val="fr-CH"/>
              </w:rPr>
              <w:t xml:space="preserve"> et de Minamata</w:t>
            </w:r>
            <w:r w:rsidRPr="00BB6974">
              <w:rPr>
                <w:bCs/>
                <w:i/>
                <w:color w:val="000000"/>
                <w:sz w:val="18"/>
                <w:szCs w:val="18"/>
                <w:lang w:val="fr-CH"/>
              </w:rPr>
              <w:t xml:space="preserve"> </w:t>
            </w:r>
            <w:r>
              <w:rPr>
                <w:bCs/>
                <w:i/>
                <w:color w:val="000000"/>
                <w:sz w:val="18"/>
                <w:szCs w:val="18"/>
                <w:lang w:val="fr-CH"/>
              </w:rPr>
              <w:t>financé</w:t>
            </w:r>
            <w:r w:rsidRPr="00BB6974">
              <w:rPr>
                <w:bCs/>
                <w:i/>
                <w:color w:val="000000"/>
                <w:sz w:val="18"/>
                <w:szCs w:val="18"/>
                <w:lang w:val="fr-CH"/>
              </w:rPr>
              <w:t xml:space="preserve">s par la Convention de </w:t>
            </w:r>
            <w:r w:rsidR="00636926">
              <w:rPr>
                <w:bCs/>
                <w:i/>
                <w:color w:val="000000"/>
                <w:sz w:val="18"/>
                <w:szCs w:val="18"/>
                <w:lang w:val="fr-CH"/>
              </w:rPr>
              <w:t>Minamata</w:t>
            </w:r>
          </w:p>
        </w:tc>
        <w:tc>
          <w:tcPr>
            <w:tcW w:w="1079" w:type="pct"/>
            <w:gridSpan w:val="3"/>
            <w:tcBorders>
              <w:bottom w:val="single" w:sz="12" w:space="0" w:color="auto"/>
            </w:tcBorders>
            <w:shd w:val="clear" w:color="auto" w:fill="auto"/>
            <w:vAlign w:val="center"/>
            <w:hideMark/>
          </w:tcPr>
          <w:p w14:paraId="1AADFD79" w14:textId="6748715E" w:rsidR="00B959C3" w:rsidRPr="007E29CA" w:rsidRDefault="003E6A1E" w:rsidP="003E6A1E">
            <w:pPr>
              <w:tabs>
                <w:tab w:val="clear" w:pos="1247"/>
                <w:tab w:val="clear" w:pos="1814"/>
                <w:tab w:val="clear" w:pos="2381"/>
                <w:tab w:val="clear" w:pos="2948"/>
                <w:tab w:val="clear" w:pos="3515"/>
              </w:tabs>
              <w:spacing w:before="40" w:after="20"/>
              <w:jc w:val="right"/>
              <w:rPr>
                <w:bCs/>
                <w:i/>
                <w:color w:val="000000"/>
                <w:sz w:val="18"/>
                <w:szCs w:val="18"/>
                <w:lang w:val="fr-CH"/>
              </w:rPr>
            </w:pPr>
            <w:r>
              <w:rPr>
                <w:bCs/>
                <w:i/>
                <w:color w:val="000000"/>
                <w:sz w:val="18"/>
                <w:szCs w:val="18"/>
                <w:lang w:val="fr-CH"/>
              </w:rPr>
              <w:t>N</w:t>
            </w:r>
            <w:r w:rsidR="007E29CA" w:rsidRPr="007E29CA">
              <w:rPr>
                <w:bCs/>
                <w:i/>
                <w:color w:val="000000"/>
                <w:sz w:val="18"/>
                <w:szCs w:val="18"/>
                <w:lang w:val="fr-CH"/>
              </w:rPr>
              <w:t xml:space="preserve">ouveaux postes </w:t>
            </w:r>
            <w:r>
              <w:rPr>
                <w:bCs/>
                <w:i/>
                <w:color w:val="000000"/>
                <w:sz w:val="18"/>
                <w:szCs w:val="18"/>
                <w:lang w:val="fr-CH"/>
              </w:rPr>
              <w:t>financés par</w:t>
            </w:r>
            <w:r w:rsidR="007E29CA" w:rsidRPr="007E29CA">
              <w:rPr>
                <w:bCs/>
                <w:i/>
                <w:color w:val="000000"/>
                <w:sz w:val="18"/>
                <w:szCs w:val="18"/>
                <w:lang w:val="fr-CH"/>
              </w:rPr>
              <w:t xml:space="preserve"> les conventions de B</w:t>
            </w:r>
            <w:r w:rsidR="007E29CA">
              <w:rPr>
                <w:bCs/>
                <w:i/>
                <w:color w:val="000000"/>
                <w:sz w:val="18"/>
                <w:szCs w:val="18"/>
                <w:lang w:val="fr-CH"/>
              </w:rPr>
              <w:t>âle, de Rotterdam, de Stockholm et de Minamata</w:t>
            </w:r>
            <w:r w:rsidR="00B959C3" w:rsidRPr="007E29CA">
              <w:rPr>
                <w:bCs/>
                <w:i/>
                <w:color w:val="000000"/>
                <w:sz w:val="18"/>
                <w:szCs w:val="18"/>
                <w:lang w:val="fr-CH"/>
              </w:rPr>
              <w:t xml:space="preserve"> </w:t>
            </w:r>
          </w:p>
        </w:tc>
        <w:tc>
          <w:tcPr>
            <w:tcW w:w="1104" w:type="pct"/>
            <w:gridSpan w:val="2"/>
            <w:tcBorders>
              <w:bottom w:val="single" w:sz="12" w:space="0" w:color="auto"/>
            </w:tcBorders>
            <w:shd w:val="clear" w:color="auto" w:fill="auto"/>
            <w:vAlign w:val="center"/>
            <w:hideMark/>
          </w:tcPr>
          <w:p w14:paraId="1FE1C88D" w14:textId="0DF1DA9A" w:rsidR="00B959C3" w:rsidRPr="007E29CA" w:rsidRDefault="007E29CA" w:rsidP="003E6A1E">
            <w:pPr>
              <w:tabs>
                <w:tab w:val="clear" w:pos="1247"/>
                <w:tab w:val="clear" w:pos="1814"/>
                <w:tab w:val="clear" w:pos="2381"/>
                <w:tab w:val="clear" w:pos="2948"/>
                <w:tab w:val="clear" w:pos="3515"/>
              </w:tabs>
              <w:spacing w:before="40" w:after="20"/>
              <w:jc w:val="right"/>
              <w:rPr>
                <w:bCs/>
                <w:i/>
                <w:color w:val="000000"/>
                <w:sz w:val="18"/>
                <w:szCs w:val="18"/>
                <w:lang w:val="fr-CH"/>
              </w:rPr>
            </w:pPr>
            <w:r>
              <w:rPr>
                <w:bCs/>
                <w:i/>
                <w:color w:val="000000"/>
                <w:sz w:val="18"/>
                <w:szCs w:val="18"/>
                <w:lang w:val="fr-CH"/>
              </w:rPr>
              <w:t xml:space="preserve">Postes </w:t>
            </w:r>
            <w:r w:rsidR="003E6A1E">
              <w:rPr>
                <w:bCs/>
                <w:i/>
                <w:color w:val="000000"/>
                <w:sz w:val="18"/>
                <w:szCs w:val="18"/>
                <w:lang w:val="fr-CH"/>
              </w:rPr>
              <w:t xml:space="preserve">relevant </w:t>
            </w:r>
            <w:r>
              <w:rPr>
                <w:bCs/>
                <w:i/>
                <w:color w:val="000000"/>
                <w:sz w:val="18"/>
                <w:szCs w:val="18"/>
                <w:lang w:val="fr-CH"/>
              </w:rPr>
              <w:t xml:space="preserve">de la Convention de </w:t>
            </w:r>
            <w:r w:rsidR="00B959C3" w:rsidRPr="007E29CA">
              <w:rPr>
                <w:bCs/>
                <w:i/>
                <w:color w:val="000000"/>
                <w:sz w:val="18"/>
                <w:szCs w:val="18"/>
                <w:lang w:val="fr-CH"/>
              </w:rPr>
              <w:t xml:space="preserve">Minamata </w:t>
            </w:r>
            <w:r w:rsidR="003E6A1E">
              <w:rPr>
                <w:bCs/>
                <w:i/>
                <w:color w:val="000000"/>
                <w:sz w:val="18"/>
                <w:szCs w:val="18"/>
                <w:lang w:val="fr-CH"/>
              </w:rPr>
              <w:t>imputés aux</w:t>
            </w:r>
            <w:r w:rsidR="00BC6988">
              <w:rPr>
                <w:bCs/>
                <w:i/>
                <w:color w:val="000000"/>
                <w:sz w:val="18"/>
                <w:szCs w:val="18"/>
                <w:lang w:val="fr-CH"/>
              </w:rPr>
              <w:t xml:space="preserve"> </w:t>
            </w:r>
            <w:r w:rsidRPr="007E29CA">
              <w:rPr>
                <w:bCs/>
                <w:i/>
                <w:color w:val="000000"/>
                <w:sz w:val="18"/>
                <w:szCs w:val="18"/>
                <w:lang w:val="fr-CH"/>
              </w:rPr>
              <w:t>dépenses d’</w:t>
            </w:r>
            <w:r w:rsidR="00905B6F">
              <w:rPr>
                <w:bCs/>
                <w:i/>
                <w:color w:val="000000"/>
                <w:sz w:val="18"/>
                <w:szCs w:val="18"/>
                <w:lang w:val="fr-CH"/>
              </w:rPr>
              <w:t>appui au programme</w:t>
            </w:r>
            <w:r w:rsidR="00B959C3" w:rsidRPr="007E29CA">
              <w:rPr>
                <w:bCs/>
                <w:i/>
                <w:color w:val="000000"/>
                <w:sz w:val="18"/>
                <w:szCs w:val="18"/>
                <w:lang w:val="fr-CH"/>
              </w:rPr>
              <w:t xml:space="preserve"> </w:t>
            </w:r>
          </w:p>
        </w:tc>
        <w:tc>
          <w:tcPr>
            <w:tcW w:w="384" w:type="pct"/>
            <w:tcBorders>
              <w:bottom w:val="single" w:sz="12" w:space="0" w:color="auto"/>
            </w:tcBorders>
            <w:shd w:val="clear" w:color="auto" w:fill="auto"/>
            <w:noWrap/>
            <w:vAlign w:val="center"/>
            <w:hideMark/>
          </w:tcPr>
          <w:p w14:paraId="33D7888A" w14:textId="77777777" w:rsidR="00B959C3" w:rsidRPr="001828CD" w:rsidRDefault="00B959C3" w:rsidP="00654183">
            <w:pPr>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Total</w:t>
            </w:r>
          </w:p>
        </w:tc>
      </w:tr>
      <w:tr w:rsidR="00B959C3" w:rsidRPr="00905B6F" w14:paraId="78E91640" w14:textId="77777777" w:rsidTr="00654183">
        <w:trPr>
          <w:trHeight w:val="211"/>
        </w:trPr>
        <w:tc>
          <w:tcPr>
            <w:tcW w:w="1231" w:type="pct"/>
            <w:tcBorders>
              <w:top w:val="single" w:sz="12" w:space="0" w:color="auto"/>
            </w:tcBorders>
            <w:shd w:val="clear" w:color="auto" w:fill="auto"/>
            <w:noWrap/>
            <w:vAlign w:val="bottom"/>
            <w:hideMark/>
          </w:tcPr>
          <w:p w14:paraId="3917F724" w14:textId="6442BF62" w:rsidR="00B959C3" w:rsidRPr="00905B6F" w:rsidRDefault="00B959C3" w:rsidP="00B942EA">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xml:space="preserve">A. </w:t>
            </w:r>
            <w:r w:rsidR="00B942EA">
              <w:rPr>
                <w:color w:val="000000"/>
                <w:sz w:val="18"/>
                <w:szCs w:val="18"/>
                <w:lang w:val="fr-CH"/>
              </w:rPr>
              <w:t>A</w:t>
            </w:r>
            <w:r w:rsidR="002504A2" w:rsidRPr="00905B6F">
              <w:rPr>
                <w:color w:val="000000"/>
                <w:sz w:val="18"/>
                <w:szCs w:val="18"/>
                <w:lang w:val="fr-CH"/>
              </w:rPr>
              <w:t>dministrateurs</w:t>
            </w:r>
          </w:p>
        </w:tc>
        <w:tc>
          <w:tcPr>
            <w:tcW w:w="1202" w:type="pct"/>
            <w:tcBorders>
              <w:top w:val="single" w:sz="12" w:space="0" w:color="auto"/>
            </w:tcBorders>
            <w:shd w:val="clear" w:color="auto" w:fill="auto"/>
            <w:hideMark/>
          </w:tcPr>
          <w:p w14:paraId="67710335" w14:textId="77777777" w:rsidR="00B959C3" w:rsidRPr="00905B6F" w:rsidRDefault="00B959C3" w:rsidP="00654183">
            <w:pPr>
              <w:tabs>
                <w:tab w:val="clear" w:pos="1247"/>
                <w:tab w:val="clear" w:pos="1814"/>
                <w:tab w:val="clear" w:pos="2381"/>
                <w:tab w:val="clear" w:pos="2948"/>
                <w:tab w:val="clear" w:pos="3515"/>
              </w:tabs>
              <w:spacing w:before="40" w:after="20"/>
              <w:rPr>
                <w:i/>
                <w:iCs/>
                <w:color w:val="000000"/>
                <w:sz w:val="18"/>
                <w:szCs w:val="18"/>
                <w:lang w:val="fr-CH"/>
              </w:rPr>
            </w:pPr>
          </w:p>
        </w:tc>
        <w:tc>
          <w:tcPr>
            <w:tcW w:w="1079" w:type="pct"/>
            <w:gridSpan w:val="3"/>
            <w:tcBorders>
              <w:top w:val="single" w:sz="12" w:space="0" w:color="auto"/>
            </w:tcBorders>
            <w:shd w:val="clear" w:color="auto" w:fill="auto"/>
            <w:hideMark/>
          </w:tcPr>
          <w:p w14:paraId="7594EE01" w14:textId="77777777" w:rsidR="00B959C3" w:rsidRPr="00905B6F" w:rsidRDefault="00B959C3" w:rsidP="00654183">
            <w:pPr>
              <w:tabs>
                <w:tab w:val="clear" w:pos="1247"/>
                <w:tab w:val="clear" w:pos="1814"/>
                <w:tab w:val="clear" w:pos="2381"/>
                <w:tab w:val="clear" w:pos="2948"/>
                <w:tab w:val="clear" w:pos="3515"/>
              </w:tabs>
              <w:spacing w:before="40" w:after="20"/>
              <w:rPr>
                <w:i/>
                <w:iCs/>
                <w:color w:val="000000"/>
                <w:sz w:val="18"/>
                <w:szCs w:val="18"/>
                <w:lang w:val="fr-CH"/>
              </w:rPr>
            </w:pPr>
          </w:p>
        </w:tc>
        <w:tc>
          <w:tcPr>
            <w:tcW w:w="1104" w:type="pct"/>
            <w:gridSpan w:val="2"/>
            <w:tcBorders>
              <w:top w:val="single" w:sz="12" w:space="0" w:color="auto"/>
            </w:tcBorders>
            <w:shd w:val="clear" w:color="auto" w:fill="auto"/>
            <w:noWrap/>
            <w:vAlign w:val="bottom"/>
            <w:hideMark/>
          </w:tcPr>
          <w:p w14:paraId="6D7B8FD3"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p>
        </w:tc>
        <w:tc>
          <w:tcPr>
            <w:tcW w:w="384" w:type="pct"/>
            <w:tcBorders>
              <w:top w:val="single" w:sz="12" w:space="0" w:color="auto"/>
            </w:tcBorders>
            <w:shd w:val="clear" w:color="auto" w:fill="auto"/>
            <w:noWrap/>
            <w:vAlign w:val="bottom"/>
            <w:hideMark/>
          </w:tcPr>
          <w:p w14:paraId="38498E69"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p>
        </w:tc>
      </w:tr>
      <w:tr w:rsidR="00B959C3" w:rsidRPr="00905B6F" w14:paraId="2ABF6710" w14:textId="77777777" w:rsidTr="00654183">
        <w:trPr>
          <w:trHeight w:val="58"/>
        </w:trPr>
        <w:tc>
          <w:tcPr>
            <w:tcW w:w="1231" w:type="pct"/>
            <w:shd w:val="clear" w:color="auto" w:fill="auto"/>
            <w:noWrap/>
            <w:vAlign w:val="bottom"/>
            <w:hideMark/>
          </w:tcPr>
          <w:p w14:paraId="210799BA" w14:textId="14A6964A" w:rsidR="00B959C3" w:rsidRPr="00905B6F" w:rsidRDefault="00B959C3" w:rsidP="002504A2">
            <w:pPr>
              <w:tabs>
                <w:tab w:val="clear" w:pos="1247"/>
                <w:tab w:val="clear" w:pos="1814"/>
                <w:tab w:val="clear" w:pos="2381"/>
                <w:tab w:val="clear" w:pos="2948"/>
                <w:tab w:val="clear" w:pos="3515"/>
              </w:tabs>
              <w:spacing w:before="40" w:after="20"/>
              <w:ind w:left="227"/>
              <w:rPr>
                <w:color w:val="000000"/>
                <w:sz w:val="18"/>
                <w:szCs w:val="18"/>
                <w:lang w:val="fr-CH"/>
              </w:rPr>
            </w:pPr>
            <w:r w:rsidRPr="00905B6F">
              <w:rPr>
                <w:color w:val="000000"/>
                <w:sz w:val="18"/>
                <w:szCs w:val="18"/>
                <w:lang w:val="fr-CH"/>
              </w:rPr>
              <w:t xml:space="preserve">D-2 </w:t>
            </w:r>
          </w:p>
        </w:tc>
        <w:tc>
          <w:tcPr>
            <w:tcW w:w="1202" w:type="pct"/>
            <w:shd w:val="clear" w:color="auto" w:fill="auto"/>
            <w:noWrap/>
            <w:vAlign w:val="bottom"/>
            <w:hideMark/>
          </w:tcPr>
          <w:p w14:paraId="3BA12D71" w14:textId="02383306" w:rsidR="00B959C3" w:rsidRPr="00905B6F" w:rsidRDefault="002504A2" w:rsidP="007E4291">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20</w:t>
            </w:r>
            <w:r w:rsidR="00E23AF3">
              <w:rPr>
                <w:color w:val="000000"/>
                <w:sz w:val="18"/>
                <w:szCs w:val="18"/>
                <w:lang w:val="fr-CH"/>
              </w:rPr>
              <w:t> </w:t>
            </w:r>
            <w:r w:rsidRPr="00905B6F">
              <w:rPr>
                <w:color w:val="000000"/>
                <w:sz w:val="18"/>
                <w:szCs w:val="18"/>
                <w:lang w:val="fr-CH"/>
              </w:rPr>
              <w:t>% de</w:t>
            </w:r>
            <w:r w:rsidR="00B959C3" w:rsidRPr="00905B6F">
              <w:rPr>
                <w:color w:val="000000"/>
                <w:sz w:val="18"/>
                <w:szCs w:val="18"/>
                <w:lang w:val="fr-CH"/>
              </w:rPr>
              <w:t xml:space="preserve"> 1</w:t>
            </w:r>
            <w:r w:rsidR="00BC6988">
              <w:rPr>
                <w:color w:val="000000"/>
                <w:sz w:val="18"/>
                <w:szCs w:val="18"/>
                <w:lang w:val="fr-CH"/>
              </w:rPr>
              <w:t>,00</w:t>
            </w:r>
          </w:p>
        </w:tc>
        <w:tc>
          <w:tcPr>
            <w:tcW w:w="1079" w:type="pct"/>
            <w:gridSpan w:val="3"/>
            <w:shd w:val="clear" w:color="auto" w:fill="auto"/>
            <w:noWrap/>
            <w:vAlign w:val="bottom"/>
            <w:hideMark/>
          </w:tcPr>
          <w:p w14:paraId="31591CB9"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1104" w:type="pct"/>
            <w:gridSpan w:val="2"/>
            <w:shd w:val="clear" w:color="auto" w:fill="auto"/>
            <w:noWrap/>
            <w:vAlign w:val="bottom"/>
            <w:hideMark/>
          </w:tcPr>
          <w:p w14:paraId="42AFA26C"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384" w:type="pct"/>
            <w:shd w:val="clear" w:color="auto" w:fill="auto"/>
            <w:noWrap/>
            <w:vAlign w:val="bottom"/>
            <w:hideMark/>
          </w:tcPr>
          <w:p w14:paraId="66F6F26F" w14:textId="6CA5419B" w:rsidR="00B959C3" w:rsidRPr="00905B6F" w:rsidRDefault="007E4291"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0,</w:t>
            </w:r>
            <w:r w:rsidR="00B959C3" w:rsidRPr="00905B6F">
              <w:rPr>
                <w:color w:val="000000"/>
                <w:sz w:val="18"/>
                <w:szCs w:val="18"/>
                <w:lang w:val="fr-CH"/>
              </w:rPr>
              <w:t>20</w:t>
            </w:r>
          </w:p>
        </w:tc>
      </w:tr>
      <w:tr w:rsidR="00B959C3" w:rsidRPr="00905B6F" w14:paraId="2C512434" w14:textId="77777777" w:rsidTr="00654183">
        <w:trPr>
          <w:trHeight w:val="68"/>
        </w:trPr>
        <w:tc>
          <w:tcPr>
            <w:tcW w:w="1231" w:type="pct"/>
            <w:shd w:val="clear" w:color="auto" w:fill="auto"/>
            <w:noWrap/>
            <w:vAlign w:val="bottom"/>
            <w:hideMark/>
          </w:tcPr>
          <w:p w14:paraId="0BE1A962" w14:textId="55E04A3B" w:rsidR="00B959C3" w:rsidRPr="00905B6F" w:rsidRDefault="00B959C3" w:rsidP="002504A2">
            <w:pPr>
              <w:tabs>
                <w:tab w:val="clear" w:pos="1247"/>
                <w:tab w:val="clear" w:pos="1814"/>
                <w:tab w:val="clear" w:pos="2381"/>
                <w:tab w:val="clear" w:pos="2948"/>
                <w:tab w:val="clear" w:pos="3515"/>
              </w:tabs>
              <w:spacing w:before="40" w:after="20"/>
              <w:ind w:left="227"/>
              <w:rPr>
                <w:color w:val="000000"/>
                <w:sz w:val="18"/>
                <w:szCs w:val="18"/>
                <w:lang w:val="fr-CH"/>
              </w:rPr>
            </w:pPr>
            <w:r w:rsidRPr="00905B6F">
              <w:rPr>
                <w:color w:val="000000"/>
                <w:sz w:val="18"/>
                <w:szCs w:val="18"/>
                <w:lang w:val="fr-CH"/>
              </w:rPr>
              <w:t xml:space="preserve">D-1 </w:t>
            </w:r>
          </w:p>
        </w:tc>
        <w:tc>
          <w:tcPr>
            <w:tcW w:w="1202" w:type="pct"/>
            <w:shd w:val="clear" w:color="auto" w:fill="auto"/>
            <w:noWrap/>
            <w:vAlign w:val="bottom"/>
            <w:hideMark/>
          </w:tcPr>
          <w:p w14:paraId="6B2BBC89" w14:textId="4B83559C" w:rsidR="00B959C3" w:rsidRPr="00905B6F" w:rsidRDefault="002504A2" w:rsidP="007E4291">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20</w:t>
            </w:r>
            <w:r w:rsidR="00E23AF3">
              <w:rPr>
                <w:color w:val="000000"/>
                <w:sz w:val="18"/>
                <w:szCs w:val="18"/>
                <w:lang w:val="fr-CH"/>
              </w:rPr>
              <w:t> </w:t>
            </w:r>
            <w:r w:rsidRPr="00905B6F">
              <w:rPr>
                <w:color w:val="000000"/>
                <w:sz w:val="18"/>
                <w:szCs w:val="18"/>
                <w:lang w:val="fr-CH"/>
              </w:rPr>
              <w:t>% de</w:t>
            </w:r>
            <w:r w:rsidR="00B959C3" w:rsidRPr="00905B6F">
              <w:rPr>
                <w:color w:val="000000"/>
                <w:sz w:val="18"/>
                <w:szCs w:val="18"/>
                <w:lang w:val="fr-CH"/>
              </w:rPr>
              <w:t xml:space="preserve"> 1</w:t>
            </w:r>
            <w:r w:rsidR="00BC6988">
              <w:rPr>
                <w:color w:val="000000"/>
                <w:sz w:val="18"/>
                <w:szCs w:val="18"/>
                <w:lang w:val="fr-CH"/>
              </w:rPr>
              <w:t>,00</w:t>
            </w:r>
          </w:p>
        </w:tc>
        <w:tc>
          <w:tcPr>
            <w:tcW w:w="1079" w:type="pct"/>
            <w:gridSpan w:val="3"/>
            <w:shd w:val="clear" w:color="auto" w:fill="auto"/>
            <w:noWrap/>
            <w:vAlign w:val="bottom"/>
            <w:hideMark/>
          </w:tcPr>
          <w:p w14:paraId="07ECCCDB"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1104" w:type="pct"/>
            <w:gridSpan w:val="2"/>
            <w:shd w:val="clear" w:color="auto" w:fill="auto"/>
            <w:noWrap/>
            <w:vAlign w:val="bottom"/>
            <w:hideMark/>
          </w:tcPr>
          <w:p w14:paraId="227BB56B"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384" w:type="pct"/>
            <w:shd w:val="clear" w:color="auto" w:fill="auto"/>
            <w:noWrap/>
            <w:vAlign w:val="bottom"/>
            <w:hideMark/>
          </w:tcPr>
          <w:p w14:paraId="7EEB84C3" w14:textId="7810EB83" w:rsidR="00B959C3" w:rsidRPr="00905B6F" w:rsidRDefault="007E4291"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0,</w:t>
            </w:r>
            <w:r w:rsidR="00B959C3" w:rsidRPr="00905B6F">
              <w:rPr>
                <w:color w:val="000000"/>
                <w:sz w:val="18"/>
                <w:szCs w:val="18"/>
                <w:lang w:val="fr-CH"/>
              </w:rPr>
              <w:t>20</w:t>
            </w:r>
          </w:p>
        </w:tc>
      </w:tr>
      <w:tr w:rsidR="00B959C3" w:rsidRPr="00905B6F" w14:paraId="2BE60F00" w14:textId="77777777" w:rsidTr="00654183">
        <w:trPr>
          <w:trHeight w:val="68"/>
        </w:trPr>
        <w:tc>
          <w:tcPr>
            <w:tcW w:w="1231" w:type="pct"/>
            <w:shd w:val="clear" w:color="auto" w:fill="auto"/>
            <w:noWrap/>
            <w:vAlign w:val="bottom"/>
            <w:hideMark/>
          </w:tcPr>
          <w:p w14:paraId="3FE6A001" w14:textId="188C9FDD" w:rsidR="00B959C3" w:rsidRPr="00905B6F" w:rsidRDefault="002504A2" w:rsidP="00654183">
            <w:pPr>
              <w:tabs>
                <w:tab w:val="clear" w:pos="1247"/>
                <w:tab w:val="clear" w:pos="1814"/>
                <w:tab w:val="clear" w:pos="2381"/>
                <w:tab w:val="clear" w:pos="2948"/>
                <w:tab w:val="clear" w:pos="3515"/>
              </w:tabs>
              <w:spacing w:before="40" w:after="20"/>
              <w:ind w:left="227"/>
              <w:rPr>
                <w:color w:val="000000"/>
                <w:sz w:val="18"/>
                <w:szCs w:val="18"/>
                <w:lang w:val="fr-CH"/>
              </w:rPr>
            </w:pPr>
            <w:r w:rsidRPr="00905B6F">
              <w:rPr>
                <w:color w:val="000000"/>
                <w:sz w:val="18"/>
                <w:szCs w:val="18"/>
                <w:lang w:val="fr-CH"/>
              </w:rPr>
              <w:t xml:space="preserve">P-5 </w:t>
            </w:r>
          </w:p>
        </w:tc>
        <w:tc>
          <w:tcPr>
            <w:tcW w:w="1202" w:type="pct"/>
            <w:shd w:val="clear" w:color="auto" w:fill="auto"/>
            <w:vAlign w:val="center"/>
            <w:hideMark/>
          </w:tcPr>
          <w:p w14:paraId="0D951A49" w14:textId="163E50BF" w:rsidR="00B959C3" w:rsidRPr="00905B6F" w:rsidRDefault="002504A2" w:rsidP="007E4291">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20</w:t>
            </w:r>
            <w:r w:rsidR="00E23AF3">
              <w:rPr>
                <w:color w:val="000000"/>
                <w:sz w:val="18"/>
                <w:szCs w:val="18"/>
                <w:lang w:val="fr-CH"/>
              </w:rPr>
              <w:t> </w:t>
            </w:r>
            <w:r w:rsidRPr="00905B6F">
              <w:rPr>
                <w:color w:val="000000"/>
                <w:sz w:val="18"/>
                <w:szCs w:val="18"/>
                <w:lang w:val="fr-CH"/>
              </w:rPr>
              <w:t>% de</w:t>
            </w:r>
            <w:r w:rsidR="00B959C3" w:rsidRPr="00905B6F">
              <w:rPr>
                <w:color w:val="000000"/>
                <w:sz w:val="18"/>
                <w:szCs w:val="18"/>
                <w:lang w:val="fr-CH"/>
              </w:rPr>
              <w:t xml:space="preserve"> 7</w:t>
            </w:r>
            <w:r w:rsidR="00BC6988">
              <w:rPr>
                <w:color w:val="000000"/>
                <w:sz w:val="18"/>
                <w:szCs w:val="18"/>
                <w:lang w:val="fr-CH"/>
              </w:rPr>
              <w:t>,00</w:t>
            </w:r>
          </w:p>
        </w:tc>
        <w:tc>
          <w:tcPr>
            <w:tcW w:w="1079" w:type="pct"/>
            <w:gridSpan w:val="3"/>
            <w:shd w:val="clear" w:color="auto" w:fill="auto"/>
            <w:noWrap/>
            <w:vAlign w:val="bottom"/>
            <w:hideMark/>
          </w:tcPr>
          <w:p w14:paraId="2C1E26C8"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1104" w:type="pct"/>
            <w:gridSpan w:val="2"/>
            <w:shd w:val="clear" w:color="auto" w:fill="auto"/>
            <w:noWrap/>
            <w:vAlign w:val="bottom"/>
            <w:hideMark/>
          </w:tcPr>
          <w:p w14:paraId="1BC28C58"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384" w:type="pct"/>
            <w:shd w:val="clear" w:color="auto" w:fill="auto"/>
            <w:noWrap/>
            <w:vAlign w:val="bottom"/>
            <w:hideMark/>
          </w:tcPr>
          <w:p w14:paraId="118EBC9A" w14:textId="5D58905A" w:rsidR="00B959C3" w:rsidRPr="00905B6F" w:rsidRDefault="007E4291"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1,</w:t>
            </w:r>
            <w:r w:rsidR="00B959C3" w:rsidRPr="00905B6F">
              <w:rPr>
                <w:color w:val="000000"/>
                <w:sz w:val="18"/>
                <w:szCs w:val="18"/>
                <w:lang w:val="fr-CH"/>
              </w:rPr>
              <w:t>40</w:t>
            </w:r>
          </w:p>
        </w:tc>
      </w:tr>
      <w:tr w:rsidR="00B959C3" w:rsidRPr="001828CD" w14:paraId="2E6664AE" w14:textId="77777777" w:rsidTr="00654183">
        <w:trPr>
          <w:trHeight w:val="68"/>
        </w:trPr>
        <w:tc>
          <w:tcPr>
            <w:tcW w:w="1231" w:type="pct"/>
            <w:shd w:val="clear" w:color="auto" w:fill="auto"/>
            <w:noWrap/>
            <w:vAlign w:val="bottom"/>
            <w:hideMark/>
          </w:tcPr>
          <w:p w14:paraId="33DA4F8A" w14:textId="65DDA05F" w:rsidR="00B959C3" w:rsidRPr="00905B6F" w:rsidRDefault="002504A2" w:rsidP="00654183">
            <w:pPr>
              <w:tabs>
                <w:tab w:val="clear" w:pos="1247"/>
                <w:tab w:val="clear" w:pos="1814"/>
                <w:tab w:val="clear" w:pos="2381"/>
                <w:tab w:val="clear" w:pos="2948"/>
                <w:tab w:val="clear" w:pos="3515"/>
              </w:tabs>
              <w:spacing w:before="40" w:after="20"/>
              <w:ind w:left="227"/>
              <w:rPr>
                <w:color w:val="000000"/>
                <w:sz w:val="18"/>
                <w:szCs w:val="18"/>
                <w:lang w:val="fr-CH"/>
              </w:rPr>
            </w:pPr>
            <w:r w:rsidRPr="00905B6F">
              <w:rPr>
                <w:color w:val="000000"/>
                <w:sz w:val="18"/>
                <w:szCs w:val="18"/>
                <w:lang w:val="fr-CH"/>
              </w:rPr>
              <w:lastRenderedPageBreak/>
              <w:t xml:space="preserve">P-4 </w:t>
            </w:r>
          </w:p>
        </w:tc>
        <w:tc>
          <w:tcPr>
            <w:tcW w:w="1202" w:type="pct"/>
            <w:shd w:val="clear" w:color="auto" w:fill="auto"/>
            <w:vAlign w:val="center"/>
            <w:hideMark/>
          </w:tcPr>
          <w:p w14:paraId="592A211F" w14:textId="44BEFFA7" w:rsidR="00B959C3" w:rsidRPr="00905B6F" w:rsidRDefault="002504A2" w:rsidP="007E4291">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20</w:t>
            </w:r>
            <w:r w:rsidR="00E23AF3">
              <w:rPr>
                <w:color w:val="000000"/>
                <w:sz w:val="18"/>
                <w:szCs w:val="18"/>
                <w:lang w:val="fr-CH"/>
              </w:rPr>
              <w:t> </w:t>
            </w:r>
            <w:r w:rsidRPr="00905B6F">
              <w:rPr>
                <w:color w:val="000000"/>
                <w:sz w:val="18"/>
                <w:szCs w:val="18"/>
                <w:lang w:val="fr-CH"/>
              </w:rPr>
              <w:t>% de</w:t>
            </w:r>
            <w:r w:rsidR="00B959C3" w:rsidRPr="00905B6F">
              <w:rPr>
                <w:color w:val="000000"/>
                <w:sz w:val="18"/>
                <w:szCs w:val="18"/>
                <w:lang w:val="fr-CH"/>
              </w:rPr>
              <w:t xml:space="preserve"> 7</w:t>
            </w:r>
            <w:r w:rsidR="00BC6988">
              <w:rPr>
                <w:color w:val="000000"/>
                <w:sz w:val="18"/>
                <w:szCs w:val="18"/>
                <w:lang w:val="fr-CH"/>
              </w:rPr>
              <w:t>,00</w:t>
            </w:r>
          </w:p>
        </w:tc>
        <w:tc>
          <w:tcPr>
            <w:tcW w:w="1079" w:type="pct"/>
            <w:gridSpan w:val="3"/>
            <w:shd w:val="clear" w:color="auto" w:fill="auto"/>
            <w:noWrap/>
            <w:vAlign w:val="bottom"/>
            <w:hideMark/>
          </w:tcPr>
          <w:p w14:paraId="404580BF" w14:textId="039DB698" w:rsidR="00B959C3" w:rsidRPr="00905B6F" w:rsidRDefault="00B959C3" w:rsidP="00BB6974">
            <w:pPr>
              <w:tabs>
                <w:tab w:val="clear" w:pos="1247"/>
                <w:tab w:val="clear" w:pos="1814"/>
                <w:tab w:val="clear" w:pos="2381"/>
                <w:tab w:val="clear" w:pos="2948"/>
                <w:tab w:val="clear" w:pos="3515"/>
              </w:tabs>
              <w:spacing w:before="40" w:after="20"/>
              <w:jc w:val="right"/>
              <w:rPr>
                <w:color w:val="000000"/>
                <w:sz w:val="18"/>
                <w:szCs w:val="18"/>
                <w:lang w:val="fr-CH"/>
              </w:rPr>
            </w:pPr>
            <w:r w:rsidRPr="00905B6F">
              <w:rPr>
                <w:color w:val="000000"/>
                <w:sz w:val="18"/>
                <w:szCs w:val="18"/>
                <w:lang w:val="fr-CH"/>
              </w:rPr>
              <w:t>20</w:t>
            </w:r>
            <w:r w:rsidR="00E23AF3">
              <w:rPr>
                <w:color w:val="000000"/>
                <w:sz w:val="18"/>
                <w:szCs w:val="18"/>
                <w:lang w:val="fr-CH"/>
              </w:rPr>
              <w:t> </w:t>
            </w:r>
            <w:r w:rsidRPr="00905B6F">
              <w:rPr>
                <w:color w:val="000000"/>
                <w:sz w:val="18"/>
                <w:szCs w:val="18"/>
                <w:lang w:val="fr-CH"/>
              </w:rPr>
              <w:t xml:space="preserve">% </w:t>
            </w:r>
            <w:r w:rsidR="00BB6974" w:rsidRPr="00905B6F">
              <w:rPr>
                <w:color w:val="000000"/>
                <w:sz w:val="18"/>
                <w:szCs w:val="18"/>
                <w:lang w:val="fr-CH"/>
              </w:rPr>
              <w:t>de</w:t>
            </w:r>
            <w:r w:rsidRPr="00905B6F">
              <w:rPr>
                <w:color w:val="000000"/>
                <w:sz w:val="18"/>
                <w:szCs w:val="18"/>
                <w:lang w:val="fr-CH"/>
              </w:rPr>
              <w:t xml:space="preserve"> 2</w:t>
            </w:r>
          </w:p>
        </w:tc>
        <w:tc>
          <w:tcPr>
            <w:tcW w:w="1104" w:type="pct"/>
            <w:gridSpan w:val="2"/>
            <w:shd w:val="clear" w:color="auto" w:fill="auto"/>
            <w:noWrap/>
            <w:vAlign w:val="bottom"/>
            <w:hideMark/>
          </w:tcPr>
          <w:p w14:paraId="4568FB19"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384" w:type="pct"/>
            <w:shd w:val="clear" w:color="auto" w:fill="auto"/>
            <w:noWrap/>
            <w:vAlign w:val="bottom"/>
            <w:hideMark/>
          </w:tcPr>
          <w:p w14:paraId="6775D482" w14:textId="1358D082" w:rsidR="00B959C3" w:rsidRPr="001828CD" w:rsidRDefault="007E4291"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B959C3" w:rsidRPr="001828CD">
              <w:rPr>
                <w:color w:val="000000"/>
                <w:sz w:val="18"/>
                <w:szCs w:val="18"/>
              </w:rPr>
              <w:t>80</w:t>
            </w:r>
          </w:p>
        </w:tc>
      </w:tr>
      <w:tr w:rsidR="00B959C3" w:rsidRPr="001828CD" w14:paraId="3394E2EC" w14:textId="77777777" w:rsidTr="00654183">
        <w:trPr>
          <w:trHeight w:val="68"/>
        </w:trPr>
        <w:tc>
          <w:tcPr>
            <w:tcW w:w="1231" w:type="pct"/>
            <w:shd w:val="clear" w:color="auto" w:fill="auto"/>
            <w:noWrap/>
            <w:vAlign w:val="bottom"/>
            <w:hideMark/>
          </w:tcPr>
          <w:p w14:paraId="29313ECE" w14:textId="025E5A78" w:rsidR="00B959C3" w:rsidRPr="001828CD" w:rsidRDefault="002504A2" w:rsidP="00654183">
            <w:pPr>
              <w:tabs>
                <w:tab w:val="clear" w:pos="1247"/>
                <w:tab w:val="clear" w:pos="1814"/>
                <w:tab w:val="clear" w:pos="2381"/>
                <w:tab w:val="clear" w:pos="2948"/>
                <w:tab w:val="clear" w:pos="3515"/>
              </w:tabs>
              <w:spacing w:before="40" w:after="20"/>
              <w:ind w:left="227"/>
              <w:rPr>
                <w:color w:val="000000"/>
                <w:sz w:val="18"/>
                <w:szCs w:val="18"/>
              </w:rPr>
            </w:pPr>
            <w:r>
              <w:rPr>
                <w:color w:val="000000"/>
                <w:sz w:val="18"/>
                <w:szCs w:val="18"/>
              </w:rPr>
              <w:t xml:space="preserve">P-3 </w:t>
            </w:r>
          </w:p>
        </w:tc>
        <w:tc>
          <w:tcPr>
            <w:tcW w:w="1202" w:type="pct"/>
            <w:shd w:val="clear" w:color="auto" w:fill="auto"/>
            <w:vAlign w:val="center"/>
            <w:hideMark/>
          </w:tcPr>
          <w:p w14:paraId="61432546" w14:textId="34FDEBC6" w:rsidR="00B959C3" w:rsidRPr="001828CD" w:rsidRDefault="007E4291" w:rsidP="007E4291">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20</w:t>
            </w:r>
            <w:r w:rsidR="00E23AF3">
              <w:rPr>
                <w:color w:val="000000"/>
                <w:sz w:val="18"/>
                <w:szCs w:val="18"/>
              </w:rPr>
              <w:t> </w:t>
            </w:r>
            <w:r>
              <w:rPr>
                <w:color w:val="000000"/>
                <w:sz w:val="18"/>
                <w:szCs w:val="18"/>
              </w:rPr>
              <w:t>% de</w:t>
            </w:r>
            <w:r w:rsidR="00B959C3" w:rsidRPr="001828CD">
              <w:rPr>
                <w:color w:val="000000"/>
                <w:sz w:val="18"/>
                <w:szCs w:val="18"/>
              </w:rPr>
              <w:t xml:space="preserve"> 16</w:t>
            </w:r>
            <w:r w:rsidR="00B942EA">
              <w:rPr>
                <w:color w:val="000000"/>
                <w:sz w:val="18"/>
                <w:szCs w:val="18"/>
              </w:rPr>
              <w:t>,00</w:t>
            </w:r>
          </w:p>
        </w:tc>
        <w:tc>
          <w:tcPr>
            <w:tcW w:w="1079" w:type="pct"/>
            <w:gridSpan w:val="3"/>
            <w:shd w:val="clear" w:color="auto" w:fill="auto"/>
            <w:noWrap/>
            <w:vAlign w:val="bottom"/>
            <w:hideMark/>
          </w:tcPr>
          <w:p w14:paraId="67F9D05C" w14:textId="70C965E2" w:rsidR="00B959C3" w:rsidRPr="001828CD" w:rsidRDefault="00BB6974"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20</w:t>
            </w:r>
            <w:r w:rsidR="00E23AF3">
              <w:rPr>
                <w:color w:val="000000"/>
                <w:sz w:val="18"/>
                <w:szCs w:val="18"/>
              </w:rPr>
              <w:t> </w:t>
            </w:r>
            <w:r>
              <w:rPr>
                <w:color w:val="000000"/>
                <w:sz w:val="18"/>
                <w:szCs w:val="18"/>
              </w:rPr>
              <w:t>% de</w:t>
            </w:r>
            <w:r w:rsidR="007E4291">
              <w:rPr>
                <w:color w:val="000000"/>
                <w:sz w:val="18"/>
                <w:szCs w:val="18"/>
              </w:rPr>
              <w:t xml:space="preserve"> 4,</w:t>
            </w:r>
            <w:r w:rsidR="00B959C3" w:rsidRPr="001828CD">
              <w:rPr>
                <w:color w:val="000000"/>
                <w:sz w:val="18"/>
                <w:szCs w:val="18"/>
              </w:rPr>
              <w:t>5</w:t>
            </w:r>
          </w:p>
        </w:tc>
        <w:tc>
          <w:tcPr>
            <w:tcW w:w="1104" w:type="pct"/>
            <w:gridSpan w:val="2"/>
            <w:shd w:val="clear" w:color="auto" w:fill="auto"/>
            <w:noWrap/>
            <w:vAlign w:val="bottom"/>
            <w:hideMark/>
          </w:tcPr>
          <w:p w14:paraId="75BB42C5" w14:textId="2C49ADC2" w:rsidR="00B959C3" w:rsidRPr="001828CD" w:rsidRDefault="007E4291"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274650">
              <w:rPr>
                <w:color w:val="000000"/>
                <w:sz w:val="18"/>
                <w:szCs w:val="18"/>
              </w:rPr>
              <w:t>,00</w:t>
            </w:r>
          </w:p>
        </w:tc>
        <w:tc>
          <w:tcPr>
            <w:tcW w:w="384" w:type="pct"/>
            <w:shd w:val="clear" w:color="auto" w:fill="auto"/>
            <w:noWrap/>
            <w:vAlign w:val="bottom"/>
            <w:hideMark/>
          </w:tcPr>
          <w:p w14:paraId="2BFD683E" w14:textId="7F474A5E" w:rsidR="00B959C3" w:rsidRPr="001828CD" w:rsidRDefault="007E4291"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5,</w:t>
            </w:r>
            <w:r w:rsidR="00B959C3" w:rsidRPr="001828CD">
              <w:rPr>
                <w:color w:val="000000"/>
                <w:sz w:val="18"/>
                <w:szCs w:val="18"/>
              </w:rPr>
              <w:t>10</w:t>
            </w:r>
          </w:p>
        </w:tc>
      </w:tr>
      <w:tr w:rsidR="00B959C3" w:rsidRPr="001828CD" w14:paraId="0CD06A12" w14:textId="77777777" w:rsidTr="00654183">
        <w:trPr>
          <w:trHeight w:val="97"/>
        </w:trPr>
        <w:tc>
          <w:tcPr>
            <w:tcW w:w="1231" w:type="pct"/>
            <w:tcBorders>
              <w:bottom w:val="single" w:sz="4" w:space="0" w:color="auto"/>
            </w:tcBorders>
            <w:shd w:val="clear" w:color="auto" w:fill="auto"/>
            <w:noWrap/>
            <w:vAlign w:val="bottom"/>
            <w:hideMark/>
          </w:tcPr>
          <w:p w14:paraId="71D24DC0" w14:textId="78C16E07" w:rsidR="00B959C3" w:rsidRPr="001828CD" w:rsidRDefault="002504A2" w:rsidP="00654183">
            <w:pPr>
              <w:tabs>
                <w:tab w:val="clear" w:pos="1247"/>
                <w:tab w:val="clear" w:pos="1814"/>
                <w:tab w:val="clear" w:pos="2381"/>
                <w:tab w:val="clear" w:pos="2948"/>
                <w:tab w:val="clear" w:pos="3515"/>
              </w:tabs>
              <w:spacing w:before="40" w:after="20"/>
              <w:ind w:left="227"/>
              <w:rPr>
                <w:color w:val="000000"/>
                <w:sz w:val="18"/>
                <w:szCs w:val="18"/>
              </w:rPr>
            </w:pPr>
            <w:r>
              <w:rPr>
                <w:color w:val="000000"/>
                <w:sz w:val="18"/>
                <w:szCs w:val="18"/>
              </w:rPr>
              <w:t xml:space="preserve">P-2 </w:t>
            </w:r>
          </w:p>
        </w:tc>
        <w:tc>
          <w:tcPr>
            <w:tcW w:w="1202" w:type="pct"/>
            <w:tcBorders>
              <w:bottom w:val="single" w:sz="4" w:space="0" w:color="auto"/>
            </w:tcBorders>
            <w:shd w:val="clear" w:color="auto" w:fill="auto"/>
            <w:vAlign w:val="center"/>
            <w:hideMark/>
          </w:tcPr>
          <w:p w14:paraId="2BFDACAC" w14:textId="62A4FAEA" w:rsidR="00B959C3" w:rsidRPr="001828CD" w:rsidRDefault="007E4291" w:rsidP="007E4291">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20</w:t>
            </w:r>
            <w:r w:rsidR="00E23AF3">
              <w:rPr>
                <w:color w:val="000000"/>
                <w:sz w:val="18"/>
                <w:szCs w:val="18"/>
              </w:rPr>
              <w:t> </w:t>
            </w:r>
            <w:r>
              <w:rPr>
                <w:color w:val="000000"/>
                <w:sz w:val="18"/>
                <w:szCs w:val="18"/>
              </w:rPr>
              <w:t>% de 2</w:t>
            </w:r>
            <w:r w:rsidR="00B942EA">
              <w:rPr>
                <w:color w:val="000000"/>
                <w:sz w:val="18"/>
                <w:szCs w:val="18"/>
              </w:rPr>
              <w:t>,00</w:t>
            </w:r>
          </w:p>
        </w:tc>
        <w:tc>
          <w:tcPr>
            <w:tcW w:w="1079" w:type="pct"/>
            <w:gridSpan w:val="3"/>
            <w:tcBorders>
              <w:bottom w:val="single" w:sz="4" w:space="0" w:color="auto"/>
            </w:tcBorders>
            <w:shd w:val="clear" w:color="auto" w:fill="auto"/>
            <w:noWrap/>
            <w:vAlign w:val="bottom"/>
            <w:hideMark/>
          </w:tcPr>
          <w:p w14:paraId="3DD607F2" w14:textId="77777777" w:rsidR="00B959C3" w:rsidRPr="001828CD" w:rsidRDefault="00B959C3" w:rsidP="0065418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c>
          <w:tcPr>
            <w:tcW w:w="1104" w:type="pct"/>
            <w:gridSpan w:val="2"/>
            <w:tcBorders>
              <w:bottom w:val="single" w:sz="4" w:space="0" w:color="auto"/>
            </w:tcBorders>
            <w:shd w:val="clear" w:color="auto" w:fill="auto"/>
            <w:noWrap/>
            <w:vAlign w:val="bottom"/>
            <w:hideMark/>
          </w:tcPr>
          <w:p w14:paraId="56FB9100" w14:textId="77777777" w:rsidR="00B959C3" w:rsidRPr="001828CD" w:rsidRDefault="00B959C3" w:rsidP="00654183">
            <w:pPr>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384" w:type="pct"/>
            <w:tcBorders>
              <w:bottom w:val="single" w:sz="4" w:space="0" w:color="auto"/>
            </w:tcBorders>
            <w:shd w:val="clear" w:color="auto" w:fill="auto"/>
            <w:noWrap/>
            <w:vAlign w:val="bottom"/>
            <w:hideMark/>
          </w:tcPr>
          <w:p w14:paraId="0BF68EC9" w14:textId="05B3DF18" w:rsidR="00B959C3" w:rsidRPr="001828CD" w:rsidRDefault="007E4291"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0,</w:t>
            </w:r>
            <w:r w:rsidR="00B959C3" w:rsidRPr="001828CD">
              <w:rPr>
                <w:color w:val="000000"/>
                <w:sz w:val="18"/>
                <w:szCs w:val="18"/>
              </w:rPr>
              <w:t>40</w:t>
            </w:r>
          </w:p>
        </w:tc>
      </w:tr>
      <w:tr w:rsidR="00B959C3" w:rsidRPr="001828CD" w14:paraId="57C32FE4" w14:textId="77777777" w:rsidTr="00654183">
        <w:trPr>
          <w:trHeight w:val="58"/>
        </w:trPr>
        <w:tc>
          <w:tcPr>
            <w:tcW w:w="1231" w:type="pct"/>
            <w:tcBorders>
              <w:top w:val="single" w:sz="4" w:space="0" w:color="auto"/>
              <w:bottom w:val="single" w:sz="4" w:space="0" w:color="auto"/>
            </w:tcBorders>
            <w:shd w:val="clear" w:color="auto" w:fill="auto"/>
            <w:noWrap/>
            <w:vAlign w:val="bottom"/>
            <w:hideMark/>
          </w:tcPr>
          <w:p w14:paraId="3281FF18" w14:textId="5D7BEB74" w:rsidR="00B959C3" w:rsidRPr="001828CD" w:rsidRDefault="00B942EA" w:rsidP="00654183">
            <w:pPr>
              <w:tabs>
                <w:tab w:val="clear" w:pos="1247"/>
                <w:tab w:val="clear" w:pos="1814"/>
                <w:tab w:val="clear" w:pos="2381"/>
                <w:tab w:val="clear" w:pos="2948"/>
                <w:tab w:val="clear" w:pos="3515"/>
              </w:tabs>
              <w:spacing w:before="40" w:after="20"/>
              <w:ind w:left="340"/>
              <w:rPr>
                <w:b/>
                <w:iCs/>
                <w:color w:val="000000"/>
                <w:sz w:val="18"/>
                <w:szCs w:val="18"/>
              </w:rPr>
            </w:pPr>
            <w:r>
              <w:rPr>
                <w:b/>
                <w:iCs/>
                <w:color w:val="000000"/>
                <w:sz w:val="18"/>
                <w:szCs w:val="18"/>
              </w:rPr>
              <w:t>T</w:t>
            </w:r>
            <w:r w:rsidR="00B959C3" w:rsidRPr="001828CD">
              <w:rPr>
                <w:b/>
                <w:iCs/>
                <w:color w:val="000000"/>
                <w:sz w:val="18"/>
                <w:szCs w:val="18"/>
              </w:rPr>
              <w:t>otal</w:t>
            </w:r>
            <w:r>
              <w:rPr>
                <w:b/>
                <w:iCs/>
                <w:color w:val="000000"/>
                <w:sz w:val="18"/>
                <w:szCs w:val="18"/>
              </w:rPr>
              <w:t xml:space="preserve"> partiel</w:t>
            </w:r>
            <w:r w:rsidR="00B959C3" w:rsidRPr="001828CD">
              <w:rPr>
                <w:b/>
                <w:iCs/>
                <w:color w:val="000000"/>
                <w:sz w:val="18"/>
                <w:szCs w:val="18"/>
              </w:rPr>
              <w:t xml:space="preserve"> A</w:t>
            </w:r>
          </w:p>
        </w:tc>
        <w:tc>
          <w:tcPr>
            <w:tcW w:w="1202" w:type="pct"/>
            <w:tcBorders>
              <w:top w:val="single" w:sz="4" w:space="0" w:color="auto"/>
              <w:bottom w:val="single" w:sz="4" w:space="0" w:color="auto"/>
            </w:tcBorders>
            <w:shd w:val="clear" w:color="auto" w:fill="auto"/>
            <w:noWrap/>
            <w:vAlign w:val="bottom"/>
            <w:hideMark/>
          </w:tcPr>
          <w:p w14:paraId="40240B4B" w14:textId="5E65C56A" w:rsidR="00B959C3" w:rsidRPr="001828CD" w:rsidRDefault="00905B6F"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6,</w:t>
            </w:r>
            <w:r w:rsidR="00B959C3" w:rsidRPr="001828CD">
              <w:rPr>
                <w:b/>
                <w:iCs/>
                <w:color w:val="000000"/>
                <w:sz w:val="18"/>
                <w:szCs w:val="18"/>
              </w:rPr>
              <w:t>80</w:t>
            </w:r>
          </w:p>
        </w:tc>
        <w:tc>
          <w:tcPr>
            <w:tcW w:w="1079" w:type="pct"/>
            <w:gridSpan w:val="3"/>
            <w:tcBorders>
              <w:top w:val="single" w:sz="4" w:space="0" w:color="auto"/>
              <w:bottom w:val="single" w:sz="4" w:space="0" w:color="auto"/>
            </w:tcBorders>
            <w:shd w:val="clear" w:color="auto" w:fill="auto"/>
            <w:noWrap/>
            <w:vAlign w:val="bottom"/>
            <w:hideMark/>
          </w:tcPr>
          <w:p w14:paraId="41D21257" w14:textId="76120BDD" w:rsidR="00B959C3" w:rsidRPr="001828CD" w:rsidRDefault="00905B6F"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1,</w:t>
            </w:r>
            <w:r w:rsidR="00B959C3" w:rsidRPr="001828CD">
              <w:rPr>
                <w:b/>
                <w:iCs/>
                <w:color w:val="000000"/>
                <w:sz w:val="18"/>
                <w:szCs w:val="18"/>
              </w:rPr>
              <w:t>30</w:t>
            </w:r>
          </w:p>
        </w:tc>
        <w:tc>
          <w:tcPr>
            <w:tcW w:w="1104" w:type="pct"/>
            <w:gridSpan w:val="2"/>
            <w:tcBorders>
              <w:top w:val="single" w:sz="4" w:space="0" w:color="auto"/>
              <w:bottom w:val="single" w:sz="4" w:space="0" w:color="auto"/>
            </w:tcBorders>
            <w:shd w:val="clear" w:color="auto" w:fill="auto"/>
            <w:noWrap/>
            <w:vAlign w:val="bottom"/>
            <w:hideMark/>
          </w:tcPr>
          <w:p w14:paraId="33166222" w14:textId="219BC385" w:rsidR="00B959C3" w:rsidRPr="001828CD" w:rsidRDefault="00905B6F"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1</w:t>
            </w:r>
            <w:r w:rsidR="00274650">
              <w:rPr>
                <w:b/>
                <w:iCs/>
                <w:color w:val="000000"/>
                <w:sz w:val="18"/>
                <w:szCs w:val="18"/>
              </w:rPr>
              <w:t>,00</w:t>
            </w:r>
          </w:p>
        </w:tc>
        <w:tc>
          <w:tcPr>
            <w:tcW w:w="384" w:type="pct"/>
            <w:tcBorders>
              <w:top w:val="single" w:sz="4" w:space="0" w:color="auto"/>
              <w:bottom w:val="single" w:sz="4" w:space="0" w:color="auto"/>
            </w:tcBorders>
            <w:shd w:val="clear" w:color="auto" w:fill="auto"/>
            <w:noWrap/>
            <w:vAlign w:val="bottom"/>
            <w:hideMark/>
          </w:tcPr>
          <w:p w14:paraId="7CBF739C" w14:textId="35C7B8FE" w:rsidR="00B959C3" w:rsidRPr="001828CD" w:rsidRDefault="00905B6F"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9,</w:t>
            </w:r>
            <w:r w:rsidR="00B959C3" w:rsidRPr="001828CD">
              <w:rPr>
                <w:b/>
                <w:iCs/>
                <w:color w:val="000000"/>
                <w:sz w:val="18"/>
                <w:szCs w:val="18"/>
              </w:rPr>
              <w:t>10</w:t>
            </w:r>
          </w:p>
        </w:tc>
      </w:tr>
      <w:tr w:rsidR="00B959C3" w:rsidRPr="00A84D20" w14:paraId="0EB963DF" w14:textId="77777777" w:rsidTr="00654183">
        <w:trPr>
          <w:trHeight w:val="58"/>
        </w:trPr>
        <w:tc>
          <w:tcPr>
            <w:tcW w:w="1231" w:type="pct"/>
            <w:tcBorders>
              <w:top w:val="single" w:sz="4" w:space="0" w:color="auto"/>
            </w:tcBorders>
            <w:shd w:val="clear" w:color="auto" w:fill="auto"/>
            <w:noWrap/>
            <w:vAlign w:val="bottom"/>
            <w:hideMark/>
          </w:tcPr>
          <w:p w14:paraId="7611205B" w14:textId="0B04DB0C" w:rsidR="00B959C3" w:rsidRPr="00905B6F" w:rsidRDefault="00B959C3" w:rsidP="00B942EA">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xml:space="preserve">B. </w:t>
            </w:r>
            <w:r w:rsidR="00B942EA">
              <w:rPr>
                <w:color w:val="000000"/>
                <w:sz w:val="18"/>
                <w:szCs w:val="18"/>
                <w:lang w:val="fr-CH"/>
              </w:rPr>
              <w:t>Agents</w:t>
            </w:r>
            <w:r w:rsidR="00905B6F" w:rsidRPr="00905B6F">
              <w:rPr>
                <w:color w:val="000000"/>
                <w:sz w:val="18"/>
                <w:szCs w:val="18"/>
                <w:lang w:val="fr-CH"/>
              </w:rPr>
              <w:t xml:space="preserve"> des services généraux</w:t>
            </w:r>
          </w:p>
        </w:tc>
        <w:tc>
          <w:tcPr>
            <w:tcW w:w="1202" w:type="pct"/>
            <w:tcBorders>
              <w:top w:val="single" w:sz="4" w:space="0" w:color="auto"/>
            </w:tcBorders>
            <w:shd w:val="clear" w:color="auto" w:fill="auto"/>
            <w:vAlign w:val="center"/>
            <w:hideMark/>
          </w:tcPr>
          <w:p w14:paraId="0A133DCB" w14:textId="77777777" w:rsidR="00B959C3" w:rsidRPr="00905B6F" w:rsidRDefault="00B959C3" w:rsidP="00654183">
            <w:pPr>
              <w:tabs>
                <w:tab w:val="clear" w:pos="1247"/>
                <w:tab w:val="clear" w:pos="1814"/>
                <w:tab w:val="clear" w:pos="2381"/>
                <w:tab w:val="clear" w:pos="2948"/>
                <w:tab w:val="clear" w:pos="3515"/>
              </w:tabs>
              <w:spacing w:before="40" w:after="20"/>
              <w:jc w:val="center"/>
              <w:rPr>
                <w:color w:val="000000"/>
                <w:sz w:val="18"/>
                <w:szCs w:val="18"/>
                <w:lang w:val="fr-CH"/>
              </w:rPr>
            </w:pPr>
            <w:r w:rsidRPr="00905B6F">
              <w:rPr>
                <w:color w:val="000000"/>
                <w:sz w:val="18"/>
                <w:szCs w:val="18"/>
                <w:lang w:val="fr-CH"/>
              </w:rPr>
              <w:t> </w:t>
            </w:r>
          </w:p>
        </w:tc>
        <w:tc>
          <w:tcPr>
            <w:tcW w:w="1079" w:type="pct"/>
            <w:gridSpan w:val="3"/>
            <w:tcBorders>
              <w:top w:val="single" w:sz="4" w:space="0" w:color="auto"/>
            </w:tcBorders>
            <w:shd w:val="clear" w:color="auto" w:fill="auto"/>
            <w:noWrap/>
            <w:vAlign w:val="bottom"/>
            <w:hideMark/>
          </w:tcPr>
          <w:p w14:paraId="1F365C9B"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1104" w:type="pct"/>
            <w:gridSpan w:val="2"/>
            <w:tcBorders>
              <w:top w:val="single" w:sz="4" w:space="0" w:color="auto"/>
            </w:tcBorders>
            <w:shd w:val="clear" w:color="auto" w:fill="auto"/>
            <w:noWrap/>
            <w:vAlign w:val="bottom"/>
            <w:hideMark/>
          </w:tcPr>
          <w:p w14:paraId="038B6135"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c>
          <w:tcPr>
            <w:tcW w:w="384" w:type="pct"/>
            <w:tcBorders>
              <w:top w:val="single" w:sz="4" w:space="0" w:color="auto"/>
            </w:tcBorders>
            <w:shd w:val="clear" w:color="auto" w:fill="auto"/>
            <w:noWrap/>
            <w:vAlign w:val="bottom"/>
            <w:hideMark/>
          </w:tcPr>
          <w:p w14:paraId="151CD8E4" w14:textId="77777777" w:rsidR="00B959C3" w:rsidRPr="00905B6F" w:rsidRDefault="00B959C3" w:rsidP="00654183">
            <w:pPr>
              <w:tabs>
                <w:tab w:val="clear" w:pos="1247"/>
                <w:tab w:val="clear" w:pos="1814"/>
                <w:tab w:val="clear" w:pos="2381"/>
                <w:tab w:val="clear" w:pos="2948"/>
                <w:tab w:val="clear" w:pos="3515"/>
              </w:tabs>
              <w:spacing w:before="40" w:after="20"/>
              <w:rPr>
                <w:color w:val="000000"/>
                <w:sz w:val="18"/>
                <w:szCs w:val="18"/>
                <w:lang w:val="fr-CH"/>
              </w:rPr>
            </w:pPr>
            <w:r w:rsidRPr="00905B6F">
              <w:rPr>
                <w:color w:val="000000"/>
                <w:sz w:val="18"/>
                <w:szCs w:val="18"/>
                <w:lang w:val="fr-CH"/>
              </w:rPr>
              <w:t> </w:t>
            </w:r>
          </w:p>
        </w:tc>
      </w:tr>
      <w:tr w:rsidR="00B959C3" w:rsidRPr="001828CD" w14:paraId="3CD6523A" w14:textId="77777777" w:rsidTr="00654183">
        <w:trPr>
          <w:trHeight w:val="68"/>
        </w:trPr>
        <w:tc>
          <w:tcPr>
            <w:tcW w:w="1231" w:type="pct"/>
            <w:tcBorders>
              <w:bottom w:val="single" w:sz="4" w:space="0" w:color="auto"/>
            </w:tcBorders>
            <w:shd w:val="clear" w:color="auto" w:fill="auto"/>
            <w:noWrap/>
            <w:vAlign w:val="bottom"/>
            <w:hideMark/>
          </w:tcPr>
          <w:p w14:paraId="79390899" w14:textId="1351ECDE" w:rsidR="00B959C3" w:rsidRPr="00CC191A" w:rsidRDefault="00B959C3" w:rsidP="00654183">
            <w:pPr>
              <w:tabs>
                <w:tab w:val="clear" w:pos="1247"/>
                <w:tab w:val="clear" w:pos="1814"/>
                <w:tab w:val="clear" w:pos="2381"/>
                <w:tab w:val="clear" w:pos="2948"/>
                <w:tab w:val="clear" w:pos="3515"/>
              </w:tabs>
              <w:spacing w:before="40" w:after="20"/>
              <w:ind w:left="227"/>
              <w:rPr>
                <w:color w:val="000000"/>
                <w:sz w:val="18"/>
                <w:szCs w:val="18"/>
                <w:lang w:val="fr-CH"/>
              </w:rPr>
            </w:pPr>
          </w:p>
        </w:tc>
        <w:tc>
          <w:tcPr>
            <w:tcW w:w="1202" w:type="pct"/>
            <w:tcBorders>
              <w:bottom w:val="single" w:sz="4" w:space="0" w:color="auto"/>
            </w:tcBorders>
            <w:shd w:val="clear" w:color="auto" w:fill="auto"/>
            <w:vAlign w:val="center"/>
            <w:hideMark/>
          </w:tcPr>
          <w:p w14:paraId="1C0BC454" w14:textId="7EBD2A66" w:rsidR="00B959C3" w:rsidRPr="001828CD" w:rsidRDefault="00E9148C"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20</w:t>
            </w:r>
            <w:r w:rsidR="00E23AF3">
              <w:rPr>
                <w:color w:val="000000"/>
                <w:sz w:val="18"/>
                <w:szCs w:val="18"/>
              </w:rPr>
              <w:t> </w:t>
            </w:r>
            <w:r>
              <w:rPr>
                <w:color w:val="000000"/>
                <w:sz w:val="18"/>
                <w:szCs w:val="18"/>
              </w:rPr>
              <w:t>% de 12</w:t>
            </w:r>
            <w:r w:rsidR="00CC191A">
              <w:rPr>
                <w:color w:val="000000"/>
                <w:sz w:val="18"/>
                <w:szCs w:val="18"/>
              </w:rPr>
              <w:t>,00</w:t>
            </w:r>
          </w:p>
        </w:tc>
        <w:tc>
          <w:tcPr>
            <w:tcW w:w="1079" w:type="pct"/>
            <w:gridSpan w:val="3"/>
            <w:tcBorders>
              <w:bottom w:val="single" w:sz="4" w:space="0" w:color="auto"/>
            </w:tcBorders>
            <w:shd w:val="clear" w:color="auto" w:fill="auto"/>
            <w:noWrap/>
            <w:vAlign w:val="bottom"/>
            <w:hideMark/>
          </w:tcPr>
          <w:p w14:paraId="0A778FFA" w14:textId="5CE5C54A" w:rsidR="00B959C3" w:rsidRPr="001828CD" w:rsidRDefault="00E9148C"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20</w:t>
            </w:r>
            <w:r w:rsidR="00E23AF3">
              <w:rPr>
                <w:color w:val="000000"/>
                <w:sz w:val="18"/>
                <w:szCs w:val="18"/>
              </w:rPr>
              <w:t> </w:t>
            </w:r>
            <w:r>
              <w:rPr>
                <w:color w:val="000000"/>
                <w:sz w:val="18"/>
                <w:szCs w:val="18"/>
              </w:rPr>
              <w:t>% de</w:t>
            </w:r>
            <w:r w:rsidR="00B959C3" w:rsidRPr="001828CD">
              <w:rPr>
                <w:color w:val="000000"/>
                <w:sz w:val="18"/>
                <w:szCs w:val="18"/>
              </w:rPr>
              <w:t xml:space="preserve"> 4</w:t>
            </w:r>
          </w:p>
        </w:tc>
        <w:tc>
          <w:tcPr>
            <w:tcW w:w="1104" w:type="pct"/>
            <w:gridSpan w:val="2"/>
            <w:tcBorders>
              <w:bottom w:val="single" w:sz="4" w:space="0" w:color="auto"/>
            </w:tcBorders>
            <w:shd w:val="clear" w:color="auto" w:fill="auto"/>
            <w:noWrap/>
            <w:vAlign w:val="bottom"/>
            <w:hideMark/>
          </w:tcPr>
          <w:p w14:paraId="27DB2BE9" w14:textId="6FA88933" w:rsidR="00B959C3" w:rsidRPr="001828CD" w:rsidRDefault="00E9148C"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274650">
              <w:rPr>
                <w:color w:val="000000"/>
                <w:sz w:val="18"/>
                <w:szCs w:val="18"/>
              </w:rPr>
              <w:t>,00</w:t>
            </w:r>
          </w:p>
        </w:tc>
        <w:tc>
          <w:tcPr>
            <w:tcW w:w="384" w:type="pct"/>
            <w:tcBorders>
              <w:bottom w:val="single" w:sz="4" w:space="0" w:color="auto"/>
            </w:tcBorders>
            <w:shd w:val="clear" w:color="auto" w:fill="auto"/>
            <w:noWrap/>
            <w:vAlign w:val="bottom"/>
            <w:hideMark/>
          </w:tcPr>
          <w:p w14:paraId="1E304511" w14:textId="48C1489D" w:rsidR="00B959C3" w:rsidRPr="001828CD" w:rsidRDefault="00E9148C"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4,</w:t>
            </w:r>
            <w:r w:rsidR="00B959C3" w:rsidRPr="001828CD">
              <w:rPr>
                <w:color w:val="000000"/>
                <w:sz w:val="18"/>
                <w:szCs w:val="18"/>
              </w:rPr>
              <w:t>20</w:t>
            </w:r>
          </w:p>
        </w:tc>
      </w:tr>
      <w:tr w:rsidR="00B959C3" w:rsidRPr="001828CD" w14:paraId="51BF5BCC" w14:textId="77777777" w:rsidTr="00654183">
        <w:trPr>
          <w:trHeight w:val="58"/>
        </w:trPr>
        <w:tc>
          <w:tcPr>
            <w:tcW w:w="1231" w:type="pct"/>
            <w:tcBorders>
              <w:top w:val="single" w:sz="4" w:space="0" w:color="auto"/>
              <w:bottom w:val="single" w:sz="4" w:space="0" w:color="auto"/>
            </w:tcBorders>
            <w:shd w:val="clear" w:color="auto" w:fill="auto"/>
            <w:noWrap/>
            <w:vAlign w:val="bottom"/>
            <w:hideMark/>
          </w:tcPr>
          <w:p w14:paraId="051D45A1" w14:textId="219B41D2" w:rsidR="00B959C3" w:rsidRPr="001828CD" w:rsidRDefault="00B942EA" w:rsidP="00654183">
            <w:pPr>
              <w:tabs>
                <w:tab w:val="clear" w:pos="1247"/>
                <w:tab w:val="clear" w:pos="1814"/>
                <w:tab w:val="clear" w:pos="2381"/>
                <w:tab w:val="clear" w:pos="2948"/>
                <w:tab w:val="clear" w:pos="3515"/>
              </w:tabs>
              <w:spacing w:before="40" w:after="20"/>
              <w:ind w:left="340"/>
              <w:rPr>
                <w:i/>
                <w:iCs/>
                <w:color w:val="000000"/>
                <w:sz w:val="18"/>
                <w:szCs w:val="18"/>
              </w:rPr>
            </w:pPr>
            <w:r>
              <w:rPr>
                <w:b/>
                <w:iCs/>
                <w:color w:val="000000"/>
                <w:sz w:val="18"/>
                <w:szCs w:val="18"/>
              </w:rPr>
              <w:t>Total partiel</w:t>
            </w:r>
            <w:r w:rsidR="00B959C3" w:rsidRPr="001828CD">
              <w:rPr>
                <w:b/>
                <w:iCs/>
                <w:color w:val="000000"/>
                <w:sz w:val="18"/>
                <w:szCs w:val="18"/>
              </w:rPr>
              <w:t xml:space="preserve"> B</w:t>
            </w:r>
          </w:p>
        </w:tc>
        <w:tc>
          <w:tcPr>
            <w:tcW w:w="1202" w:type="pct"/>
            <w:tcBorders>
              <w:top w:val="single" w:sz="4" w:space="0" w:color="auto"/>
              <w:bottom w:val="single" w:sz="4" w:space="0" w:color="auto"/>
            </w:tcBorders>
            <w:shd w:val="clear" w:color="auto" w:fill="auto"/>
            <w:noWrap/>
            <w:vAlign w:val="bottom"/>
            <w:hideMark/>
          </w:tcPr>
          <w:p w14:paraId="4F04DAB3" w14:textId="0B1BC037" w:rsidR="00B959C3" w:rsidRPr="001828CD" w:rsidRDefault="00E9148C"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2,</w:t>
            </w:r>
            <w:r w:rsidR="00B959C3" w:rsidRPr="001828CD">
              <w:rPr>
                <w:b/>
                <w:iCs/>
                <w:color w:val="000000"/>
                <w:sz w:val="18"/>
                <w:szCs w:val="18"/>
              </w:rPr>
              <w:t>40</w:t>
            </w:r>
          </w:p>
        </w:tc>
        <w:tc>
          <w:tcPr>
            <w:tcW w:w="1079" w:type="pct"/>
            <w:gridSpan w:val="3"/>
            <w:tcBorders>
              <w:top w:val="single" w:sz="4" w:space="0" w:color="auto"/>
              <w:bottom w:val="single" w:sz="4" w:space="0" w:color="auto"/>
            </w:tcBorders>
            <w:shd w:val="clear" w:color="auto" w:fill="auto"/>
            <w:noWrap/>
            <w:vAlign w:val="bottom"/>
            <w:hideMark/>
          </w:tcPr>
          <w:p w14:paraId="0846DB20" w14:textId="211F06E0" w:rsidR="00B959C3" w:rsidRPr="001828CD" w:rsidRDefault="00E9148C"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0,</w:t>
            </w:r>
            <w:r w:rsidR="00B959C3" w:rsidRPr="001828CD">
              <w:rPr>
                <w:b/>
                <w:iCs/>
                <w:color w:val="000000"/>
                <w:sz w:val="18"/>
                <w:szCs w:val="18"/>
              </w:rPr>
              <w:t>80</w:t>
            </w:r>
          </w:p>
        </w:tc>
        <w:tc>
          <w:tcPr>
            <w:tcW w:w="1104" w:type="pct"/>
            <w:gridSpan w:val="2"/>
            <w:tcBorders>
              <w:top w:val="single" w:sz="4" w:space="0" w:color="auto"/>
              <w:bottom w:val="single" w:sz="4" w:space="0" w:color="auto"/>
            </w:tcBorders>
            <w:shd w:val="clear" w:color="auto" w:fill="auto"/>
            <w:noWrap/>
            <w:vAlign w:val="bottom"/>
            <w:hideMark/>
          </w:tcPr>
          <w:p w14:paraId="215102CA" w14:textId="2FA45919" w:rsidR="00B959C3" w:rsidRPr="001828CD" w:rsidRDefault="00B959C3" w:rsidP="00E9148C">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1</w:t>
            </w:r>
            <w:r w:rsidR="00274650">
              <w:rPr>
                <w:b/>
                <w:iCs/>
                <w:color w:val="000000"/>
                <w:sz w:val="18"/>
                <w:szCs w:val="18"/>
              </w:rPr>
              <w:t>,00</w:t>
            </w:r>
          </w:p>
        </w:tc>
        <w:tc>
          <w:tcPr>
            <w:tcW w:w="384" w:type="pct"/>
            <w:tcBorders>
              <w:top w:val="single" w:sz="4" w:space="0" w:color="auto"/>
              <w:bottom w:val="single" w:sz="4" w:space="0" w:color="auto"/>
            </w:tcBorders>
            <w:shd w:val="clear" w:color="auto" w:fill="auto"/>
            <w:noWrap/>
            <w:vAlign w:val="bottom"/>
            <w:hideMark/>
          </w:tcPr>
          <w:p w14:paraId="3BE4C0A5" w14:textId="1BB717C9" w:rsidR="00B959C3" w:rsidRPr="001828CD" w:rsidRDefault="00E9148C"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4,</w:t>
            </w:r>
            <w:r w:rsidR="00B959C3" w:rsidRPr="001828CD">
              <w:rPr>
                <w:b/>
                <w:iCs/>
                <w:color w:val="000000"/>
                <w:sz w:val="18"/>
                <w:szCs w:val="18"/>
              </w:rPr>
              <w:t>20</w:t>
            </w:r>
          </w:p>
        </w:tc>
      </w:tr>
      <w:tr w:rsidR="00B959C3" w:rsidRPr="001828CD" w14:paraId="7429074D" w14:textId="77777777" w:rsidTr="00654183">
        <w:trPr>
          <w:trHeight w:val="58"/>
        </w:trPr>
        <w:tc>
          <w:tcPr>
            <w:tcW w:w="1231" w:type="pct"/>
            <w:tcBorders>
              <w:top w:val="single" w:sz="4" w:space="0" w:color="auto"/>
              <w:bottom w:val="single" w:sz="12" w:space="0" w:color="auto"/>
            </w:tcBorders>
            <w:shd w:val="clear" w:color="auto" w:fill="auto"/>
            <w:noWrap/>
            <w:vAlign w:val="bottom"/>
            <w:hideMark/>
          </w:tcPr>
          <w:p w14:paraId="3531837E" w14:textId="77777777" w:rsidR="00B959C3" w:rsidRPr="001828CD" w:rsidRDefault="00B959C3" w:rsidP="00654183">
            <w:pPr>
              <w:tabs>
                <w:tab w:val="clear" w:pos="1247"/>
                <w:tab w:val="clear" w:pos="1814"/>
                <w:tab w:val="clear" w:pos="2381"/>
                <w:tab w:val="clear" w:pos="2948"/>
                <w:tab w:val="clear" w:pos="3515"/>
              </w:tabs>
              <w:spacing w:before="40" w:after="20"/>
              <w:ind w:left="340"/>
              <w:rPr>
                <w:b/>
                <w:bCs/>
                <w:color w:val="000000"/>
                <w:sz w:val="18"/>
                <w:szCs w:val="18"/>
              </w:rPr>
            </w:pPr>
            <w:r w:rsidRPr="001828CD">
              <w:rPr>
                <w:b/>
                <w:bCs/>
                <w:color w:val="000000"/>
                <w:sz w:val="18"/>
                <w:szCs w:val="18"/>
              </w:rPr>
              <w:t>TOTAL (A+B)</w:t>
            </w:r>
          </w:p>
        </w:tc>
        <w:tc>
          <w:tcPr>
            <w:tcW w:w="1202" w:type="pct"/>
            <w:tcBorders>
              <w:top w:val="single" w:sz="4" w:space="0" w:color="auto"/>
              <w:bottom w:val="single" w:sz="12" w:space="0" w:color="auto"/>
            </w:tcBorders>
            <w:shd w:val="clear" w:color="auto" w:fill="auto"/>
            <w:vAlign w:val="center"/>
            <w:hideMark/>
          </w:tcPr>
          <w:p w14:paraId="478E3F35" w14:textId="3B8F4AD3" w:rsidR="00B959C3" w:rsidRPr="001828CD" w:rsidRDefault="00E9148C" w:rsidP="00654183">
            <w:pPr>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9,</w:t>
            </w:r>
            <w:r w:rsidR="00B959C3" w:rsidRPr="001828CD">
              <w:rPr>
                <w:b/>
                <w:bCs/>
                <w:color w:val="000000"/>
                <w:sz w:val="18"/>
                <w:szCs w:val="18"/>
              </w:rPr>
              <w:t>20</w:t>
            </w:r>
          </w:p>
        </w:tc>
        <w:tc>
          <w:tcPr>
            <w:tcW w:w="1079" w:type="pct"/>
            <w:gridSpan w:val="3"/>
            <w:tcBorders>
              <w:top w:val="single" w:sz="4" w:space="0" w:color="auto"/>
              <w:bottom w:val="single" w:sz="12" w:space="0" w:color="auto"/>
            </w:tcBorders>
            <w:shd w:val="clear" w:color="auto" w:fill="auto"/>
            <w:noWrap/>
            <w:vAlign w:val="bottom"/>
            <w:hideMark/>
          </w:tcPr>
          <w:p w14:paraId="371BA434" w14:textId="4C7838C8" w:rsidR="00B959C3" w:rsidRPr="001828CD" w:rsidRDefault="00E9148C" w:rsidP="00654183">
            <w:pPr>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2,</w:t>
            </w:r>
            <w:r w:rsidR="00B959C3" w:rsidRPr="001828CD">
              <w:rPr>
                <w:b/>
                <w:bCs/>
                <w:color w:val="000000"/>
                <w:sz w:val="18"/>
                <w:szCs w:val="18"/>
              </w:rPr>
              <w:t>10</w:t>
            </w:r>
          </w:p>
        </w:tc>
        <w:tc>
          <w:tcPr>
            <w:tcW w:w="1104" w:type="pct"/>
            <w:gridSpan w:val="2"/>
            <w:tcBorders>
              <w:top w:val="single" w:sz="4" w:space="0" w:color="auto"/>
              <w:bottom w:val="single" w:sz="12" w:space="0" w:color="auto"/>
            </w:tcBorders>
            <w:shd w:val="clear" w:color="auto" w:fill="auto"/>
            <w:noWrap/>
            <w:vAlign w:val="bottom"/>
            <w:hideMark/>
          </w:tcPr>
          <w:p w14:paraId="3A773176" w14:textId="4EFAD964" w:rsidR="00B959C3" w:rsidRPr="001828CD" w:rsidRDefault="00B959C3" w:rsidP="00E9148C">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2</w:t>
            </w:r>
            <w:r w:rsidR="00274650">
              <w:rPr>
                <w:b/>
                <w:bCs/>
                <w:color w:val="000000"/>
                <w:sz w:val="18"/>
                <w:szCs w:val="18"/>
              </w:rPr>
              <w:t>,00</w:t>
            </w:r>
          </w:p>
        </w:tc>
        <w:tc>
          <w:tcPr>
            <w:tcW w:w="384" w:type="pct"/>
            <w:tcBorders>
              <w:top w:val="single" w:sz="4" w:space="0" w:color="auto"/>
              <w:bottom w:val="single" w:sz="12" w:space="0" w:color="auto"/>
            </w:tcBorders>
            <w:shd w:val="clear" w:color="auto" w:fill="auto"/>
            <w:noWrap/>
            <w:vAlign w:val="bottom"/>
            <w:hideMark/>
          </w:tcPr>
          <w:p w14:paraId="09B15C27" w14:textId="5530F7F2" w:rsidR="00B959C3" w:rsidRPr="001828CD" w:rsidRDefault="00E9148C" w:rsidP="00654183">
            <w:pPr>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13,</w:t>
            </w:r>
            <w:r w:rsidR="00B959C3" w:rsidRPr="001828CD">
              <w:rPr>
                <w:b/>
                <w:bCs/>
                <w:color w:val="000000"/>
                <w:sz w:val="18"/>
                <w:szCs w:val="18"/>
              </w:rPr>
              <w:t>30</w:t>
            </w:r>
          </w:p>
        </w:tc>
      </w:tr>
      <w:tr w:rsidR="00B959C3" w:rsidRPr="001828CD" w14:paraId="7453FF02" w14:textId="77777777" w:rsidTr="00654183">
        <w:trPr>
          <w:trHeight w:val="58"/>
        </w:trPr>
        <w:tc>
          <w:tcPr>
            <w:tcW w:w="1231" w:type="pct"/>
            <w:tcBorders>
              <w:top w:val="single" w:sz="12" w:space="0" w:color="auto"/>
              <w:bottom w:val="single" w:sz="12" w:space="0" w:color="auto"/>
            </w:tcBorders>
            <w:shd w:val="clear" w:color="auto" w:fill="auto"/>
            <w:noWrap/>
            <w:vAlign w:val="bottom"/>
            <w:hideMark/>
          </w:tcPr>
          <w:p w14:paraId="650A0B95" w14:textId="0BF91B27" w:rsidR="00B959C3" w:rsidRPr="001828CD" w:rsidRDefault="00E9148C" w:rsidP="00654183">
            <w:pPr>
              <w:tabs>
                <w:tab w:val="clear" w:pos="1247"/>
                <w:tab w:val="clear" w:pos="1814"/>
                <w:tab w:val="clear" w:pos="2381"/>
                <w:tab w:val="clear" w:pos="2948"/>
                <w:tab w:val="clear" w:pos="3515"/>
              </w:tabs>
              <w:spacing w:before="40" w:after="20"/>
              <w:ind w:left="284"/>
              <w:rPr>
                <w:iCs/>
                <w:color w:val="000000"/>
                <w:sz w:val="18"/>
                <w:szCs w:val="18"/>
              </w:rPr>
            </w:pPr>
            <w:r>
              <w:rPr>
                <w:iCs/>
                <w:color w:val="000000"/>
                <w:sz w:val="18"/>
                <w:szCs w:val="18"/>
              </w:rPr>
              <w:t>Remarque</w:t>
            </w:r>
            <w:r w:rsidR="00B959C3" w:rsidRPr="001828CD">
              <w:rPr>
                <w:iCs/>
                <w:color w:val="000000"/>
                <w:sz w:val="18"/>
                <w:szCs w:val="18"/>
              </w:rPr>
              <w:t>s</w:t>
            </w:r>
          </w:p>
        </w:tc>
        <w:tc>
          <w:tcPr>
            <w:tcW w:w="1202" w:type="pct"/>
            <w:tcBorders>
              <w:top w:val="single" w:sz="12" w:space="0" w:color="auto"/>
              <w:bottom w:val="single" w:sz="12" w:space="0" w:color="auto"/>
            </w:tcBorders>
            <w:shd w:val="clear" w:color="auto" w:fill="auto"/>
            <w:noWrap/>
            <w:vAlign w:val="bottom"/>
            <w:hideMark/>
          </w:tcPr>
          <w:p w14:paraId="4D6B41A6"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a</w:t>
            </w:r>
          </w:p>
        </w:tc>
        <w:tc>
          <w:tcPr>
            <w:tcW w:w="1079" w:type="pct"/>
            <w:gridSpan w:val="3"/>
            <w:tcBorders>
              <w:top w:val="single" w:sz="12" w:space="0" w:color="auto"/>
              <w:bottom w:val="single" w:sz="12" w:space="0" w:color="auto"/>
            </w:tcBorders>
            <w:shd w:val="clear" w:color="auto" w:fill="auto"/>
            <w:noWrap/>
            <w:vAlign w:val="bottom"/>
            <w:hideMark/>
          </w:tcPr>
          <w:p w14:paraId="26C25413"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b</w:t>
            </w:r>
          </w:p>
        </w:tc>
        <w:tc>
          <w:tcPr>
            <w:tcW w:w="1104" w:type="pct"/>
            <w:gridSpan w:val="2"/>
            <w:tcBorders>
              <w:top w:val="single" w:sz="12" w:space="0" w:color="auto"/>
              <w:bottom w:val="single" w:sz="12" w:space="0" w:color="auto"/>
            </w:tcBorders>
            <w:shd w:val="clear" w:color="auto" w:fill="auto"/>
            <w:noWrap/>
            <w:vAlign w:val="bottom"/>
            <w:hideMark/>
          </w:tcPr>
          <w:p w14:paraId="08201D6B"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c</w:t>
            </w:r>
          </w:p>
        </w:tc>
        <w:tc>
          <w:tcPr>
            <w:tcW w:w="384" w:type="pct"/>
            <w:tcBorders>
              <w:top w:val="single" w:sz="12" w:space="0" w:color="auto"/>
              <w:bottom w:val="single" w:sz="12" w:space="0" w:color="auto"/>
            </w:tcBorders>
            <w:shd w:val="clear" w:color="auto" w:fill="auto"/>
            <w:noWrap/>
            <w:vAlign w:val="bottom"/>
            <w:hideMark/>
          </w:tcPr>
          <w:p w14:paraId="53155468" w14:textId="77777777" w:rsidR="00B959C3" w:rsidRPr="001828CD" w:rsidRDefault="00B959C3" w:rsidP="00654183">
            <w:pPr>
              <w:tabs>
                <w:tab w:val="clear" w:pos="1247"/>
                <w:tab w:val="clear" w:pos="1814"/>
                <w:tab w:val="clear" w:pos="2381"/>
                <w:tab w:val="clear" w:pos="2948"/>
                <w:tab w:val="clear" w:pos="3515"/>
              </w:tabs>
              <w:spacing w:before="40" w:after="20"/>
              <w:rPr>
                <w:i/>
                <w:iCs/>
                <w:color w:val="000000"/>
                <w:sz w:val="18"/>
                <w:szCs w:val="18"/>
              </w:rPr>
            </w:pPr>
            <w:r w:rsidRPr="001828CD">
              <w:rPr>
                <w:i/>
                <w:iCs/>
                <w:color w:val="000000"/>
                <w:sz w:val="18"/>
                <w:szCs w:val="18"/>
              </w:rPr>
              <w:t> </w:t>
            </w:r>
          </w:p>
        </w:tc>
      </w:tr>
      <w:tr w:rsidR="00B959C3" w:rsidRPr="00A84D20" w14:paraId="7F0B173E" w14:textId="77777777" w:rsidTr="00654183">
        <w:trPr>
          <w:trHeight w:val="58"/>
        </w:trPr>
        <w:tc>
          <w:tcPr>
            <w:tcW w:w="5000" w:type="pct"/>
            <w:gridSpan w:val="8"/>
            <w:tcBorders>
              <w:top w:val="single" w:sz="12" w:space="0" w:color="auto"/>
              <w:bottom w:val="single" w:sz="4" w:space="0" w:color="auto"/>
            </w:tcBorders>
            <w:shd w:val="clear" w:color="auto" w:fill="auto"/>
            <w:hideMark/>
          </w:tcPr>
          <w:p w14:paraId="556AD8C6" w14:textId="44ED527C" w:rsidR="00B959C3" w:rsidRPr="00C25808" w:rsidRDefault="00BF4DD4" w:rsidP="00BF4DD4">
            <w:pPr>
              <w:keepNext/>
              <w:keepLines/>
              <w:tabs>
                <w:tab w:val="clear" w:pos="1247"/>
                <w:tab w:val="clear" w:pos="1814"/>
                <w:tab w:val="clear" w:pos="2381"/>
                <w:tab w:val="clear" w:pos="2948"/>
                <w:tab w:val="clear" w:pos="3515"/>
              </w:tabs>
              <w:spacing w:before="120" w:after="40"/>
              <w:rPr>
                <w:b/>
                <w:bCs/>
                <w:color w:val="000000"/>
                <w:sz w:val="18"/>
                <w:szCs w:val="18"/>
                <w:lang w:val="fr-CH"/>
              </w:rPr>
            </w:pPr>
            <w:r w:rsidRPr="00C25808">
              <w:rPr>
                <w:sz w:val="18"/>
                <w:szCs w:val="18"/>
                <w:lang w:val="fr-CH"/>
              </w:rPr>
              <w:t>Option 1 b) (intégration sous</w:t>
            </w:r>
            <w:r w:rsidR="00A50485">
              <w:rPr>
                <w:sz w:val="18"/>
                <w:szCs w:val="18"/>
                <w:lang w:val="fr-CH"/>
              </w:rPr>
              <w:t xml:space="preserve"> forme de Service) : Fusionnement</w:t>
            </w:r>
            <w:r w:rsidRPr="00C25808">
              <w:rPr>
                <w:sz w:val="18"/>
                <w:szCs w:val="18"/>
                <w:lang w:val="fr-CH"/>
              </w:rPr>
              <w:t xml:space="preserve"> du secrétariat de la Convention de Minamata </w:t>
            </w:r>
            <w:r w:rsidR="00A50485">
              <w:rPr>
                <w:sz w:val="18"/>
                <w:szCs w:val="18"/>
                <w:lang w:val="fr-CH"/>
              </w:rPr>
              <w:t>avec le</w:t>
            </w:r>
            <w:r w:rsidRPr="00C25808">
              <w:rPr>
                <w:sz w:val="18"/>
                <w:szCs w:val="18"/>
                <w:lang w:val="fr-CH"/>
              </w:rPr>
              <w:t xml:space="preserve"> Secrétariat des conventions de Bâle, de Rotterdam et de Stockholm par la création, au cours de la période intérimaire, d’un Service de la Convention de Minamata au sein de celui-ci (lieu d’implantation : Genève)</w:t>
            </w:r>
          </w:p>
        </w:tc>
      </w:tr>
      <w:tr w:rsidR="00B959C3" w:rsidRPr="00A84D20" w14:paraId="2E655D22" w14:textId="77777777" w:rsidTr="00654183">
        <w:trPr>
          <w:trHeight w:val="300"/>
        </w:trPr>
        <w:tc>
          <w:tcPr>
            <w:tcW w:w="1231" w:type="pct"/>
            <w:vMerge w:val="restart"/>
            <w:tcBorders>
              <w:top w:val="single" w:sz="4" w:space="0" w:color="auto"/>
              <w:bottom w:val="single" w:sz="12" w:space="0" w:color="auto"/>
            </w:tcBorders>
            <w:shd w:val="clear" w:color="auto" w:fill="auto"/>
            <w:noWrap/>
            <w:vAlign w:val="bottom"/>
            <w:hideMark/>
          </w:tcPr>
          <w:p w14:paraId="67879444" w14:textId="129D132C" w:rsidR="00B959C3" w:rsidRPr="00BF4DD4" w:rsidRDefault="00BF4DD4" w:rsidP="00D27523">
            <w:pPr>
              <w:tabs>
                <w:tab w:val="clear" w:pos="1247"/>
                <w:tab w:val="clear" w:pos="1814"/>
                <w:tab w:val="clear" w:pos="2381"/>
                <w:tab w:val="clear" w:pos="2948"/>
                <w:tab w:val="clear" w:pos="3515"/>
              </w:tabs>
              <w:spacing w:before="40" w:after="20"/>
              <w:rPr>
                <w:bCs/>
                <w:color w:val="000000"/>
                <w:sz w:val="18"/>
                <w:szCs w:val="18"/>
                <w:lang w:val="fr-CH"/>
              </w:rPr>
            </w:pPr>
            <w:r w:rsidRPr="006643F9">
              <w:rPr>
                <w:bCs/>
                <w:color w:val="000000"/>
                <w:sz w:val="18"/>
                <w:szCs w:val="18"/>
                <w:lang w:val="fr-CH"/>
              </w:rPr>
              <w:t xml:space="preserve">Catégorie et classe </w:t>
            </w:r>
          </w:p>
        </w:tc>
        <w:tc>
          <w:tcPr>
            <w:tcW w:w="3769" w:type="pct"/>
            <w:gridSpan w:val="7"/>
            <w:tcBorders>
              <w:top w:val="single" w:sz="4" w:space="0" w:color="auto"/>
              <w:bottom w:val="single" w:sz="4" w:space="0" w:color="auto"/>
            </w:tcBorders>
            <w:shd w:val="clear" w:color="auto" w:fill="auto"/>
            <w:noWrap/>
            <w:vAlign w:val="bottom"/>
            <w:hideMark/>
          </w:tcPr>
          <w:p w14:paraId="574FE086" w14:textId="026B1785" w:rsidR="00B959C3" w:rsidRPr="004D334C" w:rsidRDefault="004D334C" w:rsidP="00CC191A">
            <w:pPr>
              <w:tabs>
                <w:tab w:val="clear" w:pos="1247"/>
                <w:tab w:val="clear" w:pos="1814"/>
                <w:tab w:val="clear" w:pos="2381"/>
                <w:tab w:val="clear" w:pos="2948"/>
                <w:tab w:val="clear" w:pos="3515"/>
              </w:tabs>
              <w:spacing w:before="40" w:after="20"/>
              <w:jc w:val="center"/>
              <w:rPr>
                <w:bCs/>
                <w:i/>
                <w:color w:val="000000"/>
                <w:sz w:val="18"/>
                <w:szCs w:val="18"/>
                <w:lang w:val="fr-CH"/>
              </w:rPr>
            </w:pPr>
            <w:r w:rsidRPr="004D334C">
              <w:rPr>
                <w:bCs/>
                <w:i/>
                <w:color w:val="000000"/>
                <w:sz w:val="18"/>
                <w:szCs w:val="18"/>
                <w:lang w:val="fr-CH"/>
              </w:rPr>
              <w:t xml:space="preserve">Total </w:t>
            </w:r>
            <w:r>
              <w:rPr>
                <w:bCs/>
                <w:i/>
                <w:color w:val="000000"/>
                <w:sz w:val="18"/>
                <w:szCs w:val="18"/>
                <w:lang w:val="fr-CH"/>
              </w:rPr>
              <w:t>proposé</w:t>
            </w:r>
            <w:r w:rsidRPr="004D334C">
              <w:rPr>
                <w:bCs/>
                <w:i/>
                <w:color w:val="000000"/>
                <w:sz w:val="18"/>
                <w:szCs w:val="18"/>
                <w:lang w:val="fr-CH"/>
              </w:rPr>
              <w:t xml:space="preserve"> pour le </w:t>
            </w:r>
            <w:r>
              <w:rPr>
                <w:bCs/>
                <w:i/>
                <w:color w:val="000000"/>
                <w:sz w:val="18"/>
                <w:szCs w:val="18"/>
                <w:lang w:val="fr-CH"/>
              </w:rPr>
              <w:t>secré</w:t>
            </w:r>
            <w:r w:rsidRPr="004D334C">
              <w:rPr>
                <w:bCs/>
                <w:i/>
                <w:color w:val="000000"/>
                <w:sz w:val="18"/>
                <w:szCs w:val="18"/>
                <w:lang w:val="fr-CH"/>
              </w:rPr>
              <w:t>tariat de la Convention de</w:t>
            </w:r>
            <w:r w:rsidR="00B959C3" w:rsidRPr="004D334C">
              <w:rPr>
                <w:bCs/>
                <w:i/>
                <w:color w:val="000000"/>
                <w:sz w:val="18"/>
                <w:szCs w:val="18"/>
                <w:lang w:val="fr-CH"/>
              </w:rPr>
              <w:t xml:space="preserve"> Minamata</w:t>
            </w:r>
            <w:r>
              <w:rPr>
                <w:bCs/>
                <w:i/>
                <w:color w:val="000000"/>
                <w:sz w:val="18"/>
                <w:szCs w:val="18"/>
                <w:lang w:val="fr-CH"/>
              </w:rPr>
              <w:t xml:space="preserve"> </w:t>
            </w:r>
            <w:r w:rsidR="00CC191A">
              <w:rPr>
                <w:bCs/>
                <w:i/>
                <w:color w:val="000000"/>
                <w:sz w:val="18"/>
                <w:szCs w:val="18"/>
                <w:lang w:val="fr-CH"/>
              </w:rPr>
              <w:t>pour la période</w:t>
            </w:r>
            <w:r w:rsidR="00B959C3" w:rsidRPr="004D334C">
              <w:rPr>
                <w:bCs/>
                <w:i/>
                <w:color w:val="000000"/>
                <w:sz w:val="18"/>
                <w:szCs w:val="18"/>
                <w:lang w:val="fr-CH"/>
              </w:rPr>
              <w:t xml:space="preserve"> 2018–2019</w:t>
            </w:r>
          </w:p>
        </w:tc>
      </w:tr>
      <w:tr w:rsidR="00B959C3" w:rsidRPr="001828CD" w14:paraId="49DC1DC9" w14:textId="77777777" w:rsidTr="00654183">
        <w:trPr>
          <w:trHeight w:val="261"/>
        </w:trPr>
        <w:tc>
          <w:tcPr>
            <w:tcW w:w="1231" w:type="pct"/>
            <w:vMerge/>
            <w:tcBorders>
              <w:bottom w:val="single" w:sz="12" w:space="0" w:color="auto"/>
            </w:tcBorders>
            <w:vAlign w:val="bottom"/>
            <w:hideMark/>
          </w:tcPr>
          <w:p w14:paraId="01B29CC6" w14:textId="77777777" w:rsidR="00B959C3" w:rsidRPr="004D334C" w:rsidRDefault="00B959C3" w:rsidP="00654183">
            <w:pPr>
              <w:tabs>
                <w:tab w:val="clear" w:pos="1247"/>
                <w:tab w:val="clear" w:pos="1814"/>
                <w:tab w:val="clear" w:pos="2381"/>
                <w:tab w:val="clear" w:pos="2948"/>
                <w:tab w:val="clear" w:pos="3515"/>
              </w:tabs>
              <w:spacing w:before="40" w:after="20"/>
              <w:ind w:left="1400"/>
              <w:rPr>
                <w:bCs/>
                <w:i/>
                <w:color w:val="000000"/>
                <w:sz w:val="18"/>
                <w:szCs w:val="18"/>
                <w:lang w:val="fr-CH"/>
              </w:rPr>
            </w:pPr>
          </w:p>
        </w:tc>
        <w:tc>
          <w:tcPr>
            <w:tcW w:w="1202" w:type="pct"/>
            <w:tcBorders>
              <w:bottom w:val="single" w:sz="12" w:space="0" w:color="auto"/>
            </w:tcBorders>
            <w:shd w:val="clear" w:color="auto" w:fill="auto"/>
            <w:vAlign w:val="center"/>
            <w:hideMark/>
          </w:tcPr>
          <w:p w14:paraId="3C350CFB" w14:textId="48E39690" w:rsidR="00B959C3" w:rsidRPr="004D334C" w:rsidRDefault="00D27523" w:rsidP="00654183">
            <w:pPr>
              <w:tabs>
                <w:tab w:val="clear" w:pos="1247"/>
                <w:tab w:val="clear" w:pos="1814"/>
                <w:tab w:val="clear" w:pos="2381"/>
                <w:tab w:val="clear" w:pos="2948"/>
                <w:tab w:val="clear" w:pos="3515"/>
              </w:tabs>
              <w:spacing w:before="40" w:after="20"/>
              <w:jc w:val="right"/>
              <w:rPr>
                <w:bCs/>
                <w:i/>
                <w:color w:val="000000"/>
                <w:sz w:val="18"/>
                <w:szCs w:val="18"/>
                <w:lang w:val="fr-CH"/>
              </w:rPr>
            </w:pPr>
            <w:r w:rsidRPr="00BB6974">
              <w:rPr>
                <w:bCs/>
                <w:i/>
                <w:color w:val="000000"/>
                <w:sz w:val="18"/>
                <w:szCs w:val="18"/>
                <w:lang w:val="fr-CH"/>
              </w:rPr>
              <w:t xml:space="preserve">Postes </w:t>
            </w:r>
            <w:r>
              <w:rPr>
                <w:bCs/>
                <w:i/>
                <w:color w:val="000000"/>
                <w:sz w:val="18"/>
                <w:szCs w:val="18"/>
                <w:lang w:val="fr-CH"/>
              </w:rPr>
              <w:t xml:space="preserve">relevant </w:t>
            </w:r>
            <w:r w:rsidRPr="00BB6974">
              <w:rPr>
                <w:bCs/>
                <w:i/>
                <w:color w:val="000000"/>
                <w:sz w:val="18"/>
                <w:szCs w:val="18"/>
                <w:lang w:val="fr-CH"/>
              </w:rPr>
              <w:t>des conventions de B</w:t>
            </w:r>
            <w:r>
              <w:rPr>
                <w:bCs/>
                <w:i/>
                <w:color w:val="000000"/>
                <w:sz w:val="18"/>
                <w:szCs w:val="18"/>
                <w:lang w:val="fr-CH"/>
              </w:rPr>
              <w:t>âle, de Rotterdam,</w:t>
            </w:r>
            <w:r w:rsidRPr="00BB6974">
              <w:rPr>
                <w:bCs/>
                <w:i/>
                <w:color w:val="000000"/>
                <w:sz w:val="18"/>
                <w:szCs w:val="18"/>
                <w:lang w:val="fr-CH"/>
              </w:rPr>
              <w:t xml:space="preserve"> de Stockholm</w:t>
            </w:r>
            <w:r>
              <w:rPr>
                <w:bCs/>
                <w:i/>
                <w:color w:val="000000"/>
                <w:sz w:val="18"/>
                <w:szCs w:val="18"/>
                <w:lang w:val="fr-CH"/>
              </w:rPr>
              <w:t xml:space="preserve"> et de Minamata</w:t>
            </w:r>
            <w:r w:rsidRPr="00BB6974">
              <w:rPr>
                <w:bCs/>
                <w:i/>
                <w:color w:val="000000"/>
                <w:sz w:val="18"/>
                <w:szCs w:val="18"/>
                <w:lang w:val="fr-CH"/>
              </w:rPr>
              <w:t xml:space="preserve"> </w:t>
            </w:r>
            <w:r>
              <w:rPr>
                <w:bCs/>
                <w:i/>
                <w:color w:val="000000"/>
                <w:sz w:val="18"/>
                <w:szCs w:val="18"/>
                <w:lang w:val="fr-CH"/>
              </w:rPr>
              <w:t>financé</w:t>
            </w:r>
            <w:r w:rsidRPr="00BB6974">
              <w:rPr>
                <w:bCs/>
                <w:i/>
                <w:color w:val="000000"/>
                <w:sz w:val="18"/>
                <w:szCs w:val="18"/>
                <w:lang w:val="fr-CH"/>
              </w:rPr>
              <w:t xml:space="preserve">s par la Convention de </w:t>
            </w:r>
            <w:r>
              <w:rPr>
                <w:bCs/>
                <w:i/>
                <w:color w:val="000000"/>
                <w:sz w:val="18"/>
                <w:szCs w:val="18"/>
                <w:lang w:val="fr-CH"/>
              </w:rPr>
              <w:t>Minamata</w:t>
            </w:r>
          </w:p>
        </w:tc>
        <w:tc>
          <w:tcPr>
            <w:tcW w:w="1079" w:type="pct"/>
            <w:gridSpan w:val="3"/>
            <w:tcBorders>
              <w:bottom w:val="single" w:sz="12" w:space="0" w:color="auto"/>
            </w:tcBorders>
            <w:shd w:val="clear" w:color="auto" w:fill="auto"/>
            <w:vAlign w:val="center"/>
            <w:hideMark/>
          </w:tcPr>
          <w:p w14:paraId="5A3FC3BD" w14:textId="44FDCDC5" w:rsidR="00B959C3" w:rsidRPr="004D334C" w:rsidRDefault="00D27523" w:rsidP="007044D6">
            <w:pPr>
              <w:tabs>
                <w:tab w:val="clear" w:pos="1247"/>
                <w:tab w:val="clear" w:pos="1814"/>
                <w:tab w:val="clear" w:pos="2381"/>
                <w:tab w:val="clear" w:pos="2948"/>
                <w:tab w:val="clear" w:pos="3515"/>
              </w:tabs>
              <w:spacing w:before="40" w:after="20"/>
              <w:jc w:val="right"/>
              <w:rPr>
                <w:bCs/>
                <w:i/>
                <w:color w:val="000000"/>
                <w:sz w:val="18"/>
                <w:szCs w:val="18"/>
                <w:lang w:val="fr-CH"/>
              </w:rPr>
            </w:pPr>
            <w:r>
              <w:rPr>
                <w:bCs/>
                <w:i/>
                <w:color w:val="000000"/>
                <w:sz w:val="18"/>
                <w:szCs w:val="18"/>
                <w:lang w:val="fr-CH"/>
              </w:rPr>
              <w:t>N</w:t>
            </w:r>
            <w:r w:rsidRPr="007E29CA">
              <w:rPr>
                <w:bCs/>
                <w:i/>
                <w:color w:val="000000"/>
                <w:sz w:val="18"/>
                <w:szCs w:val="18"/>
                <w:lang w:val="fr-CH"/>
              </w:rPr>
              <w:t xml:space="preserve">ouveaux postes </w:t>
            </w:r>
            <w:r>
              <w:rPr>
                <w:bCs/>
                <w:i/>
                <w:color w:val="000000"/>
                <w:sz w:val="18"/>
                <w:szCs w:val="18"/>
                <w:lang w:val="fr-CH"/>
              </w:rPr>
              <w:t xml:space="preserve">financés </w:t>
            </w:r>
            <w:r w:rsidR="007044D6">
              <w:rPr>
                <w:bCs/>
                <w:i/>
                <w:color w:val="000000"/>
                <w:sz w:val="18"/>
                <w:szCs w:val="18"/>
                <w:lang w:val="fr-CH"/>
              </w:rPr>
              <w:t>par la Convention</w:t>
            </w:r>
            <w:r>
              <w:rPr>
                <w:bCs/>
                <w:i/>
                <w:color w:val="000000"/>
                <w:sz w:val="18"/>
                <w:szCs w:val="18"/>
                <w:lang w:val="fr-CH"/>
              </w:rPr>
              <w:t xml:space="preserve"> de Minamata</w:t>
            </w:r>
          </w:p>
        </w:tc>
        <w:tc>
          <w:tcPr>
            <w:tcW w:w="1104" w:type="pct"/>
            <w:gridSpan w:val="2"/>
            <w:tcBorders>
              <w:bottom w:val="single" w:sz="12" w:space="0" w:color="auto"/>
            </w:tcBorders>
            <w:shd w:val="clear" w:color="auto" w:fill="auto"/>
            <w:vAlign w:val="center"/>
            <w:hideMark/>
          </w:tcPr>
          <w:p w14:paraId="5B45103C" w14:textId="6FC924FE" w:rsidR="00B959C3" w:rsidRPr="001F117F" w:rsidRDefault="00D27523" w:rsidP="00654183">
            <w:pPr>
              <w:tabs>
                <w:tab w:val="clear" w:pos="1247"/>
                <w:tab w:val="clear" w:pos="1814"/>
                <w:tab w:val="clear" w:pos="2381"/>
                <w:tab w:val="clear" w:pos="2948"/>
                <w:tab w:val="clear" w:pos="3515"/>
              </w:tabs>
              <w:spacing w:before="40" w:after="20"/>
              <w:jc w:val="right"/>
              <w:rPr>
                <w:bCs/>
                <w:i/>
                <w:color w:val="000000"/>
                <w:sz w:val="18"/>
                <w:szCs w:val="18"/>
                <w:lang w:val="fr-CH"/>
              </w:rPr>
            </w:pPr>
            <w:r>
              <w:rPr>
                <w:bCs/>
                <w:i/>
                <w:color w:val="000000"/>
                <w:sz w:val="18"/>
                <w:szCs w:val="18"/>
                <w:lang w:val="fr-CH"/>
              </w:rPr>
              <w:t xml:space="preserve">Postes relevant de la Convention de </w:t>
            </w:r>
            <w:r w:rsidRPr="007E29CA">
              <w:rPr>
                <w:bCs/>
                <w:i/>
                <w:color w:val="000000"/>
                <w:sz w:val="18"/>
                <w:szCs w:val="18"/>
                <w:lang w:val="fr-CH"/>
              </w:rPr>
              <w:t xml:space="preserve">Minamata </w:t>
            </w:r>
            <w:r>
              <w:rPr>
                <w:bCs/>
                <w:i/>
                <w:color w:val="000000"/>
                <w:sz w:val="18"/>
                <w:szCs w:val="18"/>
                <w:lang w:val="fr-CH"/>
              </w:rPr>
              <w:t xml:space="preserve">imputés aux </w:t>
            </w:r>
            <w:r w:rsidRPr="007E29CA">
              <w:rPr>
                <w:bCs/>
                <w:i/>
                <w:color w:val="000000"/>
                <w:sz w:val="18"/>
                <w:szCs w:val="18"/>
                <w:lang w:val="fr-CH"/>
              </w:rPr>
              <w:t>dépenses d’</w:t>
            </w:r>
            <w:r>
              <w:rPr>
                <w:bCs/>
                <w:i/>
                <w:color w:val="000000"/>
                <w:sz w:val="18"/>
                <w:szCs w:val="18"/>
                <w:lang w:val="fr-CH"/>
              </w:rPr>
              <w:t>appui au programme</w:t>
            </w:r>
          </w:p>
        </w:tc>
        <w:tc>
          <w:tcPr>
            <w:tcW w:w="384" w:type="pct"/>
            <w:tcBorders>
              <w:bottom w:val="single" w:sz="12" w:space="0" w:color="auto"/>
            </w:tcBorders>
            <w:shd w:val="clear" w:color="auto" w:fill="auto"/>
            <w:noWrap/>
            <w:vAlign w:val="center"/>
            <w:hideMark/>
          </w:tcPr>
          <w:p w14:paraId="038CC131" w14:textId="77777777" w:rsidR="00B959C3" w:rsidRPr="001828CD" w:rsidRDefault="00B959C3" w:rsidP="00654183">
            <w:pPr>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Total</w:t>
            </w:r>
          </w:p>
        </w:tc>
      </w:tr>
      <w:tr w:rsidR="00B959C3" w:rsidRPr="00D27523" w14:paraId="7499716C" w14:textId="77777777" w:rsidTr="00654183">
        <w:trPr>
          <w:trHeight w:val="58"/>
        </w:trPr>
        <w:tc>
          <w:tcPr>
            <w:tcW w:w="1231" w:type="pct"/>
            <w:tcBorders>
              <w:top w:val="single" w:sz="12" w:space="0" w:color="auto"/>
            </w:tcBorders>
            <w:shd w:val="clear" w:color="auto" w:fill="auto"/>
            <w:noWrap/>
            <w:vAlign w:val="bottom"/>
            <w:hideMark/>
          </w:tcPr>
          <w:p w14:paraId="1C6F8F93" w14:textId="466FE325" w:rsidR="00B959C3" w:rsidRPr="00D27523" w:rsidRDefault="00B959C3" w:rsidP="00D27523">
            <w:pPr>
              <w:tabs>
                <w:tab w:val="clear" w:pos="1247"/>
                <w:tab w:val="clear" w:pos="1814"/>
                <w:tab w:val="clear" w:pos="2381"/>
                <w:tab w:val="clear" w:pos="2948"/>
                <w:tab w:val="clear" w:pos="3515"/>
              </w:tabs>
              <w:spacing w:before="40" w:after="20"/>
              <w:rPr>
                <w:color w:val="000000"/>
                <w:sz w:val="18"/>
                <w:szCs w:val="18"/>
                <w:lang w:val="fr-CH"/>
              </w:rPr>
            </w:pPr>
            <w:r w:rsidRPr="00D27523">
              <w:rPr>
                <w:color w:val="000000"/>
                <w:sz w:val="18"/>
                <w:szCs w:val="18"/>
                <w:lang w:val="fr-CH"/>
              </w:rPr>
              <w:t xml:space="preserve">A. </w:t>
            </w:r>
            <w:r w:rsidR="00D27523" w:rsidRPr="00D27523">
              <w:rPr>
                <w:color w:val="000000"/>
                <w:sz w:val="18"/>
                <w:szCs w:val="18"/>
                <w:lang w:val="fr-CH"/>
              </w:rPr>
              <w:t>A</w:t>
            </w:r>
            <w:r w:rsidR="00BF4DD4" w:rsidRPr="00D27523">
              <w:rPr>
                <w:color w:val="000000"/>
                <w:sz w:val="18"/>
                <w:szCs w:val="18"/>
                <w:lang w:val="fr-CH"/>
              </w:rPr>
              <w:t>dministrateurs</w:t>
            </w:r>
          </w:p>
        </w:tc>
        <w:tc>
          <w:tcPr>
            <w:tcW w:w="1202" w:type="pct"/>
            <w:tcBorders>
              <w:top w:val="single" w:sz="12" w:space="0" w:color="auto"/>
            </w:tcBorders>
            <w:shd w:val="clear" w:color="auto" w:fill="auto"/>
            <w:noWrap/>
            <w:vAlign w:val="bottom"/>
            <w:hideMark/>
          </w:tcPr>
          <w:p w14:paraId="7EE3AEEC"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1079" w:type="pct"/>
            <w:gridSpan w:val="3"/>
            <w:tcBorders>
              <w:top w:val="single" w:sz="12" w:space="0" w:color="auto"/>
            </w:tcBorders>
            <w:shd w:val="clear" w:color="auto" w:fill="auto"/>
            <w:noWrap/>
            <w:vAlign w:val="bottom"/>
            <w:hideMark/>
          </w:tcPr>
          <w:p w14:paraId="7FBAA099"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1104" w:type="pct"/>
            <w:gridSpan w:val="2"/>
            <w:tcBorders>
              <w:top w:val="single" w:sz="12" w:space="0" w:color="auto"/>
            </w:tcBorders>
            <w:shd w:val="clear" w:color="auto" w:fill="auto"/>
            <w:noWrap/>
            <w:vAlign w:val="bottom"/>
            <w:hideMark/>
          </w:tcPr>
          <w:p w14:paraId="35AFFA01"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384" w:type="pct"/>
            <w:tcBorders>
              <w:top w:val="single" w:sz="12" w:space="0" w:color="auto"/>
            </w:tcBorders>
            <w:shd w:val="clear" w:color="auto" w:fill="auto"/>
            <w:noWrap/>
            <w:vAlign w:val="bottom"/>
            <w:hideMark/>
          </w:tcPr>
          <w:p w14:paraId="3B16CBE9"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r>
      <w:tr w:rsidR="00B959C3" w:rsidRPr="00D27523" w14:paraId="11299181" w14:textId="77777777" w:rsidTr="00654183">
        <w:trPr>
          <w:trHeight w:val="58"/>
        </w:trPr>
        <w:tc>
          <w:tcPr>
            <w:tcW w:w="1231" w:type="pct"/>
            <w:shd w:val="clear" w:color="auto" w:fill="auto"/>
            <w:noWrap/>
            <w:vAlign w:val="bottom"/>
            <w:hideMark/>
          </w:tcPr>
          <w:p w14:paraId="3DA13CE3" w14:textId="4D69D610" w:rsidR="00B959C3" w:rsidRPr="00D27523" w:rsidRDefault="00B959C3" w:rsidP="00BF4DD4">
            <w:pPr>
              <w:tabs>
                <w:tab w:val="clear" w:pos="1247"/>
                <w:tab w:val="clear" w:pos="1814"/>
                <w:tab w:val="clear" w:pos="2381"/>
                <w:tab w:val="clear" w:pos="2948"/>
                <w:tab w:val="clear" w:pos="3515"/>
              </w:tabs>
              <w:spacing w:before="40" w:after="20"/>
              <w:ind w:left="227"/>
              <w:rPr>
                <w:color w:val="000000"/>
                <w:sz w:val="18"/>
                <w:szCs w:val="18"/>
                <w:lang w:val="fr-CH"/>
              </w:rPr>
            </w:pPr>
            <w:r w:rsidRPr="00D27523">
              <w:rPr>
                <w:color w:val="000000"/>
                <w:sz w:val="18"/>
                <w:szCs w:val="18"/>
                <w:lang w:val="fr-CH"/>
              </w:rPr>
              <w:t xml:space="preserve">D-2 </w:t>
            </w:r>
          </w:p>
        </w:tc>
        <w:tc>
          <w:tcPr>
            <w:tcW w:w="1202" w:type="pct"/>
            <w:shd w:val="clear" w:color="auto" w:fill="auto"/>
            <w:noWrap/>
            <w:vAlign w:val="bottom"/>
            <w:hideMark/>
          </w:tcPr>
          <w:p w14:paraId="6DA9A5A8" w14:textId="3A110577" w:rsidR="00B959C3" w:rsidRPr="00D27523" w:rsidRDefault="00BF4DD4"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0,</w:t>
            </w:r>
            <w:r w:rsidR="00B959C3" w:rsidRPr="00D27523">
              <w:rPr>
                <w:color w:val="000000"/>
                <w:sz w:val="18"/>
                <w:szCs w:val="18"/>
                <w:lang w:val="fr-CH"/>
              </w:rPr>
              <w:t>40</w:t>
            </w:r>
          </w:p>
        </w:tc>
        <w:tc>
          <w:tcPr>
            <w:tcW w:w="1079" w:type="pct"/>
            <w:gridSpan w:val="3"/>
            <w:shd w:val="clear" w:color="auto" w:fill="auto"/>
            <w:noWrap/>
            <w:vAlign w:val="bottom"/>
            <w:hideMark/>
          </w:tcPr>
          <w:p w14:paraId="20450C07"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1104" w:type="pct"/>
            <w:gridSpan w:val="2"/>
            <w:shd w:val="clear" w:color="auto" w:fill="auto"/>
            <w:noWrap/>
            <w:vAlign w:val="bottom"/>
            <w:hideMark/>
          </w:tcPr>
          <w:p w14:paraId="13EB34E6"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384" w:type="pct"/>
            <w:shd w:val="clear" w:color="auto" w:fill="auto"/>
            <w:noWrap/>
            <w:vAlign w:val="bottom"/>
            <w:hideMark/>
          </w:tcPr>
          <w:p w14:paraId="4159128D" w14:textId="48D65703" w:rsidR="00B959C3" w:rsidRPr="00D27523" w:rsidRDefault="006D49B8"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0,</w:t>
            </w:r>
            <w:r w:rsidR="00B959C3" w:rsidRPr="00D27523">
              <w:rPr>
                <w:color w:val="000000"/>
                <w:sz w:val="18"/>
                <w:szCs w:val="18"/>
                <w:lang w:val="fr-CH"/>
              </w:rPr>
              <w:t>40</w:t>
            </w:r>
          </w:p>
        </w:tc>
      </w:tr>
      <w:tr w:rsidR="00B959C3" w:rsidRPr="00D27523" w14:paraId="04339CE3" w14:textId="77777777" w:rsidTr="00654183">
        <w:trPr>
          <w:trHeight w:val="68"/>
        </w:trPr>
        <w:tc>
          <w:tcPr>
            <w:tcW w:w="1231" w:type="pct"/>
            <w:shd w:val="clear" w:color="auto" w:fill="auto"/>
            <w:noWrap/>
            <w:vAlign w:val="bottom"/>
            <w:hideMark/>
          </w:tcPr>
          <w:p w14:paraId="02BFB305" w14:textId="7045F28F" w:rsidR="00B959C3" w:rsidRPr="00D27523" w:rsidRDefault="00BF4DD4" w:rsidP="00BF4DD4">
            <w:pPr>
              <w:tabs>
                <w:tab w:val="clear" w:pos="1247"/>
                <w:tab w:val="clear" w:pos="1814"/>
                <w:tab w:val="clear" w:pos="2381"/>
                <w:tab w:val="clear" w:pos="2948"/>
                <w:tab w:val="clear" w:pos="3515"/>
              </w:tabs>
              <w:spacing w:before="40" w:after="20"/>
              <w:ind w:left="227"/>
              <w:rPr>
                <w:color w:val="000000"/>
                <w:sz w:val="18"/>
                <w:szCs w:val="18"/>
                <w:lang w:val="fr-CH"/>
              </w:rPr>
            </w:pPr>
            <w:r w:rsidRPr="00D27523">
              <w:rPr>
                <w:color w:val="000000"/>
                <w:sz w:val="18"/>
                <w:szCs w:val="18"/>
                <w:lang w:val="fr-CH"/>
              </w:rPr>
              <w:t xml:space="preserve">D-1 </w:t>
            </w:r>
          </w:p>
        </w:tc>
        <w:tc>
          <w:tcPr>
            <w:tcW w:w="1202" w:type="pct"/>
            <w:shd w:val="clear" w:color="auto" w:fill="auto"/>
            <w:noWrap/>
            <w:vAlign w:val="bottom"/>
            <w:hideMark/>
          </w:tcPr>
          <w:p w14:paraId="0F43804A" w14:textId="6D5DABFD" w:rsidR="00B959C3" w:rsidRPr="00D27523" w:rsidRDefault="00BF4DD4"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0,</w:t>
            </w:r>
            <w:r w:rsidR="00B959C3" w:rsidRPr="00D27523">
              <w:rPr>
                <w:color w:val="000000"/>
                <w:sz w:val="18"/>
                <w:szCs w:val="18"/>
                <w:lang w:val="fr-CH"/>
              </w:rPr>
              <w:t>20</w:t>
            </w:r>
          </w:p>
        </w:tc>
        <w:tc>
          <w:tcPr>
            <w:tcW w:w="1079" w:type="pct"/>
            <w:gridSpan w:val="3"/>
            <w:shd w:val="clear" w:color="auto" w:fill="auto"/>
            <w:noWrap/>
            <w:vAlign w:val="bottom"/>
            <w:hideMark/>
          </w:tcPr>
          <w:p w14:paraId="2B9D5693" w14:textId="57CBDD59" w:rsidR="00B959C3" w:rsidRPr="00D27523" w:rsidRDefault="00B959C3" w:rsidP="00BF4DD4">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1</w:t>
            </w:r>
            <w:r w:rsidR="007044D6">
              <w:rPr>
                <w:color w:val="000000"/>
                <w:sz w:val="18"/>
                <w:szCs w:val="18"/>
                <w:lang w:val="fr-CH"/>
              </w:rPr>
              <w:t>,00</w:t>
            </w:r>
          </w:p>
        </w:tc>
        <w:tc>
          <w:tcPr>
            <w:tcW w:w="1104" w:type="pct"/>
            <w:gridSpan w:val="2"/>
            <w:shd w:val="clear" w:color="auto" w:fill="auto"/>
            <w:noWrap/>
            <w:vAlign w:val="bottom"/>
            <w:hideMark/>
          </w:tcPr>
          <w:p w14:paraId="4E0F1F04"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384" w:type="pct"/>
            <w:shd w:val="clear" w:color="auto" w:fill="auto"/>
            <w:noWrap/>
            <w:vAlign w:val="bottom"/>
            <w:hideMark/>
          </w:tcPr>
          <w:p w14:paraId="3525BF96" w14:textId="6C0DEE2F" w:rsidR="00B959C3" w:rsidRPr="00D27523" w:rsidRDefault="006D49B8"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1,</w:t>
            </w:r>
            <w:r w:rsidR="00B959C3" w:rsidRPr="00D27523">
              <w:rPr>
                <w:color w:val="000000"/>
                <w:sz w:val="18"/>
                <w:szCs w:val="18"/>
                <w:lang w:val="fr-CH"/>
              </w:rPr>
              <w:t>20</w:t>
            </w:r>
          </w:p>
        </w:tc>
      </w:tr>
      <w:tr w:rsidR="00B959C3" w:rsidRPr="00D27523" w14:paraId="5D610906" w14:textId="77777777" w:rsidTr="00654183">
        <w:trPr>
          <w:trHeight w:val="68"/>
        </w:trPr>
        <w:tc>
          <w:tcPr>
            <w:tcW w:w="1231" w:type="pct"/>
            <w:shd w:val="clear" w:color="auto" w:fill="auto"/>
            <w:noWrap/>
            <w:vAlign w:val="bottom"/>
            <w:hideMark/>
          </w:tcPr>
          <w:p w14:paraId="4B165734" w14:textId="4677547B" w:rsidR="00B959C3" w:rsidRPr="00D27523" w:rsidRDefault="00B959C3" w:rsidP="00BF4DD4">
            <w:pPr>
              <w:tabs>
                <w:tab w:val="clear" w:pos="1247"/>
                <w:tab w:val="clear" w:pos="1814"/>
                <w:tab w:val="clear" w:pos="2381"/>
                <w:tab w:val="clear" w:pos="2948"/>
                <w:tab w:val="clear" w:pos="3515"/>
              </w:tabs>
              <w:spacing w:before="40" w:after="20"/>
              <w:ind w:left="227"/>
              <w:rPr>
                <w:color w:val="000000"/>
                <w:sz w:val="18"/>
                <w:szCs w:val="18"/>
                <w:lang w:val="fr-CH"/>
              </w:rPr>
            </w:pPr>
            <w:r w:rsidRPr="00D27523">
              <w:rPr>
                <w:color w:val="000000"/>
                <w:sz w:val="18"/>
                <w:szCs w:val="18"/>
                <w:lang w:val="fr-CH"/>
              </w:rPr>
              <w:t xml:space="preserve">P-5 </w:t>
            </w:r>
          </w:p>
        </w:tc>
        <w:tc>
          <w:tcPr>
            <w:tcW w:w="1202" w:type="pct"/>
            <w:shd w:val="clear" w:color="auto" w:fill="auto"/>
            <w:noWrap/>
            <w:vAlign w:val="bottom"/>
            <w:hideMark/>
          </w:tcPr>
          <w:p w14:paraId="331C3C36" w14:textId="1EB54362" w:rsidR="00B959C3" w:rsidRPr="00D27523" w:rsidRDefault="00BF4DD4"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0,</w:t>
            </w:r>
            <w:r w:rsidR="00B959C3" w:rsidRPr="00D27523">
              <w:rPr>
                <w:color w:val="000000"/>
                <w:sz w:val="18"/>
                <w:szCs w:val="18"/>
                <w:lang w:val="fr-CH"/>
              </w:rPr>
              <w:t>40</w:t>
            </w:r>
          </w:p>
        </w:tc>
        <w:tc>
          <w:tcPr>
            <w:tcW w:w="1079" w:type="pct"/>
            <w:gridSpan w:val="3"/>
            <w:shd w:val="clear" w:color="auto" w:fill="auto"/>
            <w:noWrap/>
            <w:vAlign w:val="bottom"/>
            <w:hideMark/>
          </w:tcPr>
          <w:p w14:paraId="5D3EA0AF"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1104" w:type="pct"/>
            <w:gridSpan w:val="2"/>
            <w:shd w:val="clear" w:color="auto" w:fill="auto"/>
            <w:noWrap/>
            <w:vAlign w:val="bottom"/>
            <w:hideMark/>
          </w:tcPr>
          <w:p w14:paraId="46A734D6"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384" w:type="pct"/>
            <w:shd w:val="clear" w:color="auto" w:fill="auto"/>
            <w:noWrap/>
            <w:vAlign w:val="bottom"/>
            <w:hideMark/>
          </w:tcPr>
          <w:p w14:paraId="17A2D8BA" w14:textId="48512DDD" w:rsidR="00B959C3" w:rsidRPr="00D27523" w:rsidRDefault="006D49B8"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0,</w:t>
            </w:r>
            <w:r w:rsidR="00B959C3" w:rsidRPr="00D27523">
              <w:rPr>
                <w:color w:val="000000"/>
                <w:sz w:val="18"/>
                <w:szCs w:val="18"/>
                <w:lang w:val="fr-CH"/>
              </w:rPr>
              <w:t>40</w:t>
            </w:r>
          </w:p>
        </w:tc>
      </w:tr>
      <w:tr w:rsidR="00B959C3" w:rsidRPr="00D27523" w14:paraId="7BEB38A6" w14:textId="77777777" w:rsidTr="00654183">
        <w:trPr>
          <w:trHeight w:val="68"/>
        </w:trPr>
        <w:tc>
          <w:tcPr>
            <w:tcW w:w="1231" w:type="pct"/>
            <w:shd w:val="clear" w:color="auto" w:fill="auto"/>
            <w:noWrap/>
            <w:vAlign w:val="bottom"/>
            <w:hideMark/>
          </w:tcPr>
          <w:p w14:paraId="6EA40085" w14:textId="6AF0C853" w:rsidR="00B959C3" w:rsidRPr="00D27523" w:rsidRDefault="00B959C3" w:rsidP="00BF4DD4">
            <w:pPr>
              <w:tabs>
                <w:tab w:val="clear" w:pos="1247"/>
                <w:tab w:val="clear" w:pos="1814"/>
                <w:tab w:val="clear" w:pos="2381"/>
                <w:tab w:val="clear" w:pos="2948"/>
                <w:tab w:val="clear" w:pos="3515"/>
              </w:tabs>
              <w:spacing w:before="40" w:after="20"/>
              <w:ind w:left="227"/>
              <w:rPr>
                <w:color w:val="000000"/>
                <w:sz w:val="18"/>
                <w:szCs w:val="18"/>
                <w:lang w:val="fr-CH"/>
              </w:rPr>
            </w:pPr>
            <w:r w:rsidRPr="00D27523">
              <w:rPr>
                <w:color w:val="000000"/>
                <w:sz w:val="18"/>
                <w:szCs w:val="18"/>
                <w:lang w:val="fr-CH"/>
              </w:rPr>
              <w:t xml:space="preserve">P-4 </w:t>
            </w:r>
          </w:p>
        </w:tc>
        <w:tc>
          <w:tcPr>
            <w:tcW w:w="1202" w:type="pct"/>
            <w:shd w:val="clear" w:color="auto" w:fill="auto"/>
            <w:noWrap/>
            <w:vAlign w:val="bottom"/>
            <w:hideMark/>
          </w:tcPr>
          <w:p w14:paraId="24B4EA40"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1079" w:type="pct"/>
            <w:gridSpan w:val="3"/>
            <w:shd w:val="clear" w:color="auto" w:fill="auto"/>
            <w:noWrap/>
            <w:vAlign w:val="bottom"/>
            <w:hideMark/>
          </w:tcPr>
          <w:p w14:paraId="4B8B5D82" w14:textId="42F796EB" w:rsidR="00B959C3" w:rsidRPr="00D27523" w:rsidRDefault="00B959C3" w:rsidP="00BF4DD4">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1</w:t>
            </w:r>
            <w:r w:rsidR="007044D6">
              <w:rPr>
                <w:color w:val="000000"/>
                <w:sz w:val="18"/>
                <w:szCs w:val="18"/>
                <w:lang w:val="fr-CH"/>
              </w:rPr>
              <w:t>,00</w:t>
            </w:r>
          </w:p>
        </w:tc>
        <w:tc>
          <w:tcPr>
            <w:tcW w:w="1104" w:type="pct"/>
            <w:gridSpan w:val="2"/>
            <w:shd w:val="clear" w:color="auto" w:fill="auto"/>
            <w:noWrap/>
            <w:vAlign w:val="bottom"/>
            <w:hideMark/>
          </w:tcPr>
          <w:p w14:paraId="3C8F3046" w14:textId="77777777" w:rsidR="00B959C3" w:rsidRPr="00D27523"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 </w:t>
            </w:r>
          </w:p>
        </w:tc>
        <w:tc>
          <w:tcPr>
            <w:tcW w:w="384" w:type="pct"/>
            <w:shd w:val="clear" w:color="auto" w:fill="auto"/>
            <w:noWrap/>
            <w:vAlign w:val="bottom"/>
            <w:hideMark/>
          </w:tcPr>
          <w:p w14:paraId="5C3BC46C" w14:textId="0928DFD5" w:rsidR="00B959C3" w:rsidRPr="00D27523" w:rsidRDefault="006D49B8"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D27523">
              <w:rPr>
                <w:color w:val="000000"/>
                <w:sz w:val="18"/>
                <w:szCs w:val="18"/>
                <w:lang w:val="fr-CH"/>
              </w:rPr>
              <w:t>1,</w:t>
            </w:r>
            <w:r w:rsidR="00B959C3" w:rsidRPr="00D27523">
              <w:rPr>
                <w:color w:val="000000"/>
                <w:sz w:val="18"/>
                <w:szCs w:val="18"/>
                <w:lang w:val="fr-CH"/>
              </w:rPr>
              <w:t>00</w:t>
            </w:r>
          </w:p>
        </w:tc>
      </w:tr>
      <w:tr w:rsidR="00B959C3" w:rsidRPr="001828CD" w14:paraId="6F2308D2" w14:textId="77777777" w:rsidTr="00654183">
        <w:trPr>
          <w:trHeight w:val="68"/>
        </w:trPr>
        <w:tc>
          <w:tcPr>
            <w:tcW w:w="1231" w:type="pct"/>
            <w:shd w:val="clear" w:color="auto" w:fill="auto"/>
            <w:noWrap/>
            <w:vAlign w:val="bottom"/>
            <w:hideMark/>
          </w:tcPr>
          <w:p w14:paraId="09E93B35" w14:textId="32420998" w:rsidR="00B959C3" w:rsidRPr="00D27523" w:rsidRDefault="00B959C3" w:rsidP="00BF4DD4">
            <w:pPr>
              <w:tabs>
                <w:tab w:val="clear" w:pos="1247"/>
                <w:tab w:val="clear" w:pos="1814"/>
                <w:tab w:val="clear" w:pos="2381"/>
                <w:tab w:val="clear" w:pos="2948"/>
                <w:tab w:val="clear" w:pos="3515"/>
              </w:tabs>
              <w:spacing w:before="40" w:after="20"/>
              <w:ind w:left="227"/>
              <w:rPr>
                <w:color w:val="000000"/>
                <w:sz w:val="18"/>
                <w:szCs w:val="18"/>
                <w:lang w:val="fr-CH"/>
              </w:rPr>
            </w:pPr>
            <w:r w:rsidRPr="00D27523">
              <w:rPr>
                <w:color w:val="000000"/>
                <w:sz w:val="18"/>
                <w:szCs w:val="18"/>
                <w:lang w:val="fr-CH"/>
              </w:rPr>
              <w:t xml:space="preserve">P-3 </w:t>
            </w:r>
          </w:p>
        </w:tc>
        <w:tc>
          <w:tcPr>
            <w:tcW w:w="1202" w:type="pct"/>
            <w:shd w:val="clear" w:color="auto" w:fill="auto"/>
            <w:noWrap/>
            <w:vAlign w:val="bottom"/>
            <w:hideMark/>
          </w:tcPr>
          <w:p w14:paraId="53912051" w14:textId="02F442F0" w:rsidR="00B959C3" w:rsidRPr="001828CD" w:rsidRDefault="00BF4DD4" w:rsidP="00654183">
            <w:pPr>
              <w:tabs>
                <w:tab w:val="clear" w:pos="1247"/>
                <w:tab w:val="clear" w:pos="1814"/>
                <w:tab w:val="clear" w:pos="2381"/>
                <w:tab w:val="clear" w:pos="2948"/>
                <w:tab w:val="clear" w:pos="3515"/>
              </w:tabs>
              <w:spacing w:before="40" w:after="20"/>
              <w:jc w:val="right"/>
              <w:rPr>
                <w:color w:val="000000"/>
                <w:sz w:val="18"/>
                <w:szCs w:val="18"/>
              </w:rPr>
            </w:pPr>
            <w:r w:rsidRPr="00D27523">
              <w:rPr>
                <w:color w:val="000000"/>
                <w:sz w:val="18"/>
                <w:szCs w:val="18"/>
                <w:lang w:val="fr-CH"/>
              </w:rPr>
              <w:t>1</w:t>
            </w:r>
            <w:r>
              <w:rPr>
                <w:color w:val="000000"/>
                <w:sz w:val="18"/>
                <w:szCs w:val="18"/>
              </w:rPr>
              <w:t>,</w:t>
            </w:r>
            <w:r w:rsidR="00B959C3" w:rsidRPr="001828CD">
              <w:rPr>
                <w:color w:val="000000"/>
                <w:sz w:val="18"/>
                <w:szCs w:val="18"/>
              </w:rPr>
              <w:t>50</w:t>
            </w:r>
          </w:p>
        </w:tc>
        <w:tc>
          <w:tcPr>
            <w:tcW w:w="1079" w:type="pct"/>
            <w:gridSpan w:val="3"/>
            <w:shd w:val="clear" w:color="auto" w:fill="auto"/>
            <w:noWrap/>
            <w:vAlign w:val="bottom"/>
            <w:hideMark/>
          </w:tcPr>
          <w:p w14:paraId="0191A8E2" w14:textId="2F658B51" w:rsidR="00B959C3" w:rsidRPr="001828CD" w:rsidRDefault="00B959C3" w:rsidP="00BF4DD4">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3</w:t>
            </w:r>
            <w:r w:rsidR="007044D6">
              <w:rPr>
                <w:color w:val="000000"/>
                <w:sz w:val="18"/>
                <w:szCs w:val="18"/>
              </w:rPr>
              <w:t>,00</w:t>
            </w:r>
          </w:p>
        </w:tc>
        <w:tc>
          <w:tcPr>
            <w:tcW w:w="1104" w:type="pct"/>
            <w:gridSpan w:val="2"/>
            <w:shd w:val="clear" w:color="auto" w:fill="auto"/>
            <w:noWrap/>
            <w:vAlign w:val="bottom"/>
            <w:hideMark/>
          </w:tcPr>
          <w:p w14:paraId="4C089754" w14:textId="084959F6" w:rsidR="00B959C3" w:rsidRPr="001828CD" w:rsidRDefault="00B959C3" w:rsidP="006D49B8">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1</w:t>
            </w:r>
            <w:r w:rsidR="007044D6">
              <w:rPr>
                <w:color w:val="000000"/>
                <w:sz w:val="18"/>
                <w:szCs w:val="18"/>
              </w:rPr>
              <w:t>,00</w:t>
            </w:r>
          </w:p>
        </w:tc>
        <w:tc>
          <w:tcPr>
            <w:tcW w:w="384" w:type="pct"/>
            <w:shd w:val="clear" w:color="auto" w:fill="auto"/>
            <w:noWrap/>
            <w:vAlign w:val="bottom"/>
            <w:hideMark/>
          </w:tcPr>
          <w:p w14:paraId="00A25853" w14:textId="50300A6D" w:rsidR="00B959C3" w:rsidRPr="001828CD" w:rsidRDefault="006D49B8"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5,</w:t>
            </w:r>
            <w:r w:rsidR="00B959C3" w:rsidRPr="001828CD">
              <w:rPr>
                <w:color w:val="000000"/>
                <w:sz w:val="18"/>
                <w:szCs w:val="18"/>
              </w:rPr>
              <w:t>50</w:t>
            </w:r>
          </w:p>
        </w:tc>
      </w:tr>
      <w:tr w:rsidR="00B959C3" w:rsidRPr="001828CD" w14:paraId="09628A66" w14:textId="77777777" w:rsidTr="00654183">
        <w:trPr>
          <w:trHeight w:val="68"/>
        </w:trPr>
        <w:tc>
          <w:tcPr>
            <w:tcW w:w="1231" w:type="pct"/>
            <w:tcBorders>
              <w:bottom w:val="single" w:sz="4" w:space="0" w:color="auto"/>
            </w:tcBorders>
            <w:shd w:val="clear" w:color="auto" w:fill="auto"/>
            <w:noWrap/>
            <w:vAlign w:val="bottom"/>
            <w:hideMark/>
          </w:tcPr>
          <w:p w14:paraId="2E1641A0" w14:textId="2A76E65C" w:rsidR="00B959C3" w:rsidRPr="001828CD" w:rsidRDefault="00B959C3" w:rsidP="00BF4DD4">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P-2 </w:t>
            </w:r>
          </w:p>
        </w:tc>
        <w:tc>
          <w:tcPr>
            <w:tcW w:w="1202" w:type="pct"/>
            <w:tcBorders>
              <w:bottom w:val="single" w:sz="4" w:space="0" w:color="auto"/>
            </w:tcBorders>
            <w:shd w:val="clear" w:color="auto" w:fill="auto"/>
            <w:noWrap/>
            <w:vAlign w:val="bottom"/>
            <w:hideMark/>
          </w:tcPr>
          <w:p w14:paraId="26E05458" w14:textId="77777777" w:rsidR="00B959C3" w:rsidRPr="001828CD" w:rsidRDefault="00B959C3" w:rsidP="0065418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c>
          <w:tcPr>
            <w:tcW w:w="1079" w:type="pct"/>
            <w:gridSpan w:val="3"/>
            <w:tcBorders>
              <w:bottom w:val="single" w:sz="4" w:space="0" w:color="auto"/>
            </w:tcBorders>
            <w:shd w:val="clear" w:color="auto" w:fill="auto"/>
            <w:noWrap/>
            <w:vAlign w:val="bottom"/>
            <w:hideMark/>
          </w:tcPr>
          <w:p w14:paraId="071076CF" w14:textId="77777777" w:rsidR="00B959C3" w:rsidRPr="001828CD" w:rsidRDefault="00B959C3" w:rsidP="0065418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c>
          <w:tcPr>
            <w:tcW w:w="1104" w:type="pct"/>
            <w:gridSpan w:val="2"/>
            <w:tcBorders>
              <w:bottom w:val="single" w:sz="4" w:space="0" w:color="auto"/>
            </w:tcBorders>
            <w:shd w:val="clear" w:color="auto" w:fill="auto"/>
            <w:noWrap/>
            <w:vAlign w:val="bottom"/>
            <w:hideMark/>
          </w:tcPr>
          <w:p w14:paraId="1DAA9794" w14:textId="77777777" w:rsidR="00B959C3" w:rsidRPr="001828CD" w:rsidRDefault="00B959C3" w:rsidP="0065418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c>
          <w:tcPr>
            <w:tcW w:w="384" w:type="pct"/>
            <w:tcBorders>
              <w:bottom w:val="single" w:sz="4" w:space="0" w:color="auto"/>
            </w:tcBorders>
            <w:shd w:val="clear" w:color="auto" w:fill="auto"/>
            <w:noWrap/>
            <w:vAlign w:val="bottom"/>
            <w:hideMark/>
          </w:tcPr>
          <w:p w14:paraId="3485BAF8" w14:textId="77777777" w:rsidR="00B959C3" w:rsidRPr="001828CD" w:rsidRDefault="00B959C3" w:rsidP="0065418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r>
      <w:tr w:rsidR="00B959C3" w:rsidRPr="001828CD" w14:paraId="7EF544CC" w14:textId="77777777" w:rsidTr="00654183">
        <w:trPr>
          <w:trHeight w:val="58"/>
        </w:trPr>
        <w:tc>
          <w:tcPr>
            <w:tcW w:w="1231" w:type="pct"/>
            <w:tcBorders>
              <w:top w:val="single" w:sz="4" w:space="0" w:color="auto"/>
              <w:bottom w:val="single" w:sz="4" w:space="0" w:color="auto"/>
            </w:tcBorders>
            <w:shd w:val="clear" w:color="auto" w:fill="auto"/>
            <w:noWrap/>
            <w:vAlign w:val="bottom"/>
            <w:hideMark/>
          </w:tcPr>
          <w:p w14:paraId="2464176A" w14:textId="18A553AA" w:rsidR="00B959C3" w:rsidRPr="001828CD" w:rsidRDefault="002B0B9C" w:rsidP="00654183">
            <w:pPr>
              <w:tabs>
                <w:tab w:val="clear" w:pos="1247"/>
                <w:tab w:val="clear" w:pos="1814"/>
                <w:tab w:val="clear" w:pos="2381"/>
                <w:tab w:val="clear" w:pos="2948"/>
                <w:tab w:val="clear" w:pos="3515"/>
              </w:tabs>
              <w:spacing w:before="40" w:after="20"/>
              <w:ind w:left="340"/>
              <w:rPr>
                <w:b/>
                <w:iCs/>
                <w:color w:val="000000"/>
                <w:sz w:val="18"/>
                <w:szCs w:val="18"/>
              </w:rPr>
            </w:pPr>
            <w:r>
              <w:rPr>
                <w:b/>
                <w:iCs/>
                <w:color w:val="000000"/>
                <w:sz w:val="18"/>
                <w:szCs w:val="18"/>
              </w:rPr>
              <w:t>Total partiel</w:t>
            </w:r>
            <w:r w:rsidR="00B959C3" w:rsidRPr="001828CD">
              <w:rPr>
                <w:b/>
                <w:iCs/>
                <w:color w:val="000000"/>
                <w:sz w:val="18"/>
                <w:szCs w:val="18"/>
              </w:rPr>
              <w:t xml:space="preserve"> A</w:t>
            </w:r>
          </w:p>
        </w:tc>
        <w:tc>
          <w:tcPr>
            <w:tcW w:w="1202" w:type="pct"/>
            <w:tcBorders>
              <w:top w:val="single" w:sz="4" w:space="0" w:color="auto"/>
              <w:bottom w:val="single" w:sz="4" w:space="0" w:color="auto"/>
            </w:tcBorders>
            <w:shd w:val="clear" w:color="auto" w:fill="auto"/>
            <w:noWrap/>
            <w:vAlign w:val="bottom"/>
            <w:hideMark/>
          </w:tcPr>
          <w:p w14:paraId="2EE3055E" w14:textId="33B49DFD" w:rsidR="00B959C3" w:rsidRPr="001828CD" w:rsidRDefault="00BF4DD4"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2,</w:t>
            </w:r>
            <w:r w:rsidR="00B959C3" w:rsidRPr="001828CD">
              <w:rPr>
                <w:b/>
                <w:iCs/>
                <w:color w:val="000000"/>
                <w:sz w:val="18"/>
                <w:szCs w:val="18"/>
              </w:rPr>
              <w:t>50</w:t>
            </w:r>
          </w:p>
        </w:tc>
        <w:tc>
          <w:tcPr>
            <w:tcW w:w="1079" w:type="pct"/>
            <w:gridSpan w:val="3"/>
            <w:tcBorders>
              <w:top w:val="single" w:sz="4" w:space="0" w:color="auto"/>
              <w:bottom w:val="single" w:sz="4" w:space="0" w:color="auto"/>
            </w:tcBorders>
            <w:shd w:val="clear" w:color="auto" w:fill="auto"/>
            <w:noWrap/>
            <w:vAlign w:val="bottom"/>
            <w:hideMark/>
          </w:tcPr>
          <w:p w14:paraId="5651A20B" w14:textId="659E6303" w:rsidR="00B959C3" w:rsidRPr="001828CD" w:rsidRDefault="00B959C3" w:rsidP="00BF4DD4">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5</w:t>
            </w:r>
            <w:r w:rsidR="007044D6">
              <w:rPr>
                <w:b/>
                <w:iCs/>
                <w:color w:val="000000"/>
                <w:sz w:val="18"/>
                <w:szCs w:val="18"/>
              </w:rPr>
              <w:t>,00</w:t>
            </w:r>
          </w:p>
        </w:tc>
        <w:tc>
          <w:tcPr>
            <w:tcW w:w="1104" w:type="pct"/>
            <w:gridSpan w:val="2"/>
            <w:tcBorders>
              <w:top w:val="single" w:sz="4" w:space="0" w:color="auto"/>
              <w:bottom w:val="single" w:sz="4" w:space="0" w:color="auto"/>
            </w:tcBorders>
            <w:shd w:val="clear" w:color="auto" w:fill="auto"/>
            <w:noWrap/>
            <w:vAlign w:val="bottom"/>
            <w:hideMark/>
          </w:tcPr>
          <w:p w14:paraId="14C250FF" w14:textId="010CED1D" w:rsidR="00B959C3" w:rsidRPr="001828CD" w:rsidRDefault="00B959C3" w:rsidP="006D49B8">
            <w:pPr>
              <w:tabs>
                <w:tab w:val="clear" w:pos="1247"/>
                <w:tab w:val="clear" w:pos="1814"/>
                <w:tab w:val="clear" w:pos="2381"/>
                <w:tab w:val="clear" w:pos="2948"/>
                <w:tab w:val="clear" w:pos="3515"/>
              </w:tabs>
              <w:spacing w:before="40" w:after="20"/>
              <w:jc w:val="right"/>
              <w:rPr>
                <w:b/>
                <w:iCs/>
                <w:color w:val="000000"/>
                <w:sz w:val="18"/>
                <w:szCs w:val="18"/>
              </w:rPr>
            </w:pPr>
            <w:r w:rsidRPr="001828CD">
              <w:rPr>
                <w:b/>
                <w:iCs/>
                <w:color w:val="000000"/>
                <w:sz w:val="18"/>
                <w:szCs w:val="18"/>
              </w:rPr>
              <w:t>1</w:t>
            </w:r>
            <w:r w:rsidR="007044D6">
              <w:rPr>
                <w:b/>
                <w:iCs/>
                <w:color w:val="000000"/>
                <w:sz w:val="18"/>
                <w:szCs w:val="18"/>
              </w:rPr>
              <w:t>,00</w:t>
            </w:r>
          </w:p>
        </w:tc>
        <w:tc>
          <w:tcPr>
            <w:tcW w:w="384" w:type="pct"/>
            <w:tcBorders>
              <w:top w:val="single" w:sz="4" w:space="0" w:color="auto"/>
              <w:bottom w:val="single" w:sz="4" w:space="0" w:color="auto"/>
            </w:tcBorders>
            <w:shd w:val="clear" w:color="auto" w:fill="auto"/>
            <w:noWrap/>
            <w:vAlign w:val="bottom"/>
            <w:hideMark/>
          </w:tcPr>
          <w:p w14:paraId="7DAA07AC" w14:textId="15F3B1CA" w:rsidR="00B959C3" w:rsidRPr="001828CD" w:rsidRDefault="006D49B8"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8,</w:t>
            </w:r>
            <w:r w:rsidR="00B959C3" w:rsidRPr="001828CD">
              <w:rPr>
                <w:b/>
                <w:iCs/>
                <w:color w:val="000000"/>
                <w:sz w:val="18"/>
                <w:szCs w:val="18"/>
              </w:rPr>
              <w:t>50</w:t>
            </w:r>
          </w:p>
        </w:tc>
      </w:tr>
      <w:tr w:rsidR="00B959C3" w:rsidRPr="00A84D20" w14:paraId="0E39D5ED" w14:textId="77777777" w:rsidTr="00654183">
        <w:trPr>
          <w:trHeight w:val="58"/>
        </w:trPr>
        <w:tc>
          <w:tcPr>
            <w:tcW w:w="1231" w:type="pct"/>
            <w:tcBorders>
              <w:top w:val="single" w:sz="4" w:space="0" w:color="auto"/>
            </w:tcBorders>
            <w:shd w:val="clear" w:color="auto" w:fill="auto"/>
            <w:noWrap/>
            <w:vAlign w:val="bottom"/>
            <w:hideMark/>
          </w:tcPr>
          <w:p w14:paraId="225D34EE" w14:textId="3657B418" w:rsidR="00B959C3" w:rsidRPr="006D49B8" w:rsidRDefault="00B959C3" w:rsidP="002B0B9C">
            <w:pPr>
              <w:tabs>
                <w:tab w:val="clear" w:pos="1247"/>
                <w:tab w:val="clear" w:pos="1814"/>
                <w:tab w:val="clear" w:pos="2381"/>
                <w:tab w:val="clear" w:pos="2948"/>
                <w:tab w:val="clear" w:pos="3515"/>
              </w:tabs>
              <w:spacing w:before="40" w:after="20"/>
              <w:rPr>
                <w:color w:val="000000"/>
                <w:sz w:val="18"/>
                <w:szCs w:val="18"/>
                <w:lang w:val="fr-CH"/>
              </w:rPr>
            </w:pPr>
            <w:r w:rsidRPr="006D49B8">
              <w:rPr>
                <w:color w:val="000000"/>
                <w:sz w:val="18"/>
                <w:szCs w:val="18"/>
                <w:lang w:val="fr-CH"/>
              </w:rPr>
              <w:t xml:space="preserve">B. </w:t>
            </w:r>
            <w:r w:rsidR="002B0B9C">
              <w:rPr>
                <w:color w:val="000000"/>
                <w:sz w:val="18"/>
                <w:szCs w:val="18"/>
                <w:lang w:val="fr-CH"/>
              </w:rPr>
              <w:t>Agents des</w:t>
            </w:r>
            <w:r w:rsidR="006D49B8" w:rsidRPr="006D49B8">
              <w:rPr>
                <w:color w:val="000000"/>
                <w:sz w:val="18"/>
                <w:szCs w:val="18"/>
                <w:lang w:val="fr-CH"/>
              </w:rPr>
              <w:t xml:space="preserve"> services généraux</w:t>
            </w:r>
          </w:p>
        </w:tc>
        <w:tc>
          <w:tcPr>
            <w:tcW w:w="1202" w:type="pct"/>
            <w:tcBorders>
              <w:top w:val="single" w:sz="4" w:space="0" w:color="auto"/>
            </w:tcBorders>
            <w:shd w:val="clear" w:color="auto" w:fill="auto"/>
            <w:noWrap/>
            <w:vAlign w:val="bottom"/>
            <w:hideMark/>
          </w:tcPr>
          <w:p w14:paraId="6CC45ACF" w14:textId="77777777" w:rsidR="00B959C3" w:rsidRPr="006D49B8"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6D49B8">
              <w:rPr>
                <w:color w:val="000000"/>
                <w:sz w:val="18"/>
                <w:szCs w:val="18"/>
                <w:lang w:val="fr-CH"/>
              </w:rPr>
              <w:t> </w:t>
            </w:r>
          </w:p>
        </w:tc>
        <w:tc>
          <w:tcPr>
            <w:tcW w:w="1079" w:type="pct"/>
            <w:gridSpan w:val="3"/>
            <w:tcBorders>
              <w:top w:val="single" w:sz="4" w:space="0" w:color="auto"/>
            </w:tcBorders>
            <w:shd w:val="clear" w:color="auto" w:fill="auto"/>
            <w:noWrap/>
            <w:vAlign w:val="bottom"/>
            <w:hideMark/>
          </w:tcPr>
          <w:p w14:paraId="43DCBAEC" w14:textId="77777777" w:rsidR="00B959C3" w:rsidRPr="006D49B8"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6D49B8">
              <w:rPr>
                <w:color w:val="000000"/>
                <w:sz w:val="18"/>
                <w:szCs w:val="18"/>
                <w:lang w:val="fr-CH"/>
              </w:rPr>
              <w:t> </w:t>
            </w:r>
          </w:p>
        </w:tc>
        <w:tc>
          <w:tcPr>
            <w:tcW w:w="1104" w:type="pct"/>
            <w:gridSpan w:val="2"/>
            <w:tcBorders>
              <w:top w:val="single" w:sz="4" w:space="0" w:color="auto"/>
            </w:tcBorders>
            <w:shd w:val="clear" w:color="auto" w:fill="auto"/>
            <w:noWrap/>
            <w:vAlign w:val="bottom"/>
            <w:hideMark/>
          </w:tcPr>
          <w:p w14:paraId="05FBD62A" w14:textId="77777777" w:rsidR="00B959C3" w:rsidRPr="006D49B8"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6D49B8">
              <w:rPr>
                <w:color w:val="000000"/>
                <w:sz w:val="18"/>
                <w:szCs w:val="18"/>
                <w:lang w:val="fr-CH"/>
              </w:rPr>
              <w:t> </w:t>
            </w:r>
          </w:p>
        </w:tc>
        <w:tc>
          <w:tcPr>
            <w:tcW w:w="384" w:type="pct"/>
            <w:tcBorders>
              <w:top w:val="single" w:sz="4" w:space="0" w:color="auto"/>
            </w:tcBorders>
            <w:shd w:val="clear" w:color="auto" w:fill="auto"/>
            <w:noWrap/>
            <w:vAlign w:val="bottom"/>
            <w:hideMark/>
          </w:tcPr>
          <w:p w14:paraId="2953C859" w14:textId="77777777" w:rsidR="00B959C3" w:rsidRPr="006D49B8"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6D49B8">
              <w:rPr>
                <w:color w:val="000000"/>
                <w:sz w:val="18"/>
                <w:szCs w:val="18"/>
                <w:lang w:val="fr-CH"/>
              </w:rPr>
              <w:t> </w:t>
            </w:r>
          </w:p>
        </w:tc>
      </w:tr>
      <w:tr w:rsidR="00B959C3" w:rsidRPr="001828CD" w14:paraId="5E1733D7" w14:textId="77777777" w:rsidTr="00654183">
        <w:trPr>
          <w:trHeight w:val="68"/>
        </w:trPr>
        <w:tc>
          <w:tcPr>
            <w:tcW w:w="1231" w:type="pct"/>
            <w:tcBorders>
              <w:bottom w:val="single" w:sz="4" w:space="0" w:color="auto"/>
            </w:tcBorders>
            <w:shd w:val="clear" w:color="auto" w:fill="auto"/>
            <w:noWrap/>
            <w:vAlign w:val="bottom"/>
            <w:hideMark/>
          </w:tcPr>
          <w:p w14:paraId="5BD0A589" w14:textId="77777777" w:rsidR="00B959C3" w:rsidRPr="006D49B8" w:rsidRDefault="00B959C3" w:rsidP="00654183">
            <w:pPr>
              <w:tabs>
                <w:tab w:val="clear" w:pos="1247"/>
                <w:tab w:val="clear" w:pos="1814"/>
                <w:tab w:val="clear" w:pos="2381"/>
                <w:tab w:val="clear" w:pos="2948"/>
                <w:tab w:val="clear" w:pos="3515"/>
              </w:tabs>
              <w:spacing w:before="40" w:after="20"/>
              <w:rPr>
                <w:color w:val="000000"/>
                <w:sz w:val="18"/>
                <w:szCs w:val="18"/>
                <w:lang w:val="fr-CH"/>
              </w:rPr>
            </w:pPr>
          </w:p>
        </w:tc>
        <w:tc>
          <w:tcPr>
            <w:tcW w:w="1202" w:type="pct"/>
            <w:tcBorders>
              <w:bottom w:val="single" w:sz="4" w:space="0" w:color="auto"/>
            </w:tcBorders>
            <w:shd w:val="clear" w:color="auto" w:fill="auto"/>
            <w:noWrap/>
            <w:vAlign w:val="bottom"/>
            <w:hideMark/>
          </w:tcPr>
          <w:p w14:paraId="6E6B5AB3" w14:textId="77777777" w:rsidR="00B959C3" w:rsidRPr="006D49B8" w:rsidRDefault="00B959C3" w:rsidP="00654183">
            <w:pPr>
              <w:tabs>
                <w:tab w:val="clear" w:pos="1247"/>
                <w:tab w:val="clear" w:pos="1814"/>
                <w:tab w:val="clear" w:pos="2381"/>
                <w:tab w:val="clear" w:pos="2948"/>
                <w:tab w:val="clear" w:pos="3515"/>
              </w:tabs>
              <w:spacing w:before="40" w:after="20"/>
              <w:jc w:val="right"/>
              <w:rPr>
                <w:color w:val="000000"/>
                <w:sz w:val="18"/>
                <w:szCs w:val="18"/>
                <w:lang w:val="fr-CH"/>
              </w:rPr>
            </w:pPr>
            <w:r w:rsidRPr="006D49B8">
              <w:rPr>
                <w:color w:val="000000"/>
                <w:sz w:val="18"/>
                <w:szCs w:val="18"/>
                <w:lang w:val="fr-CH"/>
              </w:rPr>
              <w:t> </w:t>
            </w:r>
          </w:p>
        </w:tc>
        <w:tc>
          <w:tcPr>
            <w:tcW w:w="1079" w:type="pct"/>
            <w:gridSpan w:val="3"/>
            <w:tcBorders>
              <w:bottom w:val="single" w:sz="4" w:space="0" w:color="auto"/>
            </w:tcBorders>
            <w:shd w:val="clear" w:color="auto" w:fill="auto"/>
            <w:noWrap/>
            <w:vAlign w:val="bottom"/>
            <w:hideMark/>
          </w:tcPr>
          <w:p w14:paraId="27836E61" w14:textId="2B7B9ADD" w:rsidR="00B959C3" w:rsidRPr="001828CD" w:rsidRDefault="00B959C3" w:rsidP="00BF4DD4">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4</w:t>
            </w:r>
            <w:r w:rsidR="007044D6">
              <w:rPr>
                <w:color w:val="000000"/>
                <w:sz w:val="18"/>
                <w:szCs w:val="18"/>
              </w:rPr>
              <w:t>,00</w:t>
            </w:r>
          </w:p>
        </w:tc>
        <w:tc>
          <w:tcPr>
            <w:tcW w:w="1104" w:type="pct"/>
            <w:gridSpan w:val="2"/>
            <w:tcBorders>
              <w:bottom w:val="single" w:sz="4" w:space="0" w:color="auto"/>
            </w:tcBorders>
            <w:shd w:val="clear" w:color="auto" w:fill="auto"/>
            <w:noWrap/>
            <w:vAlign w:val="bottom"/>
            <w:hideMark/>
          </w:tcPr>
          <w:p w14:paraId="782E41B2" w14:textId="36BC012C" w:rsidR="00B959C3" w:rsidRPr="001828CD" w:rsidRDefault="001F117F" w:rsidP="001F117F">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7044D6">
              <w:rPr>
                <w:color w:val="000000"/>
                <w:sz w:val="18"/>
                <w:szCs w:val="18"/>
              </w:rPr>
              <w:t>,00</w:t>
            </w:r>
          </w:p>
        </w:tc>
        <w:tc>
          <w:tcPr>
            <w:tcW w:w="384" w:type="pct"/>
            <w:tcBorders>
              <w:bottom w:val="single" w:sz="4" w:space="0" w:color="auto"/>
            </w:tcBorders>
            <w:shd w:val="clear" w:color="auto" w:fill="auto"/>
            <w:noWrap/>
            <w:vAlign w:val="bottom"/>
            <w:hideMark/>
          </w:tcPr>
          <w:p w14:paraId="219B4E4A" w14:textId="16B1CB33" w:rsidR="00B959C3" w:rsidRPr="001828CD" w:rsidRDefault="001F117F" w:rsidP="00654183">
            <w:pPr>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5,</w:t>
            </w:r>
            <w:r w:rsidR="00B959C3" w:rsidRPr="001828CD">
              <w:rPr>
                <w:color w:val="000000"/>
                <w:sz w:val="18"/>
                <w:szCs w:val="18"/>
              </w:rPr>
              <w:t>00</w:t>
            </w:r>
          </w:p>
        </w:tc>
      </w:tr>
      <w:tr w:rsidR="00B959C3" w:rsidRPr="001828CD" w14:paraId="473F1963" w14:textId="77777777" w:rsidTr="00654183">
        <w:trPr>
          <w:trHeight w:val="58"/>
        </w:trPr>
        <w:tc>
          <w:tcPr>
            <w:tcW w:w="1231" w:type="pct"/>
            <w:tcBorders>
              <w:top w:val="single" w:sz="4" w:space="0" w:color="auto"/>
              <w:bottom w:val="single" w:sz="4" w:space="0" w:color="auto"/>
            </w:tcBorders>
            <w:shd w:val="clear" w:color="auto" w:fill="auto"/>
            <w:noWrap/>
            <w:vAlign w:val="bottom"/>
            <w:hideMark/>
          </w:tcPr>
          <w:p w14:paraId="3B2C9978" w14:textId="0EFA41C8" w:rsidR="00B959C3" w:rsidRPr="001828CD" w:rsidRDefault="002B0B9C" w:rsidP="002B0B9C">
            <w:pPr>
              <w:tabs>
                <w:tab w:val="clear" w:pos="1247"/>
                <w:tab w:val="clear" w:pos="1814"/>
                <w:tab w:val="clear" w:pos="2381"/>
                <w:tab w:val="clear" w:pos="2948"/>
                <w:tab w:val="clear" w:pos="3515"/>
              </w:tabs>
              <w:spacing w:before="40" w:after="20"/>
              <w:ind w:left="340"/>
              <w:rPr>
                <w:i/>
                <w:iCs/>
                <w:color w:val="000000"/>
                <w:sz w:val="18"/>
                <w:szCs w:val="18"/>
              </w:rPr>
            </w:pPr>
            <w:r>
              <w:rPr>
                <w:b/>
                <w:iCs/>
                <w:color w:val="000000"/>
                <w:sz w:val="18"/>
                <w:szCs w:val="18"/>
              </w:rPr>
              <w:t>T</w:t>
            </w:r>
            <w:r w:rsidR="00B959C3" w:rsidRPr="001828CD">
              <w:rPr>
                <w:b/>
                <w:iCs/>
                <w:color w:val="000000"/>
                <w:sz w:val="18"/>
                <w:szCs w:val="18"/>
              </w:rPr>
              <w:t>otal</w:t>
            </w:r>
            <w:r>
              <w:rPr>
                <w:b/>
                <w:iCs/>
                <w:color w:val="000000"/>
                <w:sz w:val="18"/>
                <w:szCs w:val="18"/>
              </w:rPr>
              <w:t xml:space="preserve"> partiel</w:t>
            </w:r>
            <w:r w:rsidR="00B959C3" w:rsidRPr="001828CD">
              <w:rPr>
                <w:b/>
                <w:iCs/>
                <w:color w:val="000000"/>
                <w:sz w:val="18"/>
                <w:szCs w:val="18"/>
              </w:rPr>
              <w:t xml:space="preserve"> B</w:t>
            </w:r>
          </w:p>
        </w:tc>
        <w:tc>
          <w:tcPr>
            <w:tcW w:w="1202" w:type="pct"/>
            <w:tcBorders>
              <w:top w:val="single" w:sz="4" w:space="0" w:color="auto"/>
              <w:bottom w:val="single" w:sz="4" w:space="0" w:color="auto"/>
            </w:tcBorders>
            <w:shd w:val="clear" w:color="auto" w:fill="auto"/>
            <w:noWrap/>
            <w:vAlign w:val="bottom"/>
            <w:hideMark/>
          </w:tcPr>
          <w:p w14:paraId="39086CAE"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 </w:t>
            </w:r>
          </w:p>
        </w:tc>
        <w:tc>
          <w:tcPr>
            <w:tcW w:w="1079" w:type="pct"/>
            <w:gridSpan w:val="3"/>
            <w:tcBorders>
              <w:top w:val="single" w:sz="4" w:space="0" w:color="auto"/>
              <w:bottom w:val="single" w:sz="4" w:space="0" w:color="auto"/>
            </w:tcBorders>
            <w:shd w:val="clear" w:color="auto" w:fill="auto"/>
            <w:noWrap/>
            <w:vAlign w:val="bottom"/>
            <w:hideMark/>
          </w:tcPr>
          <w:p w14:paraId="133E321F" w14:textId="3FF0E7F4" w:rsidR="00B959C3" w:rsidRPr="006432A8" w:rsidRDefault="00B959C3" w:rsidP="00BF4DD4">
            <w:pPr>
              <w:tabs>
                <w:tab w:val="clear" w:pos="1247"/>
                <w:tab w:val="clear" w:pos="1814"/>
                <w:tab w:val="clear" w:pos="2381"/>
                <w:tab w:val="clear" w:pos="2948"/>
                <w:tab w:val="clear" w:pos="3515"/>
              </w:tabs>
              <w:spacing w:before="40" w:after="20"/>
              <w:jc w:val="right"/>
              <w:rPr>
                <w:b/>
                <w:iCs/>
                <w:color w:val="000000"/>
                <w:sz w:val="18"/>
                <w:szCs w:val="18"/>
              </w:rPr>
            </w:pPr>
            <w:r w:rsidRPr="006432A8">
              <w:rPr>
                <w:b/>
                <w:iCs/>
                <w:color w:val="000000"/>
                <w:sz w:val="18"/>
                <w:szCs w:val="18"/>
              </w:rPr>
              <w:t>4</w:t>
            </w:r>
            <w:r w:rsidR="007044D6">
              <w:rPr>
                <w:b/>
                <w:iCs/>
                <w:color w:val="000000"/>
                <w:sz w:val="18"/>
                <w:szCs w:val="18"/>
              </w:rPr>
              <w:t>,00</w:t>
            </w:r>
          </w:p>
        </w:tc>
        <w:tc>
          <w:tcPr>
            <w:tcW w:w="1104" w:type="pct"/>
            <w:gridSpan w:val="2"/>
            <w:tcBorders>
              <w:top w:val="single" w:sz="4" w:space="0" w:color="auto"/>
              <w:bottom w:val="single" w:sz="4" w:space="0" w:color="auto"/>
            </w:tcBorders>
            <w:shd w:val="clear" w:color="auto" w:fill="auto"/>
            <w:noWrap/>
            <w:vAlign w:val="bottom"/>
            <w:hideMark/>
          </w:tcPr>
          <w:p w14:paraId="541579BF" w14:textId="55FDED1F" w:rsidR="00B959C3" w:rsidRPr="006432A8" w:rsidRDefault="001F117F"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1</w:t>
            </w:r>
            <w:r w:rsidR="007044D6">
              <w:rPr>
                <w:b/>
                <w:iCs/>
                <w:color w:val="000000"/>
                <w:sz w:val="18"/>
                <w:szCs w:val="18"/>
              </w:rPr>
              <w:t>,00</w:t>
            </w:r>
          </w:p>
        </w:tc>
        <w:tc>
          <w:tcPr>
            <w:tcW w:w="384" w:type="pct"/>
            <w:tcBorders>
              <w:top w:val="single" w:sz="4" w:space="0" w:color="auto"/>
              <w:bottom w:val="single" w:sz="4" w:space="0" w:color="auto"/>
            </w:tcBorders>
            <w:shd w:val="clear" w:color="auto" w:fill="auto"/>
            <w:noWrap/>
            <w:vAlign w:val="bottom"/>
            <w:hideMark/>
          </w:tcPr>
          <w:p w14:paraId="56EC6DDA" w14:textId="50A6B903" w:rsidR="00B959C3" w:rsidRPr="006432A8" w:rsidRDefault="001F117F" w:rsidP="00654183">
            <w:pPr>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5,</w:t>
            </w:r>
            <w:r w:rsidR="00B959C3" w:rsidRPr="006432A8">
              <w:rPr>
                <w:b/>
                <w:iCs/>
                <w:color w:val="000000"/>
                <w:sz w:val="18"/>
                <w:szCs w:val="18"/>
              </w:rPr>
              <w:t>00</w:t>
            </w:r>
          </w:p>
        </w:tc>
      </w:tr>
      <w:tr w:rsidR="00B959C3" w:rsidRPr="001828CD" w14:paraId="610D9D6B" w14:textId="77777777" w:rsidTr="00654183">
        <w:trPr>
          <w:trHeight w:val="58"/>
        </w:trPr>
        <w:tc>
          <w:tcPr>
            <w:tcW w:w="1231" w:type="pct"/>
            <w:tcBorders>
              <w:top w:val="single" w:sz="4" w:space="0" w:color="auto"/>
              <w:bottom w:val="single" w:sz="12" w:space="0" w:color="auto"/>
            </w:tcBorders>
            <w:shd w:val="clear" w:color="auto" w:fill="auto"/>
            <w:noWrap/>
            <w:vAlign w:val="bottom"/>
            <w:hideMark/>
          </w:tcPr>
          <w:p w14:paraId="5ABDD8F5" w14:textId="77777777" w:rsidR="00B959C3" w:rsidRPr="001828CD" w:rsidRDefault="00B959C3" w:rsidP="00654183">
            <w:pPr>
              <w:tabs>
                <w:tab w:val="clear" w:pos="1247"/>
                <w:tab w:val="clear" w:pos="1814"/>
                <w:tab w:val="clear" w:pos="2381"/>
                <w:tab w:val="clear" w:pos="2948"/>
                <w:tab w:val="clear" w:pos="3515"/>
              </w:tabs>
              <w:spacing w:before="40" w:after="20"/>
              <w:ind w:left="340"/>
              <w:rPr>
                <w:b/>
                <w:iCs/>
                <w:color w:val="000000"/>
                <w:sz w:val="18"/>
                <w:szCs w:val="18"/>
              </w:rPr>
            </w:pPr>
            <w:r w:rsidRPr="001828CD">
              <w:rPr>
                <w:b/>
                <w:iCs/>
                <w:color w:val="000000"/>
                <w:sz w:val="18"/>
                <w:szCs w:val="18"/>
              </w:rPr>
              <w:t>TOTAL (A+B)</w:t>
            </w:r>
          </w:p>
        </w:tc>
        <w:tc>
          <w:tcPr>
            <w:tcW w:w="1202" w:type="pct"/>
            <w:tcBorders>
              <w:top w:val="single" w:sz="4" w:space="0" w:color="auto"/>
              <w:bottom w:val="single" w:sz="12" w:space="0" w:color="auto"/>
            </w:tcBorders>
            <w:shd w:val="clear" w:color="auto" w:fill="auto"/>
            <w:noWrap/>
            <w:vAlign w:val="bottom"/>
            <w:hideMark/>
          </w:tcPr>
          <w:p w14:paraId="403921B8" w14:textId="799E0E73" w:rsidR="00B959C3" w:rsidRPr="001828CD" w:rsidRDefault="00BF4DD4" w:rsidP="00654183">
            <w:pPr>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2,</w:t>
            </w:r>
            <w:r w:rsidR="00B959C3" w:rsidRPr="001828CD">
              <w:rPr>
                <w:b/>
                <w:bCs/>
                <w:color w:val="000000"/>
                <w:sz w:val="18"/>
                <w:szCs w:val="18"/>
              </w:rPr>
              <w:t>50</w:t>
            </w:r>
          </w:p>
        </w:tc>
        <w:tc>
          <w:tcPr>
            <w:tcW w:w="1079" w:type="pct"/>
            <w:gridSpan w:val="3"/>
            <w:tcBorders>
              <w:top w:val="single" w:sz="4" w:space="0" w:color="auto"/>
              <w:bottom w:val="single" w:sz="12" w:space="0" w:color="auto"/>
            </w:tcBorders>
            <w:shd w:val="clear" w:color="auto" w:fill="auto"/>
            <w:noWrap/>
            <w:vAlign w:val="bottom"/>
            <w:hideMark/>
          </w:tcPr>
          <w:p w14:paraId="6ACF6D34" w14:textId="17FF430D" w:rsidR="00B959C3" w:rsidRPr="001828CD" w:rsidRDefault="00B959C3" w:rsidP="00BF4DD4">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9</w:t>
            </w:r>
            <w:r w:rsidR="007044D6">
              <w:rPr>
                <w:b/>
                <w:bCs/>
                <w:color w:val="000000"/>
                <w:sz w:val="18"/>
                <w:szCs w:val="18"/>
              </w:rPr>
              <w:t>,00</w:t>
            </w:r>
          </w:p>
        </w:tc>
        <w:tc>
          <w:tcPr>
            <w:tcW w:w="1104" w:type="pct"/>
            <w:gridSpan w:val="2"/>
            <w:tcBorders>
              <w:top w:val="single" w:sz="4" w:space="0" w:color="auto"/>
              <w:bottom w:val="single" w:sz="12" w:space="0" w:color="auto"/>
            </w:tcBorders>
            <w:shd w:val="clear" w:color="auto" w:fill="auto"/>
            <w:noWrap/>
            <w:vAlign w:val="bottom"/>
            <w:hideMark/>
          </w:tcPr>
          <w:p w14:paraId="329D4A2B" w14:textId="097EA059" w:rsidR="00B959C3" w:rsidRPr="001828CD" w:rsidRDefault="00B959C3" w:rsidP="001F117F">
            <w:pPr>
              <w:tabs>
                <w:tab w:val="clear" w:pos="1247"/>
                <w:tab w:val="clear" w:pos="1814"/>
                <w:tab w:val="clear" w:pos="2381"/>
                <w:tab w:val="clear" w:pos="2948"/>
                <w:tab w:val="clear" w:pos="3515"/>
              </w:tabs>
              <w:spacing w:before="40" w:after="20"/>
              <w:jc w:val="right"/>
              <w:rPr>
                <w:b/>
                <w:bCs/>
                <w:color w:val="000000"/>
                <w:sz w:val="18"/>
                <w:szCs w:val="18"/>
              </w:rPr>
            </w:pPr>
            <w:r w:rsidRPr="001828CD">
              <w:rPr>
                <w:b/>
                <w:bCs/>
                <w:color w:val="000000"/>
                <w:sz w:val="18"/>
                <w:szCs w:val="18"/>
              </w:rPr>
              <w:t>2</w:t>
            </w:r>
            <w:r w:rsidR="007044D6">
              <w:rPr>
                <w:b/>
                <w:bCs/>
                <w:color w:val="000000"/>
                <w:sz w:val="18"/>
                <w:szCs w:val="18"/>
              </w:rPr>
              <w:t>,00</w:t>
            </w:r>
          </w:p>
        </w:tc>
        <w:tc>
          <w:tcPr>
            <w:tcW w:w="384" w:type="pct"/>
            <w:tcBorders>
              <w:top w:val="single" w:sz="4" w:space="0" w:color="auto"/>
              <w:bottom w:val="single" w:sz="12" w:space="0" w:color="auto"/>
            </w:tcBorders>
            <w:shd w:val="clear" w:color="auto" w:fill="auto"/>
            <w:noWrap/>
            <w:vAlign w:val="bottom"/>
            <w:hideMark/>
          </w:tcPr>
          <w:p w14:paraId="57332B36" w14:textId="25EB8798" w:rsidR="00B959C3" w:rsidRPr="001828CD" w:rsidRDefault="001F117F" w:rsidP="00654183">
            <w:pPr>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13,5</w:t>
            </w:r>
            <w:r w:rsidR="00B959C3" w:rsidRPr="001828CD">
              <w:rPr>
                <w:b/>
                <w:bCs/>
                <w:color w:val="000000"/>
                <w:sz w:val="18"/>
                <w:szCs w:val="18"/>
              </w:rPr>
              <w:t>0</w:t>
            </w:r>
          </w:p>
        </w:tc>
      </w:tr>
      <w:tr w:rsidR="00B959C3" w:rsidRPr="001828CD" w14:paraId="21540E65" w14:textId="77777777" w:rsidTr="00654183">
        <w:trPr>
          <w:trHeight w:val="58"/>
        </w:trPr>
        <w:tc>
          <w:tcPr>
            <w:tcW w:w="1231" w:type="pct"/>
            <w:tcBorders>
              <w:top w:val="single" w:sz="12" w:space="0" w:color="auto"/>
              <w:bottom w:val="single" w:sz="4" w:space="0" w:color="auto"/>
            </w:tcBorders>
            <w:shd w:val="clear" w:color="auto" w:fill="auto"/>
            <w:noWrap/>
            <w:vAlign w:val="bottom"/>
            <w:hideMark/>
          </w:tcPr>
          <w:p w14:paraId="625CF3CD" w14:textId="2107672C" w:rsidR="00B959C3" w:rsidRPr="001828CD" w:rsidRDefault="006D49B8" w:rsidP="00654183">
            <w:pPr>
              <w:tabs>
                <w:tab w:val="clear" w:pos="1247"/>
                <w:tab w:val="clear" w:pos="1814"/>
                <w:tab w:val="clear" w:pos="2381"/>
                <w:tab w:val="clear" w:pos="2948"/>
                <w:tab w:val="clear" w:pos="3515"/>
              </w:tabs>
              <w:spacing w:before="40" w:after="20"/>
              <w:ind w:left="340"/>
              <w:rPr>
                <w:iCs/>
                <w:color w:val="000000"/>
                <w:sz w:val="18"/>
                <w:szCs w:val="18"/>
              </w:rPr>
            </w:pPr>
            <w:r>
              <w:rPr>
                <w:iCs/>
                <w:color w:val="000000"/>
                <w:sz w:val="18"/>
                <w:szCs w:val="18"/>
              </w:rPr>
              <w:t>Remarque</w:t>
            </w:r>
            <w:r w:rsidR="00B959C3" w:rsidRPr="001828CD">
              <w:rPr>
                <w:iCs/>
                <w:color w:val="000000"/>
                <w:sz w:val="18"/>
                <w:szCs w:val="18"/>
              </w:rPr>
              <w:t>s</w:t>
            </w:r>
          </w:p>
        </w:tc>
        <w:tc>
          <w:tcPr>
            <w:tcW w:w="1202" w:type="pct"/>
            <w:tcBorders>
              <w:top w:val="single" w:sz="12" w:space="0" w:color="auto"/>
              <w:bottom w:val="single" w:sz="4" w:space="0" w:color="auto"/>
            </w:tcBorders>
            <w:shd w:val="clear" w:color="auto" w:fill="auto"/>
            <w:noWrap/>
            <w:vAlign w:val="bottom"/>
            <w:hideMark/>
          </w:tcPr>
          <w:p w14:paraId="2301E8D3"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a</w:t>
            </w:r>
          </w:p>
        </w:tc>
        <w:tc>
          <w:tcPr>
            <w:tcW w:w="1079" w:type="pct"/>
            <w:gridSpan w:val="3"/>
            <w:tcBorders>
              <w:top w:val="single" w:sz="12" w:space="0" w:color="auto"/>
              <w:bottom w:val="single" w:sz="4" w:space="0" w:color="auto"/>
            </w:tcBorders>
            <w:shd w:val="clear" w:color="auto" w:fill="auto"/>
            <w:noWrap/>
            <w:vAlign w:val="bottom"/>
            <w:hideMark/>
          </w:tcPr>
          <w:p w14:paraId="1B4DA8F7"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d</w:t>
            </w:r>
          </w:p>
        </w:tc>
        <w:tc>
          <w:tcPr>
            <w:tcW w:w="1104" w:type="pct"/>
            <w:gridSpan w:val="2"/>
            <w:tcBorders>
              <w:top w:val="single" w:sz="12" w:space="0" w:color="auto"/>
              <w:bottom w:val="single" w:sz="4" w:space="0" w:color="auto"/>
            </w:tcBorders>
            <w:shd w:val="clear" w:color="auto" w:fill="auto"/>
            <w:noWrap/>
            <w:vAlign w:val="bottom"/>
            <w:hideMark/>
          </w:tcPr>
          <w:p w14:paraId="0D57DC0F" w14:textId="77777777" w:rsidR="00B959C3" w:rsidRPr="001828CD" w:rsidRDefault="00B959C3" w:rsidP="00654183">
            <w:pPr>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c</w:t>
            </w:r>
          </w:p>
        </w:tc>
        <w:tc>
          <w:tcPr>
            <w:tcW w:w="384" w:type="pct"/>
            <w:tcBorders>
              <w:top w:val="single" w:sz="12" w:space="0" w:color="auto"/>
              <w:bottom w:val="single" w:sz="4" w:space="0" w:color="auto"/>
            </w:tcBorders>
            <w:shd w:val="clear" w:color="auto" w:fill="auto"/>
            <w:noWrap/>
            <w:vAlign w:val="bottom"/>
            <w:hideMark/>
          </w:tcPr>
          <w:p w14:paraId="7EA1D422" w14:textId="77777777" w:rsidR="00B959C3" w:rsidRPr="001828CD" w:rsidRDefault="00B959C3" w:rsidP="00654183">
            <w:pPr>
              <w:tabs>
                <w:tab w:val="clear" w:pos="1247"/>
                <w:tab w:val="clear" w:pos="1814"/>
                <w:tab w:val="clear" w:pos="2381"/>
                <w:tab w:val="clear" w:pos="2948"/>
                <w:tab w:val="clear" w:pos="3515"/>
              </w:tabs>
              <w:spacing w:before="40" w:after="20"/>
              <w:jc w:val="right"/>
              <w:rPr>
                <w:color w:val="000000"/>
                <w:sz w:val="18"/>
                <w:szCs w:val="18"/>
              </w:rPr>
            </w:pPr>
            <w:r w:rsidRPr="001828CD">
              <w:rPr>
                <w:color w:val="000000"/>
                <w:sz w:val="18"/>
                <w:szCs w:val="18"/>
              </w:rPr>
              <w:t> </w:t>
            </w:r>
          </w:p>
        </w:tc>
      </w:tr>
      <w:tr w:rsidR="00B959C3" w:rsidRPr="00A84D20" w14:paraId="43EF60C6" w14:textId="77777777" w:rsidTr="00654183">
        <w:trPr>
          <w:trHeight w:val="335"/>
        </w:trPr>
        <w:tc>
          <w:tcPr>
            <w:tcW w:w="5000" w:type="pct"/>
            <w:gridSpan w:val="8"/>
            <w:tcBorders>
              <w:top w:val="single" w:sz="4" w:space="0" w:color="auto"/>
              <w:bottom w:val="single" w:sz="4" w:space="0" w:color="auto"/>
            </w:tcBorders>
            <w:shd w:val="clear" w:color="auto" w:fill="auto"/>
            <w:hideMark/>
          </w:tcPr>
          <w:p w14:paraId="30B8FDDA" w14:textId="4D9B9E73" w:rsidR="00B959C3" w:rsidRPr="00C25808" w:rsidRDefault="00C25808" w:rsidP="00C25808">
            <w:pPr>
              <w:pStyle w:val="Normal-pool"/>
              <w:tabs>
                <w:tab w:val="clear" w:pos="1247"/>
                <w:tab w:val="clear" w:pos="1814"/>
                <w:tab w:val="clear" w:pos="2381"/>
                <w:tab w:val="clear" w:pos="2948"/>
                <w:tab w:val="clear" w:pos="3515"/>
                <w:tab w:val="clear" w:pos="4082"/>
                <w:tab w:val="left" w:pos="624"/>
              </w:tabs>
              <w:spacing w:after="120"/>
              <w:rPr>
                <w:sz w:val="18"/>
                <w:szCs w:val="18"/>
                <w:lang w:val="fr-CH"/>
              </w:rPr>
            </w:pPr>
            <w:r w:rsidRPr="00C25808">
              <w:rPr>
                <w:sz w:val="18"/>
                <w:szCs w:val="18"/>
                <w:lang w:val="fr-CH"/>
              </w:rPr>
              <w:t>Option</w:t>
            </w:r>
            <w:r w:rsidR="00222193">
              <w:rPr>
                <w:sz w:val="18"/>
                <w:szCs w:val="18"/>
                <w:lang w:val="fr-CH"/>
              </w:rPr>
              <w:t> </w:t>
            </w:r>
            <w:r w:rsidRPr="00C25808">
              <w:rPr>
                <w:sz w:val="18"/>
                <w:szCs w:val="18"/>
                <w:lang w:val="fr-CH"/>
              </w:rPr>
              <w:t>2 (autonomie)</w:t>
            </w:r>
            <w:r w:rsidR="00222193">
              <w:rPr>
                <w:sz w:val="18"/>
                <w:szCs w:val="18"/>
                <w:lang w:val="fr-CH"/>
              </w:rPr>
              <w:t> </w:t>
            </w:r>
            <w:r w:rsidRPr="00C25808">
              <w:rPr>
                <w:sz w:val="18"/>
                <w:szCs w:val="18"/>
                <w:lang w:val="fr-CH"/>
              </w:rPr>
              <w:t>: Créati</w:t>
            </w:r>
            <w:r w:rsidR="00EF091F">
              <w:rPr>
                <w:sz w:val="18"/>
                <w:szCs w:val="18"/>
                <w:lang w:val="fr-CH"/>
              </w:rPr>
              <w:t xml:space="preserve">on d’un secrétariat autonome </w:t>
            </w:r>
            <w:r w:rsidRPr="00C25808">
              <w:rPr>
                <w:sz w:val="18"/>
                <w:szCs w:val="18"/>
                <w:lang w:val="fr-CH"/>
              </w:rPr>
              <w:t>de la Convention de Minamata (lieu d’implantation : à déterminer sur la base d’une analyse des lieux d’affectation du PNUE suivants : Bangkok, Genève, Nairobi, Osaka, Vienne et Washington).</w:t>
            </w:r>
          </w:p>
        </w:tc>
      </w:tr>
      <w:tr w:rsidR="00B959C3" w:rsidRPr="00A84D20" w14:paraId="0D78F5E4" w14:textId="77777777" w:rsidTr="00EA17CB">
        <w:trPr>
          <w:trHeight w:val="58"/>
        </w:trPr>
        <w:tc>
          <w:tcPr>
            <w:tcW w:w="1231" w:type="pct"/>
            <w:vMerge w:val="restart"/>
            <w:tcBorders>
              <w:top w:val="single" w:sz="4" w:space="0" w:color="auto"/>
              <w:bottom w:val="single" w:sz="12" w:space="0" w:color="auto"/>
            </w:tcBorders>
            <w:shd w:val="clear" w:color="auto" w:fill="auto"/>
            <w:noWrap/>
            <w:vAlign w:val="bottom"/>
            <w:hideMark/>
          </w:tcPr>
          <w:p w14:paraId="516057D5" w14:textId="54FDE918" w:rsidR="00B959C3" w:rsidRPr="001828CD" w:rsidRDefault="0098097B" w:rsidP="00654183">
            <w:pPr>
              <w:keepNext/>
              <w:keepLines/>
              <w:tabs>
                <w:tab w:val="clear" w:pos="1247"/>
                <w:tab w:val="clear" w:pos="1814"/>
                <w:tab w:val="clear" w:pos="2381"/>
                <w:tab w:val="clear" w:pos="2948"/>
                <w:tab w:val="clear" w:pos="3515"/>
              </w:tabs>
              <w:spacing w:before="40" w:after="20"/>
              <w:rPr>
                <w:bCs/>
                <w:color w:val="000000"/>
                <w:sz w:val="18"/>
                <w:szCs w:val="18"/>
              </w:rPr>
            </w:pPr>
            <w:r>
              <w:rPr>
                <w:bCs/>
                <w:color w:val="000000"/>
                <w:sz w:val="18"/>
                <w:szCs w:val="18"/>
              </w:rPr>
              <w:t>Catégorie et classe</w:t>
            </w:r>
          </w:p>
        </w:tc>
        <w:tc>
          <w:tcPr>
            <w:tcW w:w="3769" w:type="pct"/>
            <w:gridSpan w:val="7"/>
            <w:tcBorders>
              <w:top w:val="single" w:sz="4" w:space="0" w:color="auto"/>
              <w:bottom w:val="single" w:sz="4" w:space="0" w:color="auto"/>
            </w:tcBorders>
            <w:shd w:val="clear" w:color="auto" w:fill="auto"/>
            <w:noWrap/>
            <w:vAlign w:val="bottom"/>
            <w:hideMark/>
          </w:tcPr>
          <w:p w14:paraId="7816604A" w14:textId="705F9C7B" w:rsidR="00B959C3" w:rsidRPr="000D1695" w:rsidRDefault="00B959C3" w:rsidP="000D1695">
            <w:pPr>
              <w:keepNext/>
              <w:keepLines/>
              <w:tabs>
                <w:tab w:val="clear" w:pos="1247"/>
                <w:tab w:val="clear" w:pos="1814"/>
                <w:tab w:val="clear" w:pos="2381"/>
                <w:tab w:val="clear" w:pos="2948"/>
                <w:tab w:val="clear" w:pos="3515"/>
              </w:tabs>
              <w:spacing w:before="40" w:after="20"/>
              <w:jc w:val="center"/>
              <w:rPr>
                <w:bCs/>
                <w:i/>
                <w:color w:val="000000"/>
                <w:sz w:val="18"/>
                <w:szCs w:val="18"/>
                <w:lang w:val="fr-CH"/>
              </w:rPr>
            </w:pPr>
            <w:r w:rsidRPr="000D1695">
              <w:rPr>
                <w:bCs/>
                <w:i/>
                <w:color w:val="000000"/>
                <w:sz w:val="18"/>
                <w:szCs w:val="18"/>
                <w:lang w:val="fr-CH"/>
              </w:rPr>
              <w:t xml:space="preserve">Total </w:t>
            </w:r>
            <w:r w:rsidR="000D1695" w:rsidRPr="000D1695">
              <w:rPr>
                <w:bCs/>
                <w:i/>
                <w:color w:val="000000"/>
                <w:sz w:val="18"/>
                <w:szCs w:val="18"/>
                <w:lang w:val="fr-CH"/>
              </w:rPr>
              <w:t xml:space="preserve">proposé </w:t>
            </w:r>
            <w:r w:rsidR="0098097B">
              <w:rPr>
                <w:bCs/>
                <w:i/>
                <w:color w:val="000000"/>
                <w:sz w:val="18"/>
                <w:szCs w:val="18"/>
                <w:lang w:val="fr-CH"/>
              </w:rPr>
              <w:t>pour le s</w:t>
            </w:r>
            <w:r w:rsidR="000D1695" w:rsidRPr="000D1695">
              <w:rPr>
                <w:bCs/>
                <w:i/>
                <w:color w:val="000000"/>
                <w:sz w:val="18"/>
                <w:szCs w:val="18"/>
                <w:lang w:val="fr-CH"/>
              </w:rPr>
              <w:t>ecrétariat de la Convention de</w:t>
            </w:r>
            <w:r w:rsidRPr="000D1695">
              <w:rPr>
                <w:bCs/>
                <w:i/>
                <w:color w:val="000000"/>
                <w:sz w:val="18"/>
                <w:szCs w:val="18"/>
                <w:lang w:val="fr-CH"/>
              </w:rPr>
              <w:t xml:space="preserve"> Minamata </w:t>
            </w:r>
            <w:r w:rsidR="000D1695" w:rsidRPr="000D1695">
              <w:rPr>
                <w:bCs/>
                <w:i/>
                <w:color w:val="000000"/>
                <w:sz w:val="18"/>
                <w:szCs w:val="18"/>
                <w:lang w:val="fr-CH"/>
              </w:rPr>
              <w:t xml:space="preserve">pour la période </w:t>
            </w:r>
            <w:r w:rsidRPr="000D1695">
              <w:rPr>
                <w:bCs/>
                <w:i/>
                <w:color w:val="000000"/>
                <w:sz w:val="18"/>
                <w:szCs w:val="18"/>
                <w:lang w:val="fr-CH"/>
              </w:rPr>
              <w:t>2018–2019</w:t>
            </w:r>
          </w:p>
        </w:tc>
      </w:tr>
      <w:tr w:rsidR="00B959C3" w:rsidRPr="001828CD" w14:paraId="4986013D" w14:textId="77777777" w:rsidTr="00EA17CB">
        <w:trPr>
          <w:trHeight w:val="58"/>
        </w:trPr>
        <w:tc>
          <w:tcPr>
            <w:tcW w:w="1231" w:type="pct"/>
            <w:vMerge/>
            <w:tcBorders>
              <w:bottom w:val="single" w:sz="12" w:space="0" w:color="auto"/>
            </w:tcBorders>
            <w:vAlign w:val="bottom"/>
            <w:hideMark/>
          </w:tcPr>
          <w:p w14:paraId="747DDACE" w14:textId="77777777" w:rsidR="00B959C3" w:rsidRPr="000D1695" w:rsidRDefault="00B959C3" w:rsidP="00654183">
            <w:pPr>
              <w:keepNext/>
              <w:keepLines/>
              <w:tabs>
                <w:tab w:val="clear" w:pos="1247"/>
                <w:tab w:val="clear" w:pos="1814"/>
                <w:tab w:val="clear" w:pos="2381"/>
                <w:tab w:val="clear" w:pos="2948"/>
                <w:tab w:val="clear" w:pos="3515"/>
              </w:tabs>
              <w:spacing w:before="40" w:after="20"/>
              <w:rPr>
                <w:b/>
                <w:bCs/>
                <w:color w:val="000000"/>
                <w:sz w:val="18"/>
                <w:szCs w:val="18"/>
                <w:lang w:val="fr-CH"/>
              </w:rPr>
            </w:pPr>
          </w:p>
        </w:tc>
        <w:tc>
          <w:tcPr>
            <w:tcW w:w="1231" w:type="pct"/>
            <w:gridSpan w:val="2"/>
            <w:tcBorders>
              <w:bottom w:val="single" w:sz="12" w:space="0" w:color="auto"/>
            </w:tcBorders>
            <w:shd w:val="clear" w:color="auto" w:fill="auto"/>
            <w:vAlign w:val="center"/>
            <w:hideMark/>
          </w:tcPr>
          <w:p w14:paraId="1B400CC5" w14:textId="193AA68D" w:rsidR="00B959C3" w:rsidRPr="000D1695" w:rsidRDefault="000D1695" w:rsidP="00654183">
            <w:pPr>
              <w:keepNext/>
              <w:keepLines/>
              <w:tabs>
                <w:tab w:val="clear" w:pos="1247"/>
                <w:tab w:val="clear" w:pos="1814"/>
                <w:tab w:val="clear" w:pos="2381"/>
                <w:tab w:val="clear" w:pos="2948"/>
                <w:tab w:val="clear" w:pos="3515"/>
              </w:tabs>
              <w:spacing w:before="40" w:after="20"/>
              <w:jc w:val="right"/>
              <w:rPr>
                <w:bCs/>
                <w:i/>
                <w:color w:val="000000"/>
                <w:sz w:val="18"/>
                <w:szCs w:val="18"/>
                <w:lang w:val="fr-CH"/>
              </w:rPr>
            </w:pPr>
            <w:r w:rsidRPr="00BB6974">
              <w:rPr>
                <w:bCs/>
                <w:i/>
                <w:color w:val="000000"/>
                <w:sz w:val="18"/>
                <w:szCs w:val="18"/>
                <w:lang w:val="fr-CH"/>
              </w:rPr>
              <w:t xml:space="preserve">Postes </w:t>
            </w:r>
            <w:r>
              <w:rPr>
                <w:bCs/>
                <w:i/>
                <w:color w:val="000000"/>
                <w:sz w:val="18"/>
                <w:szCs w:val="18"/>
                <w:lang w:val="fr-CH"/>
              </w:rPr>
              <w:t xml:space="preserve">relevant </w:t>
            </w:r>
            <w:r w:rsidRPr="00BB6974">
              <w:rPr>
                <w:bCs/>
                <w:i/>
                <w:color w:val="000000"/>
                <w:sz w:val="18"/>
                <w:szCs w:val="18"/>
                <w:lang w:val="fr-CH"/>
              </w:rPr>
              <w:t>des conventions de B</w:t>
            </w:r>
            <w:r>
              <w:rPr>
                <w:bCs/>
                <w:i/>
                <w:color w:val="000000"/>
                <w:sz w:val="18"/>
                <w:szCs w:val="18"/>
                <w:lang w:val="fr-CH"/>
              </w:rPr>
              <w:t>âle, de Rotterdam,</w:t>
            </w:r>
            <w:r w:rsidRPr="00BB6974">
              <w:rPr>
                <w:bCs/>
                <w:i/>
                <w:color w:val="000000"/>
                <w:sz w:val="18"/>
                <w:szCs w:val="18"/>
                <w:lang w:val="fr-CH"/>
              </w:rPr>
              <w:t xml:space="preserve"> de Stockholm</w:t>
            </w:r>
            <w:r>
              <w:rPr>
                <w:bCs/>
                <w:i/>
                <w:color w:val="000000"/>
                <w:sz w:val="18"/>
                <w:szCs w:val="18"/>
                <w:lang w:val="fr-CH"/>
              </w:rPr>
              <w:t xml:space="preserve"> et de Minamata</w:t>
            </w:r>
            <w:r w:rsidRPr="00BB6974">
              <w:rPr>
                <w:bCs/>
                <w:i/>
                <w:color w:val="000000"/>
                <w:sz w:val="18"/>
                <w:szCs w:val="18"/>
                <w:lang w:val="fr-CH"/>
              </w:rPr>
              <w:t xml:space="preserve"> </w:t>
            </w:r>
            <w:r>
              <w:rPr>
                <w:bCs/>
                <w:i/>
                <w:color w:val="000000"/>
                <w:sz w:val="18"/>
                <w:szCs w:val="18"/>
                <w:lang w:val="fr-CH"/>
              </w:rPr>
              <w:t>financé</w:t>
            </w:r>
            <w:r w:rsidRPr="00BB6974">
              <w:rPr>
                <w:bCs/>
                <w:i/>
                <w:color w:val="000000"/>
                <w:sz w:val="18"/>
                <w:szCs w:val="18"/>
                <w:lang w:val="fr-CH"/>
              </w:rPr>
              <w:t xml:space="preserve">s par la Convention de </w:t>
            </w:r>
            <w:r>
              <w:rPr>
                <w:bCs/>
                <w:i/>
                <w:color w:val="000000"/>
                <w:sz w:val="18"/>
                <w:szCs w:val="18"/>
                <w:lang w:val="fr-CH"/>
              </w:rPr>
              <w:t>Minamata</w:t>
            </w:r>
          </w:p>
        </w:tc>
        <w:tc>
          <w:tcPr>
            <w:tcW w:w="923" w:type="pct"/>
            <w:tcBorders>
              <w:bottom w:val="single" w:sz="12" w:space="0" w:color="auto"/>
            </w:tcBorders>
            <w:shd w:val="clear" w:color="auto" w:fill="auto"/>
            <w:vAlign w:val="center"/>
            <w:hideMark/>
          </w:tcPr>
          <w:p w14:paraId="0336A5D5" w14:textId="7D7CC00F" w:rsidR="00B959C3" w:rsidRPr="0098097B" w:rsidRDefault="0098097B" w:rsidP="006F4DDF">
            <w:pPr>
              <w:keepNext/>
              <w:keepLines/>
              <w:tabs>
                <w:tab w:val="clear" w:pos="1247"/>
                <w:tab w:val="clear" w:pos="1814"/>
                <w:tab w:val="clear" w:pos="2381"/>
                <w:tab w:val="clear" w:pos="2948"/>
                <w:tab w:val="clear" w:pos="3515"/>
              </w:tabs>
              <w:spacing w:before="40" w:after="20"/>
              <w:jc w:val="right"/>
              <w:rPr>
                <w:bCs/>
                <w:i/>
                <w:color w:val="000000"/>
                <w:sz w:val="18"/>
                <w:szCs w:val="18"/>
                <w:lang w:val="fr-CH"/>
              </w:rPr>
            </w:pPr>
            <w:r>
              <w:rPr>
                <w:bCs/>
                <w:i/>
                <w:color w:val="000000"/>
                <w:sz w:val="18"/>
                <w:szCs w:val="18"/>
                <w:lang w:val="fr-CH"/>
              </w:rPr>
              <w:t>N</w:t>
            </w:r>
            <w:r w:rsidRPr="007E29CA">
              <w:rPr>
                <w:bCs/>
                <w:i/>
                <w:color w:val="000000"/>
                <w:sz w:val="18"/>
                <w:szCs w:val="18"/>
                <w:lang w:val="fr-CH"/>
              </w:rPr>
              <w:t xml:space="preserve">ouveaux postes </w:t>
            </w:r>
            <w:r>
              <w:rPr>
                <w:bCs/>
                <w:i/>
                <w:color w:val="000000"/>
                <w:sz w:val="18"/>
                <w:szCs w:val="18"/>
                <w:lang w:val="fr-CH"/>
              </w:rPr>
              <w:t>financés par</w:t>
            </w:r>
            <w:r w:rsidR="006F4DDF">
              <w:rPr>
                <w:bCs/>
                <w:i/>
                <w:color w:val="000000"/>
                <w:sz w:val="18"/>
                <w:szCs w:val="18"/>
                <w:lang w:val="fr-CH"/>
              </w:rPr>
              <w:t xml:space="preserve"> la Convention de </w:t>
            </w:r>
            <w:r>
              <w:rPr>
                <w:bCs/>
                <w:i/>
                <w:color w:val="000000"/>
                <w:sz w:val="18"/>
                <w:szCs w:val="18"/>
                <w:lang w:val="fr-CH"/>
              </w:rPr>
              <w:t>Minamata</w:t>
            </w:r>
          </w:p>
        </w:tc>
        <w:tc>
          <w:tcPr>
            <w:tcW w:w="1154" w:type="pct"/>
            <w:gridSpan w:val="2"/>
            <w:tcBorders>
              <w:bottom w:val="single" w:sz="12" w:space="0" w:color="auto"/>
            </w:tcBorders>
            <w:shd w:val="clear" w:color="auto" w:fill="auto"/>
            <w:vAlign w:val="center"/>
            <w:hideMark/>
          </w:tcPr>
          <w:p w14:paraId="62847BB2" w14:textId="1CDC04C5" w:rsidR="00B959C3" w:rsidRPr="0098097B" w:rsidRDefault="0098097B" w:rsidP="00654183">
            <w:pPr>
              <w:keepNext/>
              <w:keepLines/>
              <w:tabs>
                <w:tab w:val="clear" w:pos="1247"/>
                <w:tab w:val="clear" w:pos="1814"/>
                <w:tab w:val="clear" w:pos="2381"/>
                <w:tab w:val="clear" w:pos="2948"/>
                <w:tab w:val="clear" w:pos="3515"/>
              </w:tabs>
              <w:spacing w:before="40" w:after="20"/>
              <w:jc w:val="right"/>
              <w:rPr>
                <w:bCs/>
                <w:i/>
                <w:color w:val="000000"/>
                <w:sz w:val="18"/>
                <w:szCs w:val="18"/>
                <w:lang w:val="fr-CH"/>
              </w:rPr>
            </w:pPr>
            <w:r>
              <w:rPr>
                <w:bCs/>
                <w:i/>
                <w:color w:val="000000"/>
                <w:sz w:val="18"/>
                <w:szCs w:val="18"/>
                <w:lang w:val="fr-CH"/>
              </w:rPr>
              <w:t xml:space="preserve">Postes relevant de la Convention de </w:t>
            </w:r>
            <w:r w:rsidRPr="007E29CA">
              <w:rPr>
                <w:bCs/>
                <w:i/>
                <w:color w:val="000000"/>
                <w:sz w:val="18"/>
                <w:szCs w:val="18"/>
                <w:lang w:val="fr-CH"/>
              </w:rPr>
              <w:t xml:space="preserve">Minamata </w:t>
            </w:r>
            <w:r>
              <w:rPr>
                <w:bCs/>
                <w:i/>
                <w:color w:val="000000"/>
                <w:sz w:val="18"/>
                <w:szCs w:val="18"/>
                <w:lang w:val="fr-CH"/>
              </w:rPr>
              <w:t xml:space="preserve">imputés aux </w:t>
            </w:r>
            <w:r w:rsidRPr="007E29CA">
              <w:rPr>
                <w:bCs/>
                <w:i/>
                <w:color w:val="000000"/>
                <w:sz w:val="18"/>
                <w:szCs w:val="18"/>
                <w:lang w:val="fr-CH"/>
              </w:rPr>
              <w:t>dépenses d’</w:t>
            </w:r>
            <w:r>
              <w:rPr>
                <w:bCs/>
                <w:i/>
                <w:color w:val="000000"/>
                <w:sz w:val="18"/>
                <w:szCs w:val="18"/>
                <w:lang w:val="fr-CH"/>
              </w:rPr>
              <w:t>appui au programme</w:t>
            </w:r>
          </w:p>
        </w:tc>
        <w:tc>
          <w:tcPr>
            <w:tcW w:w="461" w:type="pct"/>
            <w:gridSpan w:val="2"/>
            <w:tcBorders>
              <w:bottom w:val="single" w:sz="12" w:space="0" w:color="auto"/>
            </w:tcBorders>
            <w:shd w:val="clear" w:color="auto" w:fill="auto"/>
            <w:noWrap/>
            <w:vAlign w:val="center"/>
            <w:hideMark/>
          </w:tcPr>
          <w:p w14:paraId="0F8A5906" w14:textId="77777777" w:rsidR="00B959C3" w:rsidRPr="001828CD" w:rsidRDefault="00B959C3" w:rsidP="00654183">
            <w:pPr>
              <w:keepNext/>
              <w:keepLines/>
              <w:tabs>
                <w:tab w:val="clear" w:pos="1247"/>
                <w:tab w:val="clear" w:pos="1814"/>
                <w:tab w:val="clear" w:pos="2381"/>
                <w:tab w:val="clear" w:pos="2948"/>
                <w:tab w:val="clear" w:pos="3515"/>
              </w:tabs>
              <w:spacing w:before="40" w:after="20"/>
              <w:jc w:val="right"/>
              <w:rPr>
                <w:bCs/>
                <w:i/>
                <w:color w:val="000000"/>
                <w:sz w:val="18"/>
                <w:szCs w:val="18"/>
              </w:rPr>
            </w:pPr>
            <w:r w:rsidRPr="001828CD">
              <w:rPr>
                <w:bCs/>
                <w:i/>
                <w:color w:val="000000"/>
                <w:sz w:val="18"/>
                <w:szCs w:val="18"/>
              </w:rPr>
              <w:t>Total</w:t>
            </w:r>
          </w:p>
        </w:tc>
      </w:tr>
      <w:tr w:rsidR="00B959C3" w:rsidRPr="001828CD" w14:paraId="4531FCF5" w14:textId="77777777" w:rsidTr="00EA17CB">
        <w:trPr>
          <w:trHeight w:val="58"/>
        </w:trPr>
        <w:tc>
          <w:tcPr>
            <w:tcW w:w="1231" w:type="pct"/>
            <w:tcBorders>
              <w:top w:val="single" w:sz="12" w:space="0" w:color="auto"/>
            </w:tcBorders>
            <w:shd w:val="clear" w:color="auto" w:fill="auto"/>
            <w:noWrap/>
            <w:vAlign w:val="bottom"/>
            <w:hideMark/>
          </w:tcPr>
          <w:p w14:paraId="34EA54A2" w14:textId="691512DC" w:rsidR="00B959C3" w:rsidRPr="001828CD" w:rsidRDefault="00B959C3" w:rsidP="0098097B">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xml:space="preserve">A. </w:t>
            </w:r>
            <w:r w:rsidR="0098097B">
              <w:rPr>
                <w:color w:val="000000"/>
                <w:sz w:val="18"/>
                <w:szCs w:val="18"/>
              </w:rPr>
              <w:t>Administrateurs</w:t>
            </w:r>
          </w:p>
        </w:tc>
        <w:tc>
          <w:tcPr>
            <w:tcW w:w="1231" w:type="pct"/>
            <w:gridSpan w:val="2"/>
            <w:tcBorders>
              <w:top w:val="single" w:sz="12" w:space="0" w:color="auto"/>
            </w:tcBorders>
            <w:shd w:val="clear" w:color="auto" w:fill="auto"/>
            <w:noWrap/>
            <w:vAlign w:val="bottom"/>
            <w:hideMark/>
          </w:tcPr>
          <w:p w14:paraId="1CBD8BAB"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tcBorders>
              <w:top w:val="single" w:sz="12" w:space="0" w:color="auto"/>
            </w:tcBorders>
            <w:shd w:val="clear" w:color="auto" w:fill="auto"/>
            <w:noWrap/>
            <w:vAlign w:val="bottom"/>
            <w:hideMark/>
          </w:tcPr>
          <w:p w14:paraId="2EA3D72B"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54" w:type="pct"/>
            <w:gridSpan w:val="2"/>
            <w:tcBorders>
              <w:top w:val="single" w:sz="12" w:space="0" w:color="auto"/>
            </w:tcBorders>
            <w:shd w:val="clear" w:color="auto" w:fill="auto"/>
            <w:noWrap/>
            <w:vAlign w:val="bottom"/>
            <w:hideMark/>
          </w:tcPr>
          <w:p w14:paraId="5E82615D"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461" w:type="pct"/>
            <w:gridSpan w:val="2"/>
            <w:tcBorders>
              <w:top w:val="single" w:sz="12" w:space="0" w:color="auto"/>
            </w:tcBorders>
            <w:shd w:val="clear" w:color="auto" w:fill="auto"/>
            <w:noWrap/>
            <w:vAlign w:val="bottom"/>
            <w:hideMark/>
          </w:tcPr>
          <w:p w14:paraId="4ADE1755"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r>
      <w:tr w:rsidR="00B959C3" w:rsidRPr="001828CD" w14:paraId="54DC9A54" w14:textId="77777777" w:rsidTr="00EA17CB">
        <w:trPr>
          <w:trHeight w:val="58"/>
        </w:trPr>
        <w:tc>
          <w:tcPr>
            <w:tcW w:w="1231" w:type="pct"/>
            <w:shd w:val="clear" w:color="auto" w:fill="auto"/>
            <w:noWrap/>
            <w:vAlign w:val="bottom"/>
            <w:hideMark/>
          </w:tcPr>
          <w:p w14:paraId="29C21E1E" w14:textId="15F5E032" w:rsidR="00B959C3" w:rsidRPr="001828CD" w:rsidRDefault="00B959C3" w:rsidP="002B0B9C">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D-2 </w:t>
            </w:r>
          </w:p>
        </w:tc>
        <w:tc>
          <w:tcPr>
            <w:tcW w:w="1231" w:type="pct"/>
            <w:gridSpan w:val="2"/>
            <w:shd w:val="clear" w:color="auto" w:fill="auto"/>
            <w:noWrap/>
            <w:vAlign w:val="bottom"/>
            <w:hideMark/>
          </w:tcPr>
          <w:p w14:paraId="170A39F2"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shd w:val="clear" w:color="auto" w:fill="auto"/>
            <w:noWrap/>
            <w:vAlign w:val="bottom"/>
            <w:hideMark/>
          </w:tcPr>
          <w:p w14:paraId="7E5DB29B"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54" w:type="pct"/>
            <w:gridSpan w:val="2"/>
            <w:shd w:val="clear" w:color="auto" w:fill="auto"/>
            <w:noWrap/>
            <w:vAlign w:val="bottom"/>
            <w:hideMark/>
          </w:tcPr>
          <w:p w14:paraId="6B99DF43"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09171065"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r>
      <w:tr w:rsidR="00B959C3" w:rsidRPr="001828CD" w14:paraId="5DEA9A0A" w14:textId="77777777" w:rsidTr="00EA17CB">
        <w:trPr>
          <w:trHeight w:val="68"/>
        </w:trPr>
        <w:tc>
          <w:tcPr>
            <w:tcW w:w="1231" w:type="pct"/>
            <w:shd w:val="clear" w:color="auto" w:fill="auto"/>
            <w:noWrap/>
            <w:vAlign w:val="bottom"/>
            <w:hideMark/>
          </w:tcPr>
          <w:p w14:paraId="2E1965BA" w14:textId="68817097" w:rsidR="00B959C3" w:rsidRPr="001828CD" w:rsidRDefault="00B959C3" w:rsidP="0098097B">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D-1 </w:t>
            </w:r>
          </w:p>
        </w:tc>
        <w:tc>
          <w:tcPr>
            <w:tcW w:w="1231" w:type="pct"/>
            <w:gridSpan w:val="2"/>
            <w:shd w:val="clear" w:color="auto" w:fill="auto"/>
            <w:noWrap/>
            <w:vAlign w:val="bottom"/>
            <w:hideMark/>
          </w:tcPr>
          <w:p w14:paraId="1F6068EA"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shd w:val="clear" w:color="auto" w:fill="auto"/>
            <w:noWrap/>
            <w:vAlign w:val="bottom"/>
            <w:hideMark/>
          </w:tcPr>
          <w:p w14:paraId="50A59267" w14:textId="2314F722"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B959C3" w:rsidRPr="001828CD">
              <w:rPr>
                <w:color w:val="000000"/>
                <w:sz w:val="18"/>
                <w:szCs w:val="18"/>
              </w:rPr>
              <w:t>00</w:t>
            </w:r>
          </w:p>
        </w:tc>
        <w:tc>
          <w:tcPr>
            <w:tcW w:w="1154" w:type="pct"/>
            <w:gridSpan w:val="2"/>
            <w:shd w:val="clear" w:color="auto" w:fill="auto"/>
            <w:noWrap/>
            <w:vAlign w:val="bottom"/>
            <w:hideMark/>
          </w:tcPr>
          <w:p w14:paraId="7AEE5880"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24C61399" w14:textId="7E1A6A59"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B959C3" w:rsidRPr="001828CD">
              <w:rPr>
                <w:color w:val="000000"/>
                <w:sz w:val="18"/>
                <w:szCs w:val="18"/>
              </w:rPr>
              <w:t>00</w:t>
            </w:r>
          </w:p>
        </w:tc>
      </w:tr>
      <w:tr w:rsidR="00B959C3" w:rsidRPr="001828CD" w14:paraId="6D85A6C7" w14:textId="77777777" w:rsidTr="00EA17CB">
        <w:trPr>
          <w:trHeight w:val="68"/>
        </w:trPr>
        <w:tc>
          <w:tcPr>
            <w:tcW w:w="1231" w:type="pct"/>
            <w:shd w:val="clear" w:color="auto" w:fill="auto"/>
            <w:noWrap/>
            <w:vAlign w:val="bottom"/>
            <w:hideMark/>
          </w:tcPr>
          <w:p w14:paraId="0C245A16" w14:textId="52658E7A" w:rsidR="00B959C3" w:rsidRPr="001828CD" w:rsidRDefault="0098097B" w:rsidP="0098097B">
            <w:pPr>
              <w:tabs>
                <w:tab w:val="clear" w:pos="1247"/>
                <w:tab w:val="clear" w:pos="1814"/>
                <w:tab w:val="clear" w:pos="2381"/>
                <w:tab w:val="clear" w:pos="2948"/>
                <w:tab w:val="clear" w:pos="3515"/>
              </w:tabs>
              <w:spacing w:before="40" w:after="20"/>
              <w:ind w:left="227"/>
              <w:rPr>
                <w:color w:val="000000"/>
                <w:sz w:val="18"/>
                <w:szCs w:val="18"/>
              </w:rPr>
            </w:pPr>
            <w:r>
              <w:rPr>
                <w:color w:val="000000"/>
                <w:sz w:val="18"/>
                <w:szCs w:val="18"/>
              </w:rPr>
              <w:t xml:space="preserve">P-5 </w:t>
            </w:r>
          </w:p>
        </w:tc>
        <w:tc>
          <w:tcPr>
            <w:tcW w:w="1231" w:type="pct"/>
            <w:gridSpan w:val="2"/>
            <w:shd w:val="clear" w:color="auto" w:fill="auto"/>
            <w:noWrap/>
            <w:vAlign w:val="bottom"/>
            <w:hideMark/>
          </w:tcPr>
          <w:p w14:paraId="69A0B968"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shd w:val="clear" w:color="auto" w:fill="auto"/>
            <w:noWrap/>
            <w:vAlign w:val="bottom"/>
            <w:hideMark/>
          </w:tcPr>
          <w:p w14:paraId="55F5CC8E" w14:textId="189DB45D"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w:t>
            </w:r>
            <w:r w:rsidR="00B959C3" w:rsidRPr="001828CD">
              <w:rPr>
                <w:color w:val="000000"/>
                <w:sz w:val="18"/>
                <w:szCs w:val="18"/>
              </w:rPr>
              <w:t>00</w:t>
            </w:r>
          </w:p>
        </w:tc>
        <w:tc>
          <w:tcPr>
            <w:tcW w:w="1154" w:type="pct"/>
            <w:gridSpan w:val="2"/>
            <w:shd w:val="clear" w:color="auto" w:fill="auto"/>
            <w:noWrap/>
            <w:vAlign w:val="bottom"/>
            <w:hideMark/>
          </w:tcPr>
          <w:p w14:paraId="51B55481"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3477A870" w14:textId="188AD4E5"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w:t>
            </w:r>
            <w:r w:rsidR="00B959C3" w:rsidRPr="001828CD">
              <w:rPr>
                <w:color w:val="000000"/>
                <w:sz w:val="18"/>
                <w:szCs w:val="18"/>
              </w:rPr>
              <w:t>00</w:t>
            </w:r>
          </w:p>
        </w:tc>
      </w:tr>
      <w:tr w:rsidR="00B959C3" w:rsidRPr="001828CD" w14:paraId="1A83D7B5" w14:textId="77777777" w:rsidTr="00EA17CB">
        <w:trPr>
          <w:trHeight w:val="68"/>
        </w:trPr>
        <w:tc>
          <w:tcPr>
            <w:tcW w:w="1231" w:type="pct"/>
            <w:shd w:val="clear" w:color="auto" w:fill="auto"/>
            <w:noWrap/>
            <w:vAlign w:val="bottom"/>
            <w:hideMark/>
          </w:tcPr>
          <w:p w14:paraId="3B5C152F" w14:textId="6A188D95" w:rsidR="00B959C3" w:rsidRPr="001828CD" w:rsidRDefault="00B959C3" w:rsidP="0098097B">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P-4</w:t>
            </w:r>
          </w:p>
        </w:tc>
        <w:tc>
          <w:tcPr>
            <w:tcW w:w="1231" w:type="pct"/>
            <w:gridSpan w:val="2"/>
            <w:shd w:val="clear" w:color="auto" w:fill="auto"/>
            <w:noWrap/>
            <w:vAlign w:val="bottom"/>
            <w:hideMark/>
          </w:tcPr>
          <w:p w14:paraId="56A56D56"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shd w:val="clear" w:color="auto" w:fill="auto"/>
            <w:noWrap/>
            <w:vAlign w:val="bottom"/>
            <w:hideMark/>
          </w:tcPr>
          <w:p w14:paraId="23605E1A" w14:textId="38FE2D19"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w:t>
            </w:r>
            <w:r w:rsidR="00B959C3" w:rsidRPr="001828CD">
              <w:rPr>
                <w:color w:val="000000"/>
                <w:sz w:val="18"/>
                <w:szCs w:val="18"/>
              </w:rPr>
              <w:t>00</w:t>
            </w:r>
          </w:p>
        </w:tc>
        <w:tc>
          <w:tcPr>
            <w:tcW w:w="1154" w:type="pct"/>
            <w:gridSpan w:val="2"/>
            <w:shd w:val="clear" w:color="auto" w:fill="auto"/>
            <w:noWrap/>
            <w:vAlign w:val="bottom"/>
            <w:hideMark/>
          </w:tcPr>
          <w:p w14:paraId="4306C777"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461" w:type="pct"/>
            <w:gridSpan w:val="2"/>
            <w:shd w:val="clear" w:color="auto" w:fill="auto"/>
            <w:noWrap/>
            <w:vAlign w:val="bottom"/>
            <w:hideMark/>
          </w:tcPr>
          <w:p w14:paraId="761EE6A9" w14:textId="4D683FCB"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2,</w:t>
            </w:r>
            <w:r w:rsidR="00B959C3" w:rsidRPr="001828CD">
              <w:rPr>
                <w:color w:val="000000"/>
                <w:sz w:val="18"/>
                <w:szCs w:val="18"/>
              </w:rPr>
              <w:t>00</w:t>
            </w:r>
          </w:p>
        </w:tc>
      </w:tr>
      <w:tr w:rsidR="00B959C3" w:rsidRPr="001828CD" w14:paraId="4A76F898" w14:textId="77777777" w:rsidTr="00EA17CB">
        <w:trPr>
          <w:trHeight w:val="68"/>
        </w:trPr>
        <w:tc>
          <w:tcPr>
            <w:tcW w:w="1231" w:type="pct"/>
            <w:shd w:val="clear" w:color="auto" w:fill="auto"/>
            <w:noWrap/>
            <w:vAlign w:val="bottom"/>
            <w:hideMark/>
          </w:tcPr>
          <w:p w14:paraId="4EF70D66" w14:textId="1D17C486" w:rsidR="00B959C3" w:rsidRPr="001828CD" w:rsidRDefault="00B959C3" w:rsidP="0098097B">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P-3 </w:t>
            </w:r>
          </w:p>
        </w:tc>
        <w:tc>
          <w:tcPr>
            <w:tcW w:w="1231" w:type="pct"/>
            <w:gridSpan w:val="2"/>
            <w:shd w:val="clear" w:color="auto" w:fill="auto"/>
            <w:noWrap/>
            <w:vAlign w:val="bottom"/>
            <w:hideMark/>
          </w:tcPr>
          <w:p w14:paraId="76C9E94E"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shd w:val="clear" w:color="auto" w:fill="auto"/>
            <w:noWrap/>
            <w:vAlign w:val="bottom"/>
            <w:hideMark/>
          </w:tcPr>
          <w:p w14:paraId="3B083AB7" w14:textId="7B1D9394"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4,</w:t>
            </w:r>
            <w:r w:rsidR="00B959C3" w:rsidRPr="001828CD">
              <w:rPr>
                <w:color w:val="000000"/>
                <w:sz w:val="18"/>
                <w:szCs w:val="18"/>
              </w:rPr>
              <w:t>00</w:t>
            </w:r>
          </w:p>
        </w:tc>
        <w:tc>
          <w:tcPr>
            <w:tcW w:w="1154" w:type="pct"/>
            <w:gridSpan w:val="2"/>
            <w:shd w:val="clear" w:color="auto" w:fill="auto"/>
            <w:noWrap/>
            <w:vAlign w:val="bottom"/>
            <w:hideMark/>
          </w:tcPr>
          <w:p w14:paraId="45C14F2E" w14:textId="441ADF27"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B959C3" w:rsidRPr="001828CD">
              <w:rPr>
                <w:color w:val="000000"/>
                <w:sz w:val="18"/>
                <w:szCs w:val="18"/>
              </w:rPr>
              <w:t>00</w:t>
            </w:r>
          </w:p>
        </w:tc>
        <w:tc>
          <w:tcPr>
            <w:tcW w:w="461" w:type="pct"/>
            <w:gridSpan w:val="2"/>
            <w:shd w:val="clear" w:color="auto" w:fill="auto"/>
            <w:noWrap/>
            <w:vAlign w:val="bottom"/>
            <w:hideMark/>
          </w:tcPr>
          <w:p w14:paraId="2407633E" w14:textId="389AA273" w:rsidR="00B959C3" w:rsidRPr="001828CD" w:rsidRDefault="0098097B"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5,</w:t>
            </w:r>
            <w:r w:rsidR="00B959C3" w:rsidRPr="001828CD">
              <w:rPr>
                <w:color w:val="000000"/>
                <w:sz w:val="18"/>
                <w:szCs w:val="18"/>
              </w:rPr>
              <w:t>00</w:t>
            </w:r>
          </w:p>
        </w:tc>
      </w:tr>
      <w:tr w:rsidR="00B959C3" w:rsidRPr="001828CD" w14:paraId="7564FCA8" w14:textId="77777777" w:rsidTr="00EA17CB">
        <w:trPr>
          <w:trHeight w:val="68"/>
        </w:trPr>
        <w:tc>
          <w:tcPr>
            <w:tcW w:w="1231" w:type="pct"/>
            <w:tcBorders>
              <w:bottom w:val="single" w:sz="4" w:space="0" w:color="auto"/>
            </w:tcBorders>
            <w:shd w:val="clear" w:color="auto" w:fill="auto"/>
            <w:noWrap/>
            <w:vAlign w:val="bottom"/>
            <w:hideMark/>
          </w:tcPr>
          <w:p w14:paraId="512BCC77" w14:textId="33DB193B" w:rsidR="00B959C3" w:rsidRPr="001828CD" w:rsidRDefault="00B959C3" w:rsidP="0098097B">
            <w:pPr>
              <w:tabs>
                <w:tab w:val="clear" w:pos="1247"/>
                <w:tab w:val="clear" w:pos="1814"/>
                <w:tab w:val="clear" w:pos="2381"/>
                <w:tab w:val="clear" w:pos="2948"/>
                <w:tab w:val="clear" w:pos="3515"/>
              </w:tabs>
              <w:spacing w:before="40" w:after="20"/>
              <w:ind w:left="227"/>
              <w:rPr>
                <w:color w:val="000000"/>
                <w:sz w:val="18"/>
                <w:szCs w:val="18"/>
              </w:rPr>
            </w:pPr>
            <w:r w:rsidRPr="001828CD">
              <w:rPr>
                <w:color w:val="000000"/>
                <w:sz w:val="18"/>
                <w:szCs w:val="18"/>
              </w:rPr>
              <w:t xml:space="preserve">P-2 </w:t>
            </w:r>
          </w:p>
        </w:tc>
        <w:tc>
          <w:tcPr>
            <w:tcW w:w="1231" w:type="pct"/>
            <w:gridSpan w:val="2"/>
            <w:tcBorders>
              <w:bottom w:val="single" w:sz="4" w:space="0" w:color="auto"/>
            </w:tcBorders>
            <w:shd w:val="clear" w:color="auto" w:fill="auto"/>
            <w:noWrap/>
            <w:vAlign w:val="bottom"/>
            <w:hideMark/>
          </w:tcPr>
          <w:p w14:paraId="184FC4A1"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923" w:type="pct"/>
            <w:tcBorders>
              <w:bottom w:val="single" w:sz="4" w:space="0" w:color="auto"/>
            </w:tcBorders>
            <w:shd w:val="clear" w:color="auto" w:fill="auto"/>
            <w:noWrap/>
            <w:vAlign w:val="bottom"/>
            <w:hideMark/>
          </w:tcPr>
          <w:p w14:paraId="47370E55"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1154" w:type="pct"/>
            <w:gridSpan w:val="2"/>
            <w:tcBorders>
              <w:bottom w:val="single" w:sz="4" w:space="0" w:color="auto"/>
            </w:tcBorders>
            <w:shd w:val="clear" w:color="auto" w:fill="auto"/>
            <w:noWrap/>
            <w:vAlign w:val="bottom"/>
            <w:hideMark/>
          </w:tcPr>
          <w:p w14:paraId="262DB569"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c>
          <w:tcPr>
            <w:tcW w:w="461" w:type="pct"/>
            <w:gridSpan w:val="2"/>
            <w:tcBorders>
              <w:bottom w:val="single" w:sz="4" w:space="0" w:color="auto"/>
            </w:tcBorders>
            <w:shd w:val="clear" w:color="auto" w:fill="auto"/>
            <w:noWrap/>
            <w:vAlign w:val="bottom"/>
            <w:hideMark/>
          </w:tcPr>
          <w:p w14:paraId="42955184"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color w:val="000000"/>
                <w:sz w:val="18"/>
                <w:szCs w:val="18"/>
              </w:rPr>
            </w:pPr>
            <w:r w:rsidRPr="001828CD">
              <w:rPr>
                <w:color w:val="000000"/>
                <w:sz w:val="18"/>
                <w:szCs w:val="18"/>
              </w:rPr>
              <w:t> </w:t>
            </w:r>
          </w:p>
        </w:tc>
      </w:tr>
      <w:tr w:rsidR="00B959C3" w:rsidRPr="001828CD" w14:paraId="588FC4B1" w14:textId="77777777" w:rsidTr="00EA17CB">
        <w:trPr>
          <w:trHeight w:val="58"/>
        </w:trPr>
        <w:tc>
          <w:tcPr>
            <w:tcW w:w="1231" w:type="pct"/>
            <w:tcBorders>
              <w:top w:val="single" w:sz="4" w:space="0" w:color="auto"/>
              <w:bottom w:val="single" w:sz="4" w:space="0" w:color="auto"/>
            </w:tcBorders>
            <w:shd w:val="clear" w:color="auto" w:fill="auto"/>
            <w:noWrap/>
            <w:vAlign w:val="bottom"/>
            <w:hideMark/>
          </w:tcPr>
          <w:p w14:paraId="3E3DB2B7" w14:textId="52369F9A" w:rsidR="00B959C3" w:rsidRPr="001828CD" w:rsidRDefault="005476C8" w:rsidP="00654183">
            <w:pPr>
              <w:tabs>
                <w:tab w:val="clear" w:pos="1247"/>
                <w:tab w:val="clear" w:pos="1814"/>
                <w:tab w:val="clear" w:pos="2381"/>
                <w:tab w:val="clear" w:pos="2948"/>
                <w:tab w:val="clear" w:pos="3515"/>
              </w:tabs>
              <w:spacing w:before="40" w:after="20"/>
              <w:ind w:left="340"/>
              <w:rPr>
                <w:b/>
                <w:iCs/>
                <w:color w:val="000000"/>
                <w:sz w:val="18"/>
                <w:szCs w:val="18"/>
              </w:rPr>
            </w:pPr>
            <w:r>
              <w:rPr>
                <w:b/>
                <w:iCs/>
                <w:color w:val="000000"/>
                <w:sz w:val="18"/>
                <w:szCs w:val="18"/>
              </w:rPr>
              <w:t xml:space="preserve">Total partiel </w:t>
            </w:r>
            <w:r w:rsidR="00B959C3" w:rsidRPr="001828CD">
              <w:rPr>
                <w:b/>
                <w:iCs/>
                <w:color w:val="000000"/>
                <w:sz w:val="18"/>
                <w:szCs w:val="18"/>
              </w:rPr>
              <w:t>A</w:t>
            </w:r>
          </w:p>
        </w:tc>
        <w:tc>
          <w:tcPr>
            <w:tcW w:w="1231" w:type="pct"/>
            <w:gridSpan w:val="2"/>
            <w:tcBorders>
              <w:top w:val="single" w:sz="4" w:space="0" w:color="auto"/>
              <w:bottom w:val="single" w:sz="4" w:space="0" w:color="auto"/>
            </w:tcBorders>
            <w:shd w:val="clear" w:color="auto" w:fill="auto"/>
            <w:noWrap/>
            <w:vAlign w:val="bottom"/>
            <w:hideMark/>
          </w:tcPr>
          <w:p w14:paraId="5FFDEFB8"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b/>
                <w:iCs/>
                <w:color w:val="000000"/>
                <w:sz w:val="18"/>
                <w:szCs w:val="18"/>
              </w:rPr>
            </w:pPr>
            <w:r w:rsidRPr="001828CD">
              <w:rPr>
                <w:b/>
                <w:iCs/>
                <w:color w:val="000000"/>
                <w:sz w:val="18"/>
                <w:szCs w:val="18"/>
              </w:rPr>
              <w:t> </w:t>
            </w:r>
          </w:p>
        </w:tc>
        <w:tc>
          <w:tcPr>
            <w:tcW w:w="923" w:type="pct"/>
            <w:tcBorders>
              <w:top w:val="single" w:sz="4" w:space="0" w:color="auto"/>
              <w:bottom w:val="single" w:sz="4" w:space="0" w:color="auto"/>
            </w:tcBorders>
            <w:shd w:val="clear" w:color="auto" w:fill="auto"/>
            <w:noWrap/>
            <w:vAlign w:val="bottom"/>
            <w:hideMark/>
          </w:tcPr>
          <w:p w14:paraId="2BE24C7F" w14:textId="692EB050" w:rsidR="00B959C3" w:rsidRPr="001828CD" w:rsidRDefault="0098097B" w:rsidP="00654183">
            <w:pPr>
              <w:keepNext/>
              <w:keepLines/>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9,</w:t>
            </w:r>
            <w:r w:rsidR="00B959C3" w:rsidRPr="001828CD">
              <w:rPr>
                <w:b/>
                <w:iCs/>
                <w:color w:val="000000"/>
                <w:sz w:val="18"/>
                <w:szCs w:val="18"/>
              </w:rPr>
              <w:t>00</w:t>
            </w:r>
          </w:p>
        </w:tc>
        <w:tc>
          <w:tcPr>
            <w:tcW w:w="1154" w:type="pct"/>
            <w:gridSpan w:val="2"/>
            <w:tcBorders>
              <w:top w:val="single" w:sz="4" w:space="0" w:color="auto"/>
              <w:bottom w:val="single" w:sz="4" w:space="0" w:color="auto"/>
            </w:tcBorders>
            <w:shd w:val="clear" w:color="auto" w:fill="auto"/>
            <w:noWrap/>
            <w:vAlign w:val="bottom"/>
            <w:hideMark/>
          </w:tcPr>
          <w:p w14:paraId="239D7822" w14:textId="7D04E025" w:rsidR="00B959C3" w:rsidRPr="001828CD" w:rsidRDefault="0098097B" w:rsidP="00654183">
            <w:pPr>
              <w:keepNext/>
              <w:keepLines/>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1,</w:t>
            </w:r>
            <w:r w:rsidR="00B959C3" w:rsidRPr="001828CD">
              <w:rPr>
                <w:b/>
                <w:iCs/>
                <w:color w:val="000000"/>
                <w:sz w:val="18"/>
                <w:szCs w:val="18"/>
              </w:rPr>
              <w:t>00</w:t>
            </w:r>
          </w:p>
        </w:tc>
        <w:tc>
          <w:tcPr>
            <w:tcW w:w="461" w:type="pct"/>
            <w:gridSpan w:val="2"/>
            <w:tcBorders>
              <w:top w:val="single" w:sz="4" w:space="0" w:color="auto"/>
              <w:bottom w:val="single" w:sz="4" w:space="0" w:color="auto"/>
            </w:tcBorders>
            <w:shd w:val="clear" w:color="auto" w:fill="auto"/>
            <w:noWrap/>
            <w:vAlign w:val="bottom"/>
            <w:hideMark/>
          </w:tcPr>
          <w:p w14:paraId="6B167B94" w14:textId="4292E833" w:rsidR="00B959C3" w:rsidRPr="001828CD" w:rsidRDefault="0098097B" w:rsidP="00654183">
            <w:pPr>
              <w:keepNext/>
              <w:keepLines/>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10,</w:t>
            </w:r>
            <w:r w:rsidR="00B959C3" w:rsidRPr="001828CD">
              <w:rPr>
                <w:b/>
                <w:iCs/>
                <w:color w:val="000000"/>
                <w:sz w:val="18"/>
                <w:szCs w:val="18"/>
              </w:rPr>
              <w:t>0</w:t>
            </w:r>
          </w:p>
        </w:tc>
      </w:tr>
      <w:tr w:rsidR="00B959C3" w:rsidRPr="00A84D20" w14:paraId="24642D54" w14:textId="77777777" w:rsidTr="00EA17CB">
        <w:trPr>
          <w:trHeight w:val="58"/>
        </w:trPr>
        <w:tc>
          <w:tcPr>
            <w:tcW w:w="1231" w:type="pct"/>
            <w:tcBorders>
              <w:top w:val="single" w:sz="4" w:space="0" w:color="auto"/>
            </w:tcBorders>
            <w:shd w:val="clear" w:color="auto" w:fill="auto"/>
            <w:noWrap/>
            <w:vAlign w:val="bottom"/>
            <w:hideMark/>
          </w:tcPr>
          <w:p w14:paraId="1E7991BF" w14:textId="0A6A7C04" w:rsidR="00B959C3" w:rsidRPr="005476C8" w:rsidRDefault="00B959C3" w:rsidP="005476C8">
            <w:pPr>
              <w:keepNext/>
              <w:keepLines/>
              <w:tabs>
                <w:tab w:val="clear" w:pos="1247"/>
                <w:tab w:val="clear" w:pos="1814"/>
                <w:tab w:val="clear" w:pos="2381"/>
                <w:tab w:val="clear" w:pos="2948"/>
                <w:tab w:val="clear" w:pos="3515"/>
              </w:tabs>
              <w:spacing w:before="40" w:after="20"/>
              <w:rPr>
                <w:color w:val="000000"/>
                <w:sz w:val="18"/>
                <w:szCs w:val="18"/>
                <w:lang w:val="fr-CH"/>
              </w:rPr>
            </w:pPr>
            <w:r w:rsidRPr="005476C8">
              <w:rPr>
                <w:color w:val="000000"/>
                <w:sz w:val="18"/>
                <w:szCs w:val="18"/>
                <w:lang w:val="fr-CH"/>
              </w:rPr>
              <w:lastRenderedPageBreak/>
              <w:t xml:space="preserve">B. </w:t>
            </w:r>
            <w:r w:rsidR="005476C8" w:rsidRPr="005476C8">
              <w:rPr>
                <w:color w:val="000000"/>
                <w:sz w:val="18"/>
                <w:szCs w:val="18"/>
                <w:lang w:val="fr-CH"/>
              </w:rPr>
              <w:t>Agents des services généraux</w:t>
            </w:r>
          </w:p>
        </w:tc>
        <w:tc>
          <w:tcPr>
            <w:tcW w:w="1231" w:type="pct"/>
            <w:gridSpan w:val="2"/>
            <w:tcBorders>
              <w:top w:val="single" w:sz="4" w:space="0" w:color="auto"/>
            </w:tcBorders>
            <w:shd w:val="clear" w:color="auto" w:fill="auto"/>
            <w:noWrap/>
            <w:vAlign w:val="bottom"/>
            <w:hideMark/>
          </w:tcPr>
          <w:p w14:paraId="38D8FEE4" w14:textId="77777777" w:rsidR="00B959C3" w:rsidRPr="005476C8" w:rsidRDefault="00B959C3" w:rsidP="00654183">
            <w:pPr>
              <w:keepNext/>
              <w:keepLines/>
              <w:tabs>
                <w:tab w:val="clear" w:pos="1247"/>
                <w:tab w:val="clear" w:pos="1814"/>
                <w:tab w:val="clear" w:pos="2381"/>
                <w:tab w:val="clear" w:pos="2948"/>
                <w:tab w:val="clear" w:pos="3515"/>
              </w:tabs>
              <w:spacing w:before="40" w:after="20"/>
              <w:rPr>
                <w:color w:val="000000"/>
                <w:sz w:val="18"/>
                <w:szCs w:val="18"/>
                <w:lang w:val="fr-CH"/>
              </w:rPr>
            </w:pPr>
            <w:r w:rsidRPr="005476C8">
              <w:rPr>
                <w:color w:val="000000"/>
                <w:sz w:val="18"/>
                <w:szCs w:val="18"/>
                <w:lang w:val="fr-CH"/>
              </w:rPr>
              <w:t> </w:t>
            </w:r>
          </w:p>
        </w:tc>
        <w:tc>
          <w:tcPr>
            <w:tcW w:w="923" w:type="pct"/>
            <w:tcBorders>
              <w:top w:val="single" w:sz="4" w:space="0" w:color="auto"/>
            </w:tcBorders>
            <w:shd w:val="clear" w:color="auto" w:fill="auto"/>
            <w:noWrap/>
            <w:vAlign w:val="bottom"/>
            <w:hideMark/>
          </w:tcPr>
          <w:p w14:paraId="77B734A3" w14:textId="77777777" w:rsidR="00B959C3" w:rsidRPr="005476C8" w:rsidRDefault="00B959C3" w:rsidP="00654183">
            <w:pPr>
              <w:keepNext/>
              <w:keepLines/>
              <w:tabs>
                <w:tab w:val="clear" w:pos="1247"/>
                <w:tab w:val="clear" w:pos="1814"/>
                <w:tab w:val="clear" w:pos="2381"/>
                <w:tab w:val="clear" w:pos="2948"/>
                <w:tab w:val="clear" w:pos="3515"/>
              </w:tabs>
              <w:spacing w:before="40" w:after="20"/>
              <w:rPr>
                <w:color w:val="000000"/>
                <w:sz w:val="18"/>
                <w:szCs w:val="18"/>
                <w:lang w:val="fr-CH"/>
              </w:rPr>
            </w:pPr>
            <w:r w:rsidRPr="005476C8">
              <w:rPr>
                <w:color w:val="000000"/>
                <w:sz w:val="18"/>
                <w:szCs w:val="18"/>
                <w:lang w:val="fr-CH"/>
              </w:rPr>
              <w:t> </w:t>
            </w:r>
          </w:p>
        </w:tc>
        <w:tc>
          <w:tcPr>
            <w:tcW w:w="1154" w:type="pct"/>
            <w:gridSpan w:val="2"/>
            <w:tcBorders>
              <w:top w:val="single" w:sz="4" w:space="0" w:color="auto"/>
            </w:tcBorders>
            <w:shd w:val="clear" w:color="auto" w:fill="auto"/>
            <w:noWrap/>
            <w:vAlign w:val="bottom"/>
            <w:hideMark/>
          </w:tcPr>
          <w:p w14:paraId="4A6B39D0" w14:textId="77777777" w:rsidR="00B959C3" w:rsidRPr="005476C8" w:rsidRDefault="00B959C3" w:rsidP="00654183">
            <w:pPr>
              <w:keepNext/>
              <w:keepLines/>
              <w:tabs>
                <w:tab w:val="clear" w:pos="1247"/>
                <w:tab w:val="clear" w:pos="1814"/>
                <w:tab w:val="clear" w:pos="2381"/>
                <w:tab w:val="clear" w:pos="2948"/>
                <w:tab w:val="clear" w:pos="3515"/>
              </w:tabs>
              <w:spacing w:before="40" w:after="20"/>
              <w:rPr>
                <w:color w:val="000000"/>
                <w:sz w:val="18"/>
                <w:szCs w:val="18"/>
                <w:lang w:val="fr-CH"/>
              </w:rPr>
            </w:pPr>
            <w:r w:rsidRPr="005476C8">
              <w:rPr>
                <w:color w:val="000000"/>
                <w:sz w:val="18"/>
                <w:szCs w:val="18"/>
                <w:lang w:val="fr-CH"/>
              </w:rPr>
              <w:t> </w:t>
            </w:r>
          </w:p>
        </w:tc>
        <w:tc>
          <w:tcPr>
            <w:tcW w:w="461" w:type="pct"/>
            <w:gridSpan w:val="2"/>
            <w:tcBorders>
              <w:top w:val="single" w:sz="4" w:space="0" w:color="auto"/>
            </w:tcBorders>
            <w:shd w:val="clear" w:color="auto" w:fill="auto"/>
            <w:noWrap/>
            <w:vAlign w:val="bottom"/>
            <w:hideMark/>
          </w:tcPr>
          <w:p w14:paraId="0E95D049" w14:textId="77777777" w:rsidR="00B959C3" w:rsidRPr="005476C8" w:rsidRDefault="00B959C3" w:rsidP="00654183">
            <w:pPr>
              <w:keepNext/>
              <w:keepLines/>
              <w:tabs>
                <w:tab w:val="clear" w:pos="1247"/>
                <w:tab w:val="clear" w:pos="1814"/>
                <w:tab w:val="clear" w:pos="2381"/>
                <w:tab w:val="clear" w:pos="2948"/>
                <w:tab w:val="clear" w:pos="3515"/>
              </w:tabs>
              <w:spacing w:before="40" w:after="20"/>
              <w:rPr>
                <w:color w:val="000000"/>
                <w:sz w:val="18"/>
                <w:szCs w:val="18"/>
                <w:lang w:val="fr-CH"/>
              </w:rPr>
            </w:pPr>
            <w:r w:rsidRPr="005476C8">
              <w:rPr>
                <w:color w:val="000000"/>
                <w:sz w:val="18"/>
                <w:szCs w:val="18"/>
                <w:lang w:val="fr-CH"/>
              </w:rPr>
              <w:t> </w:t>
            </w:r>
          </w:p>
        </w:tc>
      </w:tr>
      <w:tr w:rsidR="00B959C3" w:rsidRPr="001828CD" w14:paraId="11253E25" w14:textId="77777777" w:rsidTr="00EA17CB">
        <w:trPr>
          <w:trHeight w:val="68"/>
        </w:trPr>
        <w:tc>
          <w:tcPr>
            <w:tcW w:w="1231" w:type="pct"/>
            <w:tcBorders>
              <w:bottom w:val="single" w:sz="4" w:space="0" w:color="auto"/>
            </w:tcBorders>
            <w:shd w:val="clear" w:color="auto" w:fill="auto"/>
            <w:noWrap/>
            <w:vAlign w:val="bottom"/>
            <w:hideMark/>
          </w:tcPr>
          <w:p w14:paraId="322BBAD2" w14:textId="77777777" w:rsidR="00B959C3" w:rsidRPr="005476C8" w:rsidRDefault="00B959C3" w:rsidP="00654183">
            <w:pPr>
              <w:keepNext/>
              <w:keepLines/>
              <w:tabs>
                <w:tab w:val="clear" w:pos="1247"/>
                <w:tab w:val="clear" w:pos="1814"/>
                <w:tab w:val="clear" w:pos="2381"/>
                <w:tab w:val="clear" w:pos="2948"/>
                <w:tab w:val="clear" w:pos="3515"/>
              </w:tabs>
              <w:spacing w:before="40" w:after="20"/>
              <w:rPr>
                <w:color w:val="000000"/>
                <w:sz w:val="18"/>
                <w:szCs w:val="18"/>
                <w:lang w:val="fr-CH"/>
              </w:rPr>
            </w:pPr>
          </w:p>
        </w:tc>
        <w:tc>
          <w:tcPr>
            <w:tcW w:w="1231" w:type="pct"/>
            <w:gridSpan w:val="2"/>
            <w:tcBorders>
              <w:bottom w:val="single" w:sz="4" w:space="0" w:color="auto"/>
            </w:tcBorders>
            <w:shd w:val="clear" w:color="auto" w:fill="auto"/>
            <w:noWrap/>
            <w:vAlign w:val="bottom"/>
            <w:hideMark/>
          </w:tcPr>
          <w:p w14:paraId="52AAD2D2" w14:textId="77777777" w:rsidR="00B959C3" w:rsidRPr="005476C8" w:rsidRDefault="00B959C3" w:rsidP="00654183">
            <w:pPr>
              <w:keepNext/>
              <w:keepLines/>
              <w:tabs>
                <w:tab w:val="clear" w:pos="1247"/>
                <w:tab w:val="clear" w:pos="1814"/>
                <w:tab w:val="clear" w:pos="2381"/>
                <w:tab w:val="clear" w:pos="2948"/>
                <w:tab w:val="clear" w:pos="3515"/>
              </w:tabs>
              <w:spacing w:before="40" w:after="20"/>
              <w:rPr>
                <w:color w:val="000000"/>
                <w:sz w:val="18"/>
                <w:szCs w:val="18"/>
                <w:lang w:val="fr-CH"/>
              </w:rPr>
            </w:pPr>
            <w:r w:rsidRPr="005476C8">
              <w:rPr>
                <w:color w:val="000000"/>
                <w:sz w:val="18"/>
                <w:szCs w:val="18"/>
                <w:lang w:val="fr-CH"/>
              </w:rPr>
              <w:t> </w:t>
            </w:r>
          </w:p>
        </w:tc>
        <w:tc>
          <w:tcPr>
            <w:tcW w:w="923" w:type="pct"/>
            <w:tcBorders>
              <w:bottom w:val="single" w:sz="4" w:space="0" w:color="auto"/>
            </w:tcBorders>
            <w:shd w:val="clear" w:color="auto" w:fill="auto"/>
            <w:noWrap/>
            <w:vAlign w:val="bottom"/>
            <w:hideMark/>
          </w:tcPr>
          <w:p w14:paraId="7E669588" w14:textId="22CE1F00" w:rsidR="00B959C3" w:rsidRPr="001828CD" w:rsidRDefault="005476C8"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4,</w:t>
            </w:r>
            <w:r w:rsidR="00B959C3" w:rsidRPr="001828CD">
              <w:rPr>
                <w:color w:val="000000"/>
                <w:sz w:val="18"/>
                <w:szCs w:val="18"/>
              </w:rPr>
              <w:t>00</w:t>
            </w:r>
          </w:p>
        </w:tc>
        <w:tc>
          <w:tcPr>
            <w:tcW w:w="1154" w:type="pct"/>
            <w:gridSpan w:val="2"/>
            <w:tcBorders>
              <w:bottom w:val="single" w:sz="4" w:space="0" w:color="auto"/>
            </w:tcBorders>
            <w:shd w:val="clear" w:color="auto" w:fill="auto"/>
            <w:noWrap/>
            <w:vAlign w:val="bottom"/>
            <w:hideMark/>
          </w:tcPr>
          <w:p w14:paraId="40837B0B" w14:textId="6D7433F6" w:rsidR="00B959C3" w:rsidRPr="001828CD" w:rsidRDefault="005476C8"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1,</w:t>
            </w:r>
            <w:r w:rsidR="00B959C3" w:rsidRPr="001828CD">
              <w:rPr>
                <w:color w:val="000000"/>
                <w:sz w:val="18"/>
                <w:szCs w:val="18"/>
              </w:rPr>
              <w:t>00</w:t>
            </w:r>
          </w:p>
        </w:tc>
        <w:tc>
          <w:tcPr>
            <w:tcW w:w="461" w:type="pct"/>
            <w:gridSpan w:val="2"/>
            <w:tcBorders>
              <w:bottom w:val="single" w:sz="4" w:space="0" w:color="auto"/>
            </w:tcBorders>
            <w:shd w:val="clear" w:color="auto" w:fill="auto"/>
            <w:noWrap/>
            <w:vAlign w:val="bottom"/>
            <w:hideMark/>
          </w:tcPr>
          <w:p w14:paraId="0F14198F" w14:textId="2677F7D9" w:rsidR="00B959C3" w:rsidRPr="001828CD" w:rsidRDefault="005476C8" w:rsidP="00654183">
            <w:pPr>
              <w:keepNext/>
              <w:keepLines/>
              <w:tabs>
                <w:tab w:val="clear" w:pos="1247"/>
                <w:tab w:val="clear" w:pos="1814"/>
                <w:tab w:val="clear" w:pos="2381"/>
                <w:tab w:val="clear" w:pos="2948"/>
                <w:tab w:val="clear" w:pos="3515"/>
              </w:tabs>
              <w:spacing w:before="40" w:after="20"/>
              <w:jc w:val="right"/>
              <w:rPr>
                <w:color w:val="000000"/>
                <w:sz w:val="18"/>
                <w:szCs w:val="18"/>
              </w:rPr>
            </w:pPr>
            <w:r>
              <w:rPr>
                <w:color w:val="000000"/>
                <w:sz w:val="18"/>
                <w:szCs w:val="18"/>
              </w:rPr>
              <w:t>5,</w:t>
            </w:r>
            <w:r w:rsidR="00B959C3" w:rsidRPr="001828CD">
              <w:rPr>
                <w:color w:val="000000"/>
                <w:sz w:val="18"/>
                <w:szCs w:val="18"/>
              </w:rPr>
              <w:t>00</w:t>
            </w:r>
          </w:p>
        </w:tc>
      </w:tr>
      <w:tr w:rsidR="00B959C3" w:rsidRPr="001828CD" w14:paraId="3CA838E0" w14:textId="77777777" w:rsidTr="00EA17CB">
        <w:trPr>
          <w:trHeight w:val="58"/>
        </w:trPr>
        <w:tc>
          <w:tcPr>
            <w:tcW w:w="1231" w:type="pct"/>
            <w:tcBorders>
              <w:top w:val="single" w:sz="4" w:space="0" w:color="auto"/>
              <w:bottom w:val="single" w:sz="4" w:space="0" w:color="auto"/>
            </w:tcBorders>
            <w:shd w:val="clear" w:color="auto" w:fill="auto"/>
            <w:noWrap/>
            <w:vAlign w:val="bottom"/>
            <w:hideMark/>
          </w:tcPr>
          <w:p w14:paraId="5CCDD7F3" w14:textId="0DDB831C" w:rsidR="00B959C3" w:rsidRPr="001828CD" w:rsidRDefault="005476C8" w:rsidP="005476C8">
            <w:pPr>
              <w:tabs>
                <w:tab w:val="clear" w:pos="1247"/>
                <w:tab w:val="clear" w:pos="1814"/>
                <w:tab w:val="clear" w:pos="2381"/>
                <w:tab w:val="clear" w:pos="2948"/>
                <w:tab w:val="clear" w:pos="3515"/>
              </w:tabs>
              <w:spacing w:before="40" w:after="20"/>
              <w:ind w:left="340"/>
              <w:rPr>
                <w:b/>
                <w:iCs/>
                <w:color w:val="000000"/>
                <w:sz w:val="18"/>
                <w:szCs w:val="18"/>
              </w:rPr>
            </w:pPr>
            <w:r>
              <w:rPr>
                <w:b/>
                <w:iCs/>
                <w:color w:val="000000"/>
                <w:sz w:val="18"/>
                <w:szCs w:val="18"/>
              </w:rPr>
              <w:t xml:space="preserve">Total partiel </w:t>
            </w:r>
            <w:r w:rsidR="00B959C3" w:rsidRPr="001828CD">
              <w:rPr>
                <w:b/>
                <w:iCs/>
                <w:color w:val="000000"/>
                <w:sz w:val="18"/>
                <w:szCs w:val="18"/>
              </w:rPr>
              <w:t>B</w:t>
            </w:r>
          </w:p>
        </w:tc>
        <w:tc>
          <w:tcPr>
            <w:tcW w:w="1231" w:type="pct"/>
            <w:gridSpan w:val="2"/>
            <w:tcBorders>
              <w:top w:val="single" w:sz="4" w:space="0" w:color="auto"/>
              <w:bottom w:val="single" w:sz="4" w:space="0" w:color="auto"/>
            </w:tcBorders>
            <w:shd w:val="clear" w:color="auto" w:fill="auto"/>
            <w:noWrap/>
            <w:vAlign w:val="bottom"/>
            <w:hideMark/>
          </w:tcPr>
          <w:p w14:paraId="5FE25C31"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i/>
                <w:iCs/>
                <w:color w:val="000000"/>
                <w:sz w:val="18"/>
                <w:szCs w:val="18"/>
              </w:rPr>
            </w:pPr>
            <w:r w:rsidRPr="001828CD">
              <w:rPr>
                <w:i/>
                <w:iCs/>
                <w:color w:val="000000"/>
                <w:sz w:val="18"/>
                <w:szCs w:val="18"/>
              </w:rPr>
              <w:t> </w:t>
            </w:r>
          </w:p>
        </w:tc>
        <w:tc>
          <w:tcPr>
            <w:tcW w:w="923" w:type="pct"/>
            <w:tcBorders>
              <w:top w:val="single" w:sz="4" w:space="0" w:color="auto"/>
              <w:bottom w:val="single" w:sz="4" w:space="0" w:color="auto"/>
            </w:tcBorders>
            <w:shd w:val="clear" w:color="auto" w:fill="auto"/>
            <w:noWrap/>
            <w:vAlign w:val="bottom"/>
            <w:hideMark/>
          </w:tcPr>
          <w:p w14:paraId="09F7B89E" w14:textId="2D2B6DE2" w:rsidR="00B959C3" w:rsidRPr="001828CD" w:rsidRDefault="005476C8" w:rsidP="00654183">
            <w:pPr>
              <w:keepNext/>
              <w:keepLines/>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4,</w:t>
            </w:r>
            <w:r w:rsidR="00B959C3" w:rsidRPr="001828CD">
              <w:rPr>
                <w:b/>
                <w:iCs/>
                <w:color w:val="000000"/>
                <w:sz w:val="18"/>
                <w:szCs w:val="18"/>
              </w:rPr>
              <w:t>00</w:t>
            </w:r>
          </w:p>
        </w:tc>
        <w:tc>
          <w:tcPr>
            <w:tcW w:w="1154" w:type="pct"/>
            <w:gridSpan w:val="2"/>
            <w:tcBorders>
              <w:top w:val="single" w:sz="4" w:space="0" w:color="auto"/>
              <w:bottom w:val="single" w:sz="4" w:space="0" w:color="auto"/>
            </w:tcBorders>
            <w:shd w:val="clear" w:color="auto" w:fill="auto"/>
            <w:noWrap/>
            <w:vAlign w:val="bottom"/>
            <w:hideMark/>
          </w:tcPr>
          <w:p w14:paraId="7F723FB0" w14:textId="5590E83B" w:rsidR="00B959C3" w:rsidRPr="001828CD" w:rsidRDefault="005476C8" w:rsidP="00654183">
            <w:pPr>
              <w:keepNext/>
              <w:keepLines/>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1,</w:t>
            </w:r>
            <w:r w:rsidR="00B959C3" w:rsidRPr="001828CD">
              <w:rPr>
                <w:b/>
                <w:iCs/>
                <w:color w:val="000000"/>
                <w:sz w:val="18"/>
                <w:szCs w:val="18"/>
              </w:rPr>
              <w:t>00</w:t>
            </w:r>
          </w:p>
        </w:tc>
        <w:tc>
          <w:tcPr>
            <w:tcW w:w="461" w:type="pct"/>
            <w:gridSpan w:val="2"/>
            <w:tcBorders>
              <w:top w:val="single" w:sz="4" w:space="0" w:color="auto"/>
              <w:bottom w:val="single" w:sz="4" w:space="0" w:color="auto"/>
            </w:tcBorders>
            <w:shd w:val="clear" w:color="auto" w:fill="auto"/>
            <w:noWrap/>
            <w:vAlign w:val="bottom"/>
            <w:hideMark/>
          </w:tcPr>
          <w:p w14:paraId="5D024F47" w14:textId="697AC83A" w:rsidR="00B959C3" w:rsidRPr="001828CD" w:rsidRDefault="005476C8" w:rsidP="00654183">
            <w:pPr>
              <w:keepNext/>
              <w:keepLines/>
              <w:tabs>
                <w:tab w:val="clear" w:pos="1247"/>
                <w:tab w:val="clear" w:pos="1814"/>
                <w:tab w:val="clear" w:pos="2381"/>
                <w:tab w:val="clear" w:pos="2948"/>
                <w:tab w:val="clear" w:pos="3515"/>
              </w:tabs>
              <w:spacing w:before="40" w:after="20"/>
              <w:jc w:val="right"/>
              <w:rPr>
                <w:b/>
                <w:iCs/>
                <w:color w:val="000000"/>
                <w:sz w:val="18"/>
                <w:szCs w:val="18"/>
              </w:rPr>
            </w:pPr>
            <w:r>
              <w:rPr>
                <w:b/>
                <w:iCs/>
                <w:color w:val="000000"/>
                <w:sz w:val="18"/>
                <w:szCs w:val="18"/>
              </w:rPr>
              <w:t>5,</w:t>
            </w:r>
            <w:r w:rsidR="00B959C3" w:rsidRPr="001828CD">
              <w:rPr>
                <w:b/>
                <w:iCs/>
                <w:color w:val="000000"/>
                <w:sz w:val="18"/>
                <w:szCs w:val="18"/>
              </w:rPr>
              <w:t>00</w:t>
            </w:r>
          </w:p>
        </w:tc>
      </w:tr>
      <w:tr w:rsidR="00B959C3" w:rsidRPr="001828CD" w14:paraId="5B64CCD6" w14:textId="77777777" w:rsidTr="00EA17CB">
        <w:trPr>
          <w:trHeight w:val="58"/>
        </w:trPr>
        <w:tc>
          <w:tcPr>
            <w:tcW w:w="1231" w:type="pct"/>
            <w:tcBorders>
              <w:top w:val="single" w:sz="4" w:space="0" w:color="auto"/>
              <w:bottom w:val="single" w:sz="12" w:space="0" w:color="auto"/>
            </w:tcBorders>
            <w:shd w:val="clear" w:color="auto" w:fill="auto"/>
            <w:noWrap/>
            <w:vAlign w:val="bottom"/>
            <w:hideMark/>
          </w:tcPr>
          <w:p w14:paraId="1C9ABA4D" w14:textId="77777777" w:rsidR="00B959C3" w:rsidRPr="001828CD" w:rsidRDefault="00B959C3" w:rsidP="00654183">
            <w:pPr>
              <w:tabs>
                <w:tab w:val="clear" w:pos="1247"/>
                <w:tab w:val="clear" w:pos="1814"/>
                <w:tab w:val="clear" w:pos="2381"/>
                <w:tab w:val="clear" w:pos="2948"/>
                <w:tab w:val="clear" w:pos="3515"/>
              </w:tabs>
              <w:spacing w:before="40" w:after="20"/>
              <w:ind w:left="340"/>
              <w:rPr>
                <w:b/>
                <w:bCs/>
                <w:color w:val="000000"/>
                <w:sz w:val="18"/>
                <w:szCs w:val="18"/>
              </w:rPr>
            </w:pPr>
            <w:r w:rsidRPr="001828CD">
              <w:rPr>
                <w:b/>
                <w:bCs/>
                <w:color w:val="000000"/>
                <w:sz w:val="18"/>
                <w:szCs w:val="18"/>
              </w:rPr>
              <w:t>TOTAL (A+B)</w:t>
            </w:r>
          </w:p>
        </w:tc>
        <w:tc>
          <w:tcPr>
            <w:tcW w:w="1231" w:type="pct"/>
            <w:gridSpan w:val="2"/>
            <w:tcBorders>
              <w:top w:val="single" w:sz="4" w:space="0" w:color="auto"/>
              <w:bottom w:val="single" w:sz="12" w:space="0" w:color="auto"/>
            </w:tcBorders>
            <w:shd w:val="clear" w:color="auto" w:fill="auto"/>
            <w:noWrap/>
            <w:vAlign w:val="bottom"/>
            <w:hideMark/>
          </w:tcPr>
          <w:p w14:paraId="76E9D60A"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b/>
                <w:bCs/>
                <w:color w:val="000000"/>
                <w:sz w:val="18"/>
                <w:szCs w:val="18"/>
              </w:rPr>
            </w:pPr>
            <w:r w:rsidRPr="001828CD">
              <w:rPr>
                <w:b/>
                <w:bCs/>
                <w:color w:val="000000"/>
                <w:sz w:val="18"/>
                <w:szCs w:val="18"/>
              </w:rPr>
              <w:t> </w:t>
            </w:r>
          </w:p>
        </w:tc>
        <w:tc>
          <w:tcPr>
            <w:tcW w:w="923" w:type="pct"/>
            <w:tcBorders>
              <w:top w:val="single" w:sz="4" w:space="0" w:color="auto"/>
              <w:bottom w:val="single" w:sz="12" w:space="0" w:color="auto"/>
            </w:tcBorders>
            <w:shd w:val="clear" w:color="auto" w:fill="auto"/>
            <w:noWrap/>
            <w:vAlign w:val="bottom"/>
            <w:hideMark/>
          </w:tcPr>
          <w:p w14:paraId="03C53513" w14:textId="06B50BFD" w:rsidR="00B959C3" w:rsidRPr="001828CD" w:rsidRDefault="005476C8" w:rsidP="00654183">
            <w:pPr>
              <w:keepNext/>
              <w:keepLines/>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13,</w:t>
            </w:r>
            <w:r w:rsidR="00B959C3" w:rsidRPr="001828CD">
              <w:rPr>
                <w:b/>
                <w:bCs/>
                <w:color w:val="000000"/>
                <w:sz w:val="18"/>
                <w:szCs w:val="18"/>
              </w:rPr>
              <w:t>00</w:t>
            </w:r>
          </w:p>
        </w:tc>
        <w:tc>
          <w:tcPr>
            <w:tcW w:w="1154" w:type="pct"/>
            <w:gridSpan w:val="2"/>
            <w:tcBorders>
              <w:top w:val="single" w:sz="4" w:space="0" w:color="auto"/>
              <w:bottom w:val="single" w:sz="12" w:space="0" w:color="auto"/>
            </w:tcBorders>
            <w:shd w:val="clear" w:color="auto" w:fill="auto"/>
            <w:noWrap/>
            <w:vAlign w:val="bottom"/>
            <w:hideMark/>
          </w:tcPr>
          <w:p w14:paraId="3F91BBB2" w14:textId="60ADAFF5" w:rsidR="00B959C3" w:rsidRPr="001828CD" w:rsidRDefault="005476C8" w:rsidP="00654183">
            <w:pPr>
              <w:keepNext/>
              <w:keepLines/>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2,</w:t>
            </w:r>
            <w:r w:rsidR="00B959C3" w:rsidRPr="001828CD">
              <w:rPr>
                <w:b/>
                <w:bCs/>
                <w:color w:val="000000"/>
                <w:sz w:val="18"/>
                <w:szCs w:val="18"/>
              </w:rPr>
              <w:t>00</w:t>
            </w:r>
          </w:p>
        </w:tc>
        <w:tc>
          <w:tcPr>
            <w:tcW w:w="461" w:type="pct"/>
            <w:gridSpan w:val="2"/>
            <w:tcBorders>
              <w:top w:val="single" w:sz="4" w:space="0" w:color="auto"/>
              <w:bottom w:val="single" w:sz="12" w:space="0" w:color="auto"/>
            </w:tcBorders>
            <w:shd w:val="clear" w:color="auto" w:fill="auto"/>
            <w:noWrap/>
            <w:vAlign w:val="bottom"/>
            <w:hideMark/>
          </w:tcPr>
          <w:p w14:paraId="54DA726E" w14:textId="52457256" w:rsidR="00B959C3" w:rsidRPr="001828CD" w:rsidRDefault="005476C8" w:rsidP="00654183">
            <w:pPr>
              <w:keepNext/>
              <w:keepLines/>
              <w:tabs>
                <w:tab w:val="clear" w:pos="1247"/>
                <w:tab w:val="clear" w:pos="1814"/>
                <w:tab w:val="clear" w:pos="2381"/>
                <w:tab w:val="clear" w:pos="2948"/>
                <w:tab w:val="clear" w:pos="3515"/>
              </w:tabs>
              <w:spacing w:before="40" w:after="20"/>
              <w:jc w:val="right"/>
              <w:rPr>
                <w:b/>
                <w:bCs/>
                <w:color w:val="000000"/>
                <w:sz w:val="18"/>
                <w:szCs w:val="18"/>
              </w:rPr>
            </w:pPr>
            <w:r>
              <w:rPr>
                <w:b/>
                <w:bCs/>
                <w:color w:val="000000"/>
                <w:sz w:val="18"/>
                <w:szCs w:val="18"/>
              </w:rPr>
              <w:t>15,</w:t>
            </w:r>
            <w:r w:rsidR="00B959C3" w:rsidRPr="001828CD">
              <w:rPr>
                <w:b/>
                <w:bCs/>
                <w:color w:val="000000"/>
                <w:sz w:val="18"/>
                <w:szCs w:val="18"/>
              </w:rPr>
              <w:t>00</w:t>
            </w:r>
          </w:p>
        </w:tc>
      </w:tr>
      <w:tr w:rsidR="00B959C3" w:rsidRPr="001828CD" w14:paraId="1E1BEE25" w14:textId="77777777" w:rsidTr="00EA17CB">
        <w:trPr>
          <w:trHeight w:val="58"/>
        </w:trPr>
        <w:tc>
          <w:tcPr>
            <w:tcW w:w="1231" w:type="pct"/>
            <w:tcBorders>
              <w:top w:val="single" w:sz="12" w:space="0" w:color="auto"/>
              <w:bottom w:val="single" w:sz="4" w:space="0" w:color="auto"/>
            </w:tcBorders>
            <w:shd w:val="clear" w:color="auto" w:fill="auto"/>
            <w:noWrap/>
            <w:vAlign w:val="bottom"/>
            <w:hideMark/>
          </w:tcPr>
          <w:p w14:paraId="451316A4" w14:textId="2709E233" w:rsidR="00B959C3" w:rsidRPr="001828CD" w:rsidRDefault="005476C8" w:rsidP="00654183">
            <w:pPr>
              <w:tabs>
                <w:tab w:val="clear" w:pos="1247"/>
                <w:tab w:val="clear" w:pos="1814"/>
                <w:tab w:val="clear" w:pos="2381"/>
                <w:tab w:val="clear" w:pos="2948"/>
                <w:tab w:val="clear" w:pos="3515"/>
              </w:tabs>
              <w:spacing w:before="40" w:after="20"/>
              <w:ind w:left="340"/>
              <w:rPr>
                <w:iCs/>
                <w:color w:val="000000"/>
                <w:sz w:val="18"/>
                <w:szCs w:val="18"/>
              </w:rPr>
            </w:pPr>
            <w:r>
              <w:rPr>
                <w:iCs/>
                <w:color w:val="000000"/>
                <w:sz w:val="18"/>
                <w:szCs w:val="18"/>
              </w:rPr>
              <w:t>Remarque</w:t>
            </w:r>
            <w:r w:rsidR="00B959C3" w:rsidRPr="001828CD">
              <w:rPr>
                <w:iCs/>
                <w:color w:val="000000"/>
                <w:sz w:val="18"/>
                <w:szCs w:val="18"/>
              </w:rPr>
              <w:t>s</w:t>
            </w:r>
          </w:p>
        </w:tc>
        <w:tc>
          <w:tcPr>
            <w:tcW w:w="1231" w:type="pct"/>
            <w:gridSpan w:val="2"/>
            <w:tcBorders>
              <w:top w:val="single" w:sz="12" w:space="0" w:color="auto"/>
              <w:bottom w:val="single" w:sz="4" w:space="0" w:color="auto"/>
            </w:tcBorders>
            <w:shd w:val="clear" w:color="auto" w:fill="auto"/>
            <w:noWrap/>
            <w:vAlign w:val="bottom"/>
            <w:hideMark/>
          </w:tcPr>
          <w:p w14:paraId="085876CF" w14:textId="7A36E55C" w:rsidR="00B959C3" w:rsidRPr="001828CD" w:rsidRDefault="00B959C3" w:rsidP="00654183">
            <w:pPr>
              <w:keepNext/>
              <w:keepLines/>
              <w:tabs>
                <w:tab w:val="clear" w:pos="1247"/>
                <w:tab w:val="clear" w:pos="1814"/>
                <w:tab w:val="clear" w:pos="2381"/>
                <w:tab w:val="clear" w:pos="2948"/>
                <w:tab w:val="clear" w:pos="3515"/>
              </w:tabs>
              <w:spacing w:before="40" w:after="20"/>
              <w:rPr>
                <w:i/>
                <w:iCs/>
                <w:color w:val="000000"/>
                <w:sz w:val="18"/>
                <w:szCs w:val="18"/>
              </w:rPr>
            </w:pPr>
          </w:p>
        </w:tc>
        <w:tc>
          <w:tcPr>
            <w:tcW w:w="923" w:type="pct"/>
            <w:tcBorders>
              <w:top w:val="single" w:sz="12" w:space="0" w:color="auto"/>
              <w:bottom w:val="single" w:sz="4" w:space="0" w:color="auto"/>
            </w:tcBorders>
            <w:shd w:val="clear" w:color="auto" w:fill="auto"/>
            <w:noWrap/>
            <w:vAlign w:val="bottom"/>
            <w:hideMark/>
          </w:tcPr>
          <w:p w14:paraId="44D2A5E3" w14:textId="77777777" w:rsidR="00B959C3" w:rsidRPr="001828CD" w:rsidRDefault="00B959C3" w:rsidP="00654183">
            <w:pPr>
              <w:keepNext/>
              <w:keepLines/>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d</w:t>
            </w:r>
          </w:p>
        </w:tc>
        <w:tc>
          <w:tcPr>
            <w:tcW w:w="1154" w:type="pct"/>
            <w:gridSpan w:val="2"/>
            <w:tcBorders>
              <w:top w:val="single" w:sz="12" w:space="0" w:color="auto"/>
              <w:bottom w:val="single" w:sz="4" w:space="0" w:color="auto"/>
            </w:tcBorders>
            <w:shd w:val="clear" w:color="auto" w:fill="auto"/>
            <w:noWrap/>
            <w:vAlign w:val="bottom"/>
            <w:hideMark/>
          </w:tcPr>
          <w:p w14:paraId="6032C244" w14:textId="77777777" w:rsidR="00B959C3" w:rsidRPr="001828CD" w:rsidRDefault="00B959C3" w:rsidP="00654183">
            <w:pPr>
              <w:keepNext/>
              <w:keepLines/>
              <w:tabs>
                <w:tab w:val="clear" w:pos="1247"/>
                <w:tab w:val="clear" w:pos="1814"/>
                <w:tab w:val="clear" w:pos="2381"/>
                <w:tab w:val="clear" w:pos="2948"/>
                <w:tab w:val="clear" w:pos="3515"/>
              </w:tabs>
              <w:spacing w:before="40" w:after="20"/>
              <w:jc w:val="right"/>
              <w:rPr>
                <w:i/>
                <w:iCs/>
                <w:color w:val="000000"/>
                <w:sz w:val="18"/>
                <w:szCs w:val="18"/>
              </w:rPr>
            </w:pPr>
            <w:r w:rsidRPr="001828CD">
              <w:rPr>
                <w:i/>
                <w:iCs/>
                <w:color w:val="000000"/>
                <w:sz w:val="18"/>
                <w:szCs w:val="18"/>
              </w:rPr>
              <w:t>c</w:t>
            </w:r>
          </w:p>
        </w:tc>
        <w:tc>
          <w:tcPr>
            <w:tcW w:w="461" w:type="pct"/>
            <w:gridSpan w:val="2"/>
            <w:tcBorders>
              <w:top w:val="single" w:sz="12" w:space="0" w:color="auto"/>
              <w:bottom w:val="single" w:sz="4" w:space="0" w:color="auto"/>
            </w:tcBorders>
            <w:shd w:val="clear" w:color="auto" w:fill="auto"/>
            <w:noWrap/>
            <w:vAlign w:val="bottom"/>
            <w:hideMark/>
          </w:tcPr>
          <w:p w14:paraId="16538B83" w14:textId="77777777" w:rsidR="00B959C3" w:rsidRPr="001828CD" w:rsidRDefault="00B959C3" w:rsidP="00654183">
            <w:pPr>
              <w:keepNext/>
              <w:keepLines/>
              <w:tabs>
                <w:tab w:val="clear" w:pos="1247"/>
                <w:tab w:val="clear" w:pos="1814"/>
                <w:tab w:val="clear" w:pos="2381"/>
                <w:tab w:val="clear" w:pos="2948"/>
                <w:tab w:val="clear" w:pos="3515"/>
              </w:tabs>
              <w:spacing w:before="40" w:after="20"/>
              <w:rPr>
                <w:i/>
                <w:iCs/>
                <w:color w:val="000000"/>
                <w:sz w:val="18"/>
                <w:szCs w:val="18"/>
              </w:rPr>
            </w:pPr>
            <w:r w:rsidRPr="001828CD">
              <w:rPr>
                <w:i/>
                <w:iCs/>
                <w:color w:val="000000"/>
                <w:sz w:val="18"/>
                <w:szCs w:val="18"/>
              </w:rPr>
              <w:t> </w:t>
            </w:r>
          </w:p>
        </w:tc>
      </w:tr>
    </w:tbl>
    <w:p w14:paraId="308BB4D8" w14:textId="18AE5DE7" w:rsidR="00B959C3" w:rsidRPr="001828CD" w:rsidRDefault="005476C8" w:rsidP="00B959C3">
      <w:pPr>
        <w:pStyle w:val="Normal-pool"/>
        <w:tabs>
          <w:tab w:val="clear" w:pos="1247"/>
          <w:tab w:val="left" w:pos="993"/>
        </w:tabs>
        <w:spacing w:before="120" w:after="40"/>
        <w:ind w:left="567"/>
        <w:rPr>
          <w:b/>
          <w:sz w:val="18"/>
          <w:szCs w:val="18"/>
        </w:rPr>
      </w:pPr>
      <w:r>
        <w:rPr>
          <w:b/>
          <w:sz w:val="18"/>
          <w:szCs w:val="18"/>
        </w:rPr>
        <w:t>Remarque</w:t>
      </w:r>
      <w:r w:rsidR="00B959C3" w:rsidRPr="006432A8">
        <w:rPr>
          <w:b/>
          <w:sz w:val="18"/>
          <w:szCs w:val="18"/>
        </w:rPr>
        <w:t>s</w:t>
      </w:r>
    </w:p>
    <w:p w14:paraId="7AA58D2B" w14:textId="03AF807D" w:rsidR="00B959C3" w:rsidRPr="005476C8"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fr-CH"/>
        </w:rPr>
      </w:pPr>
      <w:r w:rsidRPr="00420CE3">
        <w:rPr>
          <w:sz w:val="18"/>
          <w:szCs w:val="18"/>
          <w:lang w:val="fr-CH"/>
        </w:rPr>
        <w:t xml:space="preserve">a. </w:t>
      </w:r>
      <w:r w:rsidRPr="00420CE3">
        <w:rPr>
          <w:sz w:val="18"/>
          <w:szCs w:val="18"/>
          <w:lang w:val="fr-CH"/>
        </w:rPr>
        <w:tab/>
      </w:r>
      <w:r w:rsidR="005476C8" w:rsidRPr="005476C8">
        <w:rPr>
          <w:sz w:val="18"/>
          <w:szCs w:val="18"/>
          <w:lang w:val="fr-CH"/>
        </w:rPr>
        <w:t>Dans le cas d’une absorption des fonctions du secrétariat de la Convention de Minamata par le Secrétariat des conventions de Bâle, de Rotterdam et de Stockholm, correspond aux postes prévus dans les budgets des Fonds généraux d’affectation spéciale de ces conventions pour la période 2018-2019 que la Convention de Minamata doit cofinancer au moyen des quotes-parts versées.</w:t>
      </w:r>
    </w:p>
    <w:p w14:paraId="3C25AE7F" w14:textId="7D93DD3E" w:rsidR="00B959C3" w:rsidRPr="00700F42"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fr-CH"/>
        </w:rPr>
      </w:pPr>
      <w:r w:rsidRPr="00420CE3">
        <w:rPr>
          <w:sz w:val="18"/>
          <w:szCs w:val="18"/>
          <w:lang w:val="fr-CH"/>
        </w:rPr>
        <w:t xml:space="preserve">b. </w:t>
      </w:r>
      <w:r w:rsidRPr="00420CE3">
        <w:rPr>
          <w:sz w:val="18"/>
          <w:szCs w:val="18"/>
          <w:lang w:val="fr-CH"/>
        </w:rPr>
        <w:tab/>
      </w:r>
      <w:r w:rsidR="00700F42" w:rsidRPr="00700F42">
        <w:rPr>
          <w:sz w:val="18"/>
          <w:szCs w:val="18"/>
          <w:lang w:val="fr-CH"/>
        </w:rPr>
        <w:t>Dans le cas d’une absorption des fonctions du secrétariat de la Convention de Minamata par le Secrétariat des conventions de Bâle, de Rotterdam et de Stockholm, correspond aux nouveaux postes cofinancés par les conventions de Bâle, de Rotterdam et de Stockholm et de Minamata au moyen des quotes-parts versées.</w:t>
      </w:r>
    </w:p>
    <w:p w14:paraId="0CA40BFE" w14:textId="290031D1" w:rsidR="00B959C3" w:rsidRPr="00700F42"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fr-CH"/>
        </w:rPr>
      </w:pPr>
      <w:r w:rsidRPr="00420CE3">
        <w:rPr>
          <w:sz w:val="18"/>
          <w:szCs w:val="18"/>
          <w:lang w:val="fr-CH"/>
        </w:rPr>
        <w:t xml:space="preserve">c. </w:t>
      </w:r>
      <w:r w:rsidRPr="00420CE3">
        <w:rPr>
          <w:sz w:val="18"/>
          <w:szCs w:val="18"/>
          <w:lang w:val="fr-CH"/>
        </w:rPr>
        <w:tab/>
      </w:r>
      <w:r w:rsidR="00700F42" w:rsidRPr="00700F42">
        <w:rPr>
          <w:sz w:val="18"/>
          <w:szCs w:val="18"/>
          <w:lang w:val="fr-CH"/>
        </w:rPr>
        <w:t>Postes relevant de la Convention de Minamata financés au moyen des 13 % prévus par celle-ci pour les dépenses d’appui au programme.</w:t>
      </w:r>
    </w:p>
    <w:p w14:paraId="0C6CB830" w14:textId="54846538" w:rsidR="00B959C3" w:rsidRPr="00700F42" w:rsidRDefault="00B959C3" w:rsidP="00B959C3">
      <w:pPr>
        <w:pStyle w:val="Normal-pool"/>
        <w:tabs>
          <w:tab w:val="clear" w:pos="1247"/>
          <w:tab w:val="clear" w:pos="1814"/>
          <w:tab w:val="clear" w:pos="2381"/>
          <w:tab w:val="clear" w:pos="2948"/>
          <w:tab w:val="clear" w:pos="3515"/>
          <w:tab w:val="clear" w:pos="4082"/>
          <w:tab w:val="left" w:pos="567"/>
          <w:tab w:val="left" w:pos="851"/>
        </w:tabs>
        <w:spacing w:after="40"/>
        <w:ind w:left="567"/>
        <w:rPr>
          <w:sz w:val="18"/>
          <w:szCs w:val="18"/>
          <w:lang w:val="fr-CH"/>
        </w:rPr>
      </w:pPr>
      <w:r w:rsidRPr="00700F42">
        <w:rPr>
          <w:sz w:val="18"/>
          <w:szCs w:val="18"/>
          <w:lang w:val="fr-CH"/>
        </w:rPr>
        <w:t>d.</w:t>
      </w:r>
      <w:r w:rsidRPr="00700F42">
        <w:rPr>
          <w:sz w:val="18"/>
          <w:szCs w:val="18"/>
          <w:lang w:val="fr-CH"/>
        </w:rPr>
        <w:tab/>
      </w:r>
      <w:r w:rsidR="00700F42" w:rsidRPr="00700F42">
        <w:rPr>
          <w:sz w:val="18"/>
          <w:szCs w:val="18"/>
          <w:lang w:val="fr-CH"/>
        </w:rPr>
        <w:t>Postes relevant de la Convention de Minamata financés au moyen des quotes-parts versées.</w:t>
      </w:r>
    </w:p>
    <w:p w14:paraId="5A7A64FC" w14:textId="694702C4" w:rsidR="00FE4713" w:rsidRPr="00094793" w:rsidRDefault="0041238C" w:rsidP="0063082E">
      <w:pPr>
        <w:pStyle w:val="Normal-pool"/>
        <w:spacing w:before="120"/>
        <w:ind w:left="1253"/>
        <w:rPr>
          <w:lang w:val="fr-CH"/>
        </w:rPr>
      </w:pPr>
      <w:r w:rsidRPr="00094793">
        <w:rPr>
          <w:lang w:val="fr-CH"/>
        </w:rPr>
        <w:t>Table</w:t>
      </w:r>
      <w:r w:rsidR="00700F42" w:rsidRPr="00094793">
        <w:rPr>
          <w:lang w:val="fr-CH"/>
        </w:rPr>
        <w:t>au</w:t>
      </w:r>
      <w:r w:rsidR="00FB4483">
        <w:rPr>
          <w:lang w:val="fr-CH"/>
        </w:rPr>
        <w:t> </w:t>
      </w:r>
      <w:r w:rsidRPr="00094793">
        <w:rPr>
          <w:lang w:val="fr-CH"/>
        </w:rPr>
        <w:t>2</w:t>
      </w:r>
    </w:p>
    <w:p w14:paraId="165A7785" w14:textId="445C4A63" w:rsidR="00094793" w:rsidRDefault="00222193" w:rsidP="002F2A17">
      <w:pPr>
        <w:pStyle w:val="Normal-pool"/>
        <w:ind w:left="1247"/>
        <w:rPr>
          <w:b/>
          <w:lang w:val="fr-CH"/>
        </w:rPr>
      </w:pPr>
      <w:r>
        <w:rPr>
          <w:b/>
          <w:lang w:val="fr-CH"/>
        </w:rPr>
        <w:t>Dépenses de personnel</w:t>
      </w:r>
      <w:r w:rsidR="00094793" w:rsidRPr="00094793">
        <w:rPr>
          <w:b/>
          <w:lang w:val="fr-CH"/>
        </w:rPr>
        <w:t xml:space="preserve"> estimati</w:t>
      </w:r>
      <w:r>
        <w:rPr>
          <w:b/>
          <w:lang w:val="fr-CH"/>
        </w:rPr>
        <w:t>ves</w:t>
      </w:r>
      <w:r w:rsidR="00094793" w:rsidRPr="00094793">
        <w:rPr>
          <w:b/>
          <w:lang w:val="fr-CH"/>
        </w:rPr>
        <w:t xml:space="preserve"> pour les propositions concernant la façon dont le Directeur exécutif s’acquitterait des fonctions du secrétariat</w:t>
      </w:r>
      <w:r>
        <w:rPr>
          <w:b/>
          <w:lang w:val="fr-CH"/>
        </w:rPr>
        <w:t xml:space="preserve"> permanent</w:t>
      </w:r>
      <w:r w:rsidR="00094793">
        <w:rPr>
          <w:b/>
          <w:lang w:val="fr-CH"/>
        </w:rPr>
        <w:t xml:space="preserve"> à Genève, par an</w:t>
      </w:r>
    </w:p>
    <w:p w14:paraId="254CFAE6" w14:textId="250CCE99" w:rsidR="00094793" w:rsidRPr="00696701" w:rsidRDefault="00094793" w:rsidP="006432A8">
      <w:pPr>
        <w:pStyle w:val="Normal-pool"/>
        <w:spacing w:after="120"/>
        <w:ind w:left="1247"/>
        <w:rPr>
          <w:sz w:val="16"/>
          <w:szCs w:val="16"/>
          <w:lang w:val="fr-CH"/>
        </w:rPr>
      </w:pPr>
      <w:r w:rsidRPr="00696701">
        <w:rPr>
          <w:sz w:val="16"/>
          <w:szCs w:val="16"/>
          <w:lang w:val="fr-CH"/>
        </w:rPr>
        <w:t>(en dollars des États-Unis)</w:t>
      </w:r>
    </w:p>
    <w:tbl>
      <w:tblPr>
        <w:tblW w:w="8982" w:type="dxa"/>
        <w:tblInd w:w="624" w:type="dxa"/>
        <w:tblLayout w:type="fixed"/>
        <w:tblLook w:val="04A0" w:firstRow="1" w:lastRow="0" w:firstColumn="1" w:lastColumn="0" w:noHBand="0" w:noVBand="1"/>
      </w:tblPr>
      <w:tblGrid>
        <w:gridCol w:w="2245"/>
        <w:gridCol w:w="2246"/>
        <w:gridCol w:w="2245"/>
        <w:gridCol w:w="2246"/>
      </w:tblGrid>
      <w:tr w:rsidR="0041238C" w:rsidRPr="00A84D20" w14:paraId="2A548481" w14:textId="77777777" w:rsidTr="002F2A17">
        <w:trPr>
          <w:trHeight w:val="1404"/>
        </w:trPr>
        <w:tc>
          <w:tcPr>
            <w:tcW w:w="2245" w:type="dxa"/>
            <w:tcBorders>
              <w:top w:val="nil"/>
              <w:left w:val="nil"/>
              <w:bottom w:val="nil"/>
              <w:right w:val="nil"/>
            </w:tcBorders>
            <w:shd w:val="clear" w:color="auto" w:fill="auto"/>
            <w:noWrap/>
            <w:vAlign w:val="bottom"/>
            <w:hideMark/>
          </w:tcPr>
          <w:p w14:paraId="59B51734" w14:textId="77777777" w:rsidR="0041238C" w:rsidRPr="00094793" w:rsidRDefault="0041238C" w:rsidP="0041238C">
            <w:pPr>
              <w:tabs>
                <w:tab w:val="clear" w:pos="1247"/>
                <w:tab w:val="clear" w:pos="1814"/>
                <w:tab w:val="clear" w:pos="2381"/>
                <w:tab w:val="clear" w:pos="2948"/>
                <w:tab w:val="clear" w:pos="3515"/>
              </w:tabs>
              <w:ind w:left="1400"/>
              <w:rPr>
                <w:color w:val="000000"/>
                <w:sz w:val="18"/>
                <w:szCs w:val="18"/>
                <w:lang w:val="fr-CH"/>
              </w:rPr>
            </w:pPr>
          </w:p>
        </w:tc>
        <w:tc>
          <w:tcPr>
            <w:tcW w:w="2246" w:type="dxa"/>
            <w:tcBorders>
              <w:top w:val="single" w:sz="4" w:space="0" w:color="auto"/>
              <w:left w:val="single" w:sz="4" w:space="0" w:color="auto"/>
              <w:bottom w:val="nil"/>
              <w:right w:val="single" w:sz="4" w:space="0" w:color="auto"/>
            </w:tcBorders>
            <w:shd w:val="clear" w:color="auto" w:fill="auto"/>
            <w:hideMark/>
          </w:tcPr>
          <w:p w14:paraId="1348067A" w14:textId="057A6673" w:rsidR="0041238C" w:rsidRPr="002F2A17" w:rsidRDefault="002F2A17" w:rsidP="00EA17CB">
            <w:pPr>
              <w:keepNext/>
              <w:keepLines/>
              <w:tabs>
                <w:tab w:val="clear" w:pos="1247"/>
                <w:tab w:val="clear" w:pos="1814"/>
                <w:tab w:val="clear" w:pos="2381"/>
                <w:tab w:val="clear" w:pos="2948"/>
                <w:tab w:val="clear" w:pos="3515"/>
              </w:tabs>
              <w:spacing w:before="40" w:after="20"/>
              <w:jc w:val="right"/>
              <w:rPr>
                <w:bCs/>
                <w:i/>
                <w:color w:val="000000"/>
                <w:sz w:val="18"/>
                <w:szCs w:val="18"/>
                <w:lang w:val="fr-CH"/>
              </w:rPr>
            </w:pPr>
            <w:r w:rsidRPr="002F2A17">
              <w:rPr>
                <w:i/>
                <w:sz w:val="18"/>
                <w:szCs w:val="18"/>
                <w:lang w:val="fr-CH"/>
              </w:rPr>
              <w:t>Option 1 a) (fusionnement)</w:t>
            </w:r>
            <w:r w:rsidR="00222193">
              <w:rPr>
                <w:i/>
                <w:sz w:val="18"/>
                <w:szCs w:val="18"/>
                <w:lang w:val="fr-CH"/>
              </w:rPr>
              <w:t> </w:t>
            </w:r>
            <w:r w:rsidRPr="002F2A17">
              <w:rPr>
                <w:i/>
                <w:sz w:val="18"/>
                <w:szCs w:val="18"/>
                <w:lang w:val="fr-CH"/>
              </w:rPr>
              <w:t>: Incorporation des fonctions du secrétariat de la Convention de Minamata dans la structure actuelle du Secrétariat des conventions de Bâle, de Rotterdam et de Stockholm (lieu d’implantation : Genève)</w:t>
            </w:r>
          </w:p>
        </w:tc>
        <w:tc>
          <w:tcPr>
            <w:tcW w:w="2245" w:type="dxa"/>
            <w:tcBorders>
              <w:top w:val="single" w:sz="4" w:space="0" w:color="auto"/>
              <w:left w:val="nil"/>
              <w:bottom w:val="nil"/>
              <w:right w:val="single" w:sz="4" w:space="0" w:color="auto"/>
            </w:tcBorders>
            <w:shd w:val="clear" w:color="auto" w:fill="auto"/>
            <w:hideMark/>
          </w:tcPr>
          <w:p w14:paraId="4D2D2EF7" w14:textId="227B49DF" w:rsidR="0041238C" w:rsidRPr="002F2A17" w:rsidRDefault="002F2A17" w:rsidP="00EA17CB">
            <w:pPr>
              <w:keepNext/>
              <w:keepLines/>
              <w:tabs>
                <w:tab w:val="clear" w:pos="1247"/>
                <w:tab w:val="clear" w:pos="1814"/>
                <w:tab w:val="clear" w:pos="2381"/>
                <w:tab w:val="clear" w:pos="2948"/>
                <w:tab w:val="clear" w:pos="3515"/>
              </w:tabs>
              <w:spacing w:before="40" w:after="20"/>
              <w:jc w:val="right"/>
              <w:rPr>
                <w:bCs/>
                <w:i/>
                <w:color w:val="000000"/>
                <w:sz w:val="18"/>
                <w:szCs w:val="18"/>
                <w:lang w:val="fr-CH"/>
              </w:rPr>
            </w:pPr>
            <w:r w:rsidRPr="002F2A17">
              <w:rPr>
                <w:i/>
                <w:sz w:val="18"/>
                <w:szCs w:val="18"/>
                <w:lang w:val="fr-CH"/>
              </w:rPr>
              <w:t>Option 1 b) (intégration sous forme de Serv</w:t>
            </w:r>
            <w:r w:rsidR="00222193">
              <w:rPr>
                <w:i/>
                <w:sz w:val="18"/>
                <w:szCs w:val="18"/>
                <w:lang w:val="fr-CH"/>
              </w:rPr>
              <w:t>ice) : Fusionnement</w:t>
            </w:r>
            <w:r w:rsidRPr="002F2A17">
              <w:rPr>
                <w:i/>
                <w:sz w:val="18"/>
                <w:szCs w:val="18"/>
                <w:lang w:val="fr-CH"/>
              </w:rPr>
              <w:t xml:space="preserve"> du secrétariat de la Convention de Minamata </w:t>
            </w:r>
            <w:r w:rsidR="000A3FD2">
              <w:rPr>
                <w:i/>
                <w:sz w:val="18"/>
                <w:szCs w:val="18"/>
                <w:lang w:val="fr-CH"/>
              </w:rPr>
              <w:t xml:space="preserve">avec le </w:t>
            </w:r>
            <w:r w:rsidRPr="002F2A17">
              <w:rPr>
                <w:i/>
                <w:sz w:val="18"/>
                <w:szCs w:val="18"/>
                <w:lang w:val="fr-CH"/>
              </w:rPr>
              <w:t xml:space="preserve">Secrétariat des conventions de Bâle, de Rotterdam et de Stockholm par la création, au cours de la période intérimaire, d’un Service de la Convention de Minamata au sein de </w:t>
            </w:r>
            <w:r w:rsidR="00222193">
              <w:rPr>
                <w:i/>
                <w:sz w:val="18"/>
                <w:szCs w:val="18"/>
                <w:lang w:val="fr-CH"/>
              </w:rPr>
              <w:br/>
            </w:r>
            <w:r w:rsidRPr="002F2A17">
              <w:rPr>
                <w:i/>
                <w:sz w:val="18"/>
                <w:szCs w:val="18"/>
                <w:lang w:val="fr-CH"/>
              </w:rPr>
              <w:t>celui-ci (lieu d’implantation : Genève)</w:t>
            </w: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14:paraId="596F9FDB" w14:textId="4B5724F4" w:rsidR="0041238C" w:rsidRPr="0058513D" w:rsidRDefault="0058513D" w:rsidP="0058513D">
            <w:pPr>
              <w:keepNext/>
              <w:keepLines/>
              <w:tabs>
                <w:tab w:val="clear" w:pos="1247"/>
                <w:tab w:val="clear" w:pos="1814"/>
                <w:tab w:val="clear" w:pos="2381"/>
                <w:tab w:val="clear" w:pos="2948"/>
                <w:tab w:val="clear" w:pos="3515"/>
              </w:tabs>
              <w:spacing w:before="40" w:after="20"/>
              <w:jc w:val="right"/>
              <w:rPr>
                <w:bCs/>
                <w:i/>
                <w:color w:val="000000"/>
                <w:sz w:val="18"/>
                <w:szCs w:val="18"/>
                <w:lang w:val="fr-CH"/>
              </w:rPr>
            </w:pPr>
            <w:r w:rsidRPr="0058513D">
              <w:rPr>
                <w:i/>
                <w:sz w:val="18"/>
                <w:szCs w:val="18"/>
                <w:lang w:val="fr-CH"/>
              </w:rPr>
              <w:t>Option 2 (autonomie)</w:t>
            </w:r>
            <w:r w:rsidR="00222193">
              <w:rPr>
                <w:i/>
                <w:sz w:val="18"/>
                <w:szCs w:val="18"/>
                <w:lang w:val="fr-CH"/>
              </w:rPr>
              <w:t> </w:t>
            </w:r>
            <w:r w:rsidRPr="0058513D">
              <w:rPr>
                <w:i/>
                <w:sz w:val="18"/>
                <w:szCs w:val="18"/>
                <w:lang w:val="fr-CH"/>
              </w:rPr>
              <w:t>: Créat</w:t>
            </w:r>
            <w:r w:rsidR="003E2416">
              <w:rPr>
                <w:i/>
                <w:sz w:val="18"/>
                <w:szCs w:val="18"/>
                <w:lang w:val="fr-CH"/>
              </w:rPr>
              <w:t>ion d’un secrétariat autonome</w:t>
            </w:r>
            <w:r w:rsidRPr="0058513D">
              <w:rPr>
                <w:i/>
                <w:sz w:val="18"/>
                <w:szCs w:val="18"/>
                <w:lang w:val="fr-CH"/>
              </w:rPr>
              <w:t xml:space="preserve"> de la Convention de Minamata (lieu d’implantation : Genève)</w:t>
            </w:r>
          </w:p>
        </w:tc>
      </w:tr>
      <w:tr w:rsidR="0041238C" w:rsidRPr="007E304A" w14:paraId="6BC42AD5" w14:textId="77777777" w:rsidTr="002F2A17">
        <w:trPr>
          <w:trHeight w:val="312"/>
        </w:trPr>
        <w:tc>
          <w:tcPr>
            <w:tcW w:w="2245" w:type="dxa"/>
            <w:tcBorders>
              <w:top w:val="single" w:sz="4" w:space="0" w:color="auto"/>
              <w:left w:val="single" w:sz="4" w:space="0" w:color="auto"/>
              <w:bottom w:val="single" w:sz="4" w:space="0" w:color="auto"/>
              <w:right w:val="single" w:sz="4" w:space="0" w:color="auto"/>
            </w:tcBorders>
            <w:shd w:val="clear" w:color="auto" w:fill="auto"/>
            <w:noWrap/>
            <w:hideMark/>
          </w:tcPr>
          <w:p w14:paraId="076C0A94" w14:textId="6994AFBC" w:rsidR="0041238C" w:rsidRPr="006432A8" w:rsidRDefault="004A19B3" w:rsidP="0041238C">
            <w:pPr>
              <w:tabs>
                <w:tab w:val="clear" w:pos="1247"/>
                <w:tab w:val="clear" w:pos="1814"/>
                <w:tab w:val="clear" w:pos="2381"/>
                <w:tab w:val="clear" w:pos="2948"/>
                <w:tab w:val="clear" w:pos="3515"/>
              </w:tabs>
              <w:jc w:val="right"/>
              <w:rPr>
                <w:bCs/>
                <w:i/>
                <w:color w:val="000000"/>
                <w:sz w:val="18"/>
                <w:szCs w:val="18"/>
              </w:rPr>
            </w:pPr>
            <w:r>
              <w:rPr>
                <w:bCs/>
                <w:i/>
                <w:color w:val="000000"/>
                <w:sz w:val="18"/>
                <w:szCs w:val="18"/>
              </w:rPr>
              <w:t>Ensemble du personnel</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14:paraId="56DE8EB4" w14:textId="1BA9F02A" w:rsidR="0041238C" w:rsidRPr="007E304A" w:rsidRDefault="0058513D" w:rsidP="0041238C">
            <w:pPr>
              <w:tabs>
                <w:tab w:val="clear" w:pos="1247"/>
                <w:tab w:val="clear" w:pos="1814"/>
                <w:tab w:val="clear" w:pos="2381"/>
                <w:tab w:val="clear" w:pos="2948"/>
                <w:tab w:val="clear" w:pos="3515"/>
              </w:tabs>
              <w:jc w:val="right"/>
              <w:rPr>
                <w:b/>
                <w:bCs/>
                <w:color w:val="000000"/>
                <w:sz w:val="18"/>
                <w:szCs w:val="18"/>
              </w:rPr>
            </w:pPr>
            <w:r>
              <w:rPr>
                <w:b/>
                <w:bCs/>
                <w:color w:val="000000"/>
                <w:sz w:val="18"/>
                <w:szCs w:val="18"/>
              </w:rPr>
              <w:t>13,</w:t>
            </w:r>
            <w:r w:rsidR="0041238C" w:rsidRPr="007E304A">
              <w:rPr>
                <w:b/>
                <w:bCs/>
                <w:color w:val="000000"/>
                <w:sz w:val="18"/>
                <w:szCs w:val="18"/>
              </w:rPr>
              <w:t>30</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3157F69" w14:textId="0F786B11" w:rsidR="0041238C" w:rsidRPr="007E304A" w:rsidRDefault="0058513D" w:rsidP="0041238C">
            <w:pPr>
              <w:tabs>
                <w:tab w:val="clear" w:pos="1247"/>
                <w:tab w:val="clear" w:pos="1814"/>
                <w:tab w:val="clear" w:pos="2381"/>
                <w:tab w:val="clear" w:pos="2948"/>
                <w:tab w:val="clear" w:pos="3515"/>
              </w:tabs>
              <w:jc w:val="right"/>
              <w:rPr>
                <w:b/>
                <w:bCs/>
                <w:color w:val="000000"/>
                <w:sz w:val="18"/>
                <w:szCs w:val="18"/>
              </w:rPr>
            </w:pPr>
            <w:r>
              <w:rPr>
                <w:b/>
                <w:bCs/>
                <w:color w:val="000000"/>
                <w:sz w:val="18"/>
                <w:szCs w:val="18"/>
              </w:rPr>
              <w:t>13,</w:t>
            </w:r>
            <w:r w:rsidR="0041238C" w:rsidRPr="007E304A">
              <w:rPr>
                <w:b/>
                <w:bCs/>
                <w:color w:val="000000"/>
                <w:sz w:val="18"/>
                <w:szCs w:val="18"/>
              </w:rPr>
              <w:t>50</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14:paraId="5AC5A7D3" w14:textId="77777777" w:rsidR="0041238C" w:rsidRPr="007E304A" w:rsidRDefault="0041238C" w:rsidP="0041238C">
            <w:pPr>
              <w:tabs>
                <w:tab w:val="clear" w:pos="1247"/>
                <w:tab w:val="clear" w:pos="1814"/>
                <w:tab w:val="clear" w:pos="2381"/>
                <w:tab w:val="clear" w:pos="2948"/>
                <w:tab w:val="clear" w:pos="3515"/>
              </w:tabs>
              <w:jc w:val="right"/>
              <w:rPr>
                <w:b/>
                <w:bCs/>
                <w:color w:val="000000"/>
                <w:sz w:val="18"/>
                <w:szCs w:val="18"/>
              </w:rPr>
            </w:pPr>
            <w:r w:rsidRPr="007E304A">
              <w:rPr>
                <w:b/>
                <w:bCs/>
                <w:color w:val="000000"/>
                <w:sz w:val="18"/>
                <w:szCs w:val="18"/>
              </w:rPr>
              <w:t>15</w:t>
            </w:r>
          </w:p>
        </w:tc>
      </w:tr>
      <w:tr w:rsidR="0041238C" w:rsidRPr="007E304A" w14:paraId="00CAF57D" w14:textId="77777777" w:rsidTr="006432A8">
        <w:trPr>
          <w:trHeight w:val="312"/>
        </w:trPr>
        <w:tc>
          <w:tcPr>
            <w:tcW w:w="2245" w:type="dxa"/>
            <w:tcBorders>
              <w:top w:val="nil"/>
              <w:left w:val="single" w:sz="4" w:space="0" w:color="auto"/>
              <w:bottom w:val="single" w:sz="4" w:space="0" w:color="auto"/>
              <w:right w:val="single" w:sz="4" w:space="0" w:color="auto"/>
            </w:tcBorders>
            <w:shd w:val="clear" w:color="auto" w:fill="auto"/>
            <w:noWrap/>
            <w:hideMark/>
          </w:tcPr>
          <w:p w14:paraId="5FAC1DC5" w14:textId="3A2B358C" w:rsidR="0041238C" w:rsidRPr="004A19B3" w:rsidRDefault="000A3FD2" w:rsidP="003D2E49">
            <w:pPr>
              <w:tabs>
                <w:tab w:val="clear" w:pos="1247"/>
                <w:tab w:val="clear" w:pos="1814"/>
                <w:tab w:val="clear" w:pos="2381"/>
                <w:tab w:val="clear" w:pos="2948"/>
                <w:tab w:val="clear" w:pos="3515"/>
              </w:tabs>
              <w:jc w:val="right"/>
              <w:rPr>
                <w:bCs/>
                <w:i/>
                <w:color w:val="000000"/>
                <w:sz w:val="18"/>
                <w:szCs w:val="18"/>
                <w:lang w:val="fr-CH"/>
              </w:rPr>
            </w:pPr>
            <w:r>
              <w:rPr>
                <w:bCs/>
                <w:i/>
                <w:color w:val="000000"/>
                <w:sz w:val="18"/>
                <w:szCs w:val="18"/>
                <w:lang w:val="fr-CH"/>
              </w:rPr>
              <w:t>Dépenses de personnel totales</w:t>
            </w:r>
            <w:r w:rsidR="0041238C" w:rsidRPr="004A19B3">
              <w:rPr>
                <w:bCs/>
                <w:i/>
                <w:color w:val="000000"/>
                <w:sz w:val="18"/>
                <w:szCs w:val="18"/>
                <w:lang w:val="fr-CH"/>
              </w:rPr>
              <w:t xml:space="preserve"> (</w:t>
            </w:r>
            <w:r w:rsidR="003D2E49">
              <w:rPr>
                <w:bCs/>
                <w:i/>
                <w:color w:val="000000"/>
                <w:sz w:val="18"/>
                <w:szCs w:val="18"/>
                <w:lang w:val="fr-CH"/>
              </w:rPr>
              <w:t>hors prélèvement</w:t>
            </w:r>
            <w:r w:rsidR="00A23848">
              <w:rPr>
                <w:bCs/>
                <w:i/>
                <w:color w:val="000000"/>
                <w:sz w:val="18"/>
                <w:szCs w:val="18"/>
                <w:lang w:val="fr-CH"/>
              </w:rPr>
              <w:t>s</w:t>
            </w:r>
            <w:r w:rsidR="003D2E49">
              <w:rPr>
                <w:bCs/>
                <w:i/>
                <w:color w:val="000000"/>
                <w:sz w:val="18"/>
                <w:szCs w:val="18"/>
                <w:lang w:val="fr-CH"/>
              </w:rPr>
              <w:t xml:space="preserve"> sur l</w:t>
            </w:r>
            <w:r w:rsidR="0099164F">
              <w:rPr>
                <w:bCs/>
                <w:i/>
                <w:color w:val="000000"/>
                <w:sz w:val="18"/>
                <w:szCs w:val="18"/>
                <w:lang w:val="fr-CH"/>
              </w:rPr>
              <w:t>es dépenses d’appui au programme</w:t>
            </w:r>
            <w:r w:rsidR="0041238C" w:rsidRPr="004A19B3">
              <w:rPr>
                <w:bCs/>
                <w:i/>
                <w:color w:val="000000"/>
                <w:sz w:val="18"/>
                <w:szCs w:val="18"/>
                <w:lang w:val="fr-CH"/>
              </w:rPr>
              <w:t>)</w:t>
            </w:r>
          </w:p>
        </w:tc>
        <w:tc>
          <w:tcPr>
            <w:tcW w:w="2246" w:type="dxa"/>
            <w:tcBorders>
              <w:top w:val="nil"/>
              <w:left w:val="nil"/>
              <w:bottom w:val="single" w:sz="4" w:space="0" w:color="auto"/>
              <w:right w:val="single" w:sz="4" w:space="0" w:color="auto"/>
            </w:tcBorders>
            <w:shd w:val="clear" w:color="auto" w:fill="auto"/>
            <w:noWrap/>
            <w:vAlign w:val="bottom"/>
            <w:hideMark/>
          </w:tcPr>
          <w:p w14:paraId="68FEFA16" w14:textId="155827DA" w:rsidR="0041238C" w:rsidRPr="007E304A" w:rsidRDefault="0041238C"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2</w:t>
            </w:r>
            <w:r w:rsidR="00B358F2" w:rsidRPr="007E304A">
              <w:rPr>
                <w:color w:val="000000"/>
                <w:sz w:val="18"/>
                <w:szCs w:val="18"/>
              </w:rPr>
              <w:t xml:space="preserve"> </w:t>
            </w:r>
            <w:r w:rsidR="00D514B8" w:rsidRPr="007E304A">
              <w:rPr>
                <w:color w:val="000000"/>
                <w:sz w:val="18"/>
                <w:szCs w:val="18"/>
              </w:rPr>
              <w:t>749 134</w:t>
            </w:r>
            <w:r w:rsidRPr="007E304A">
              <w:rPr>
                <w:color w:val="000000"/>
                <w:sz w:val="18"/>
                <w:szCs w:val="18"/>
              </w:rPr>
              <w:t xml:space="preserve"> </w:t>
            </w:r>
          </w:p>
        </w:tc>
        <w:tc>
          <w:tcPr>
            <w:tcW w:w="2245" w:type="dxa"/>
            <w:tcBorders>
              <w:top w:val="nil"/>
              <w:left w:val="nil"/>
              <w:bottom w:val="single" w:sz="4" w:space="0" w:color="auto"/>
              <w:right w:val="single" w:sz="4" w:space="0" w:color="auto"/>
            </w:tcBorders>
            <w:shd w:val="clear" w:color="auto" w:fill="auto"/>
            <w:noWrap/>
            <w:vAlign w:val="bottom"/>
            <w:hideMark/>
          </w:tcPr>
          <w:p w14:paraId="18CD10EF" w14:textId="44F9E3D6" w:rsidR="0041238C" w:rsidRPr="007E304A" w:rsidRDefault="0041238C"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2</w:t>
            </w:r>
            <w:r w:rsidR="00B358F2" w:rsidRPr="007E304A">
              <w:rPr>
                <w:color w:val="000000"/>
                <w:sz w:val="18"/>
                <w:szCs w:val="18"/>
              </w:rPr>
              <w:t xml:space="preserve"> </w:t>
            </w:r>
            <w:r w:rsidR="00D514B8" w:rsidRPr="007E304A">
              <w:rPr>
                <w:color w:val="000000"/>
                <w:sz w:val="18"/>
                <w:szCs w:val="18"/>
              </w:rPr>
              <w:t>772 917</w:t>
            </w:r>
            <w:r w:rsidRPr="007E304A">
              <w:rPr>
                <w:color w:val="000000"/>
                <w:sz w:val="18"/>
                <w:szCs w:val="18"/>
              </w:rPr>
              <w:t xml:space="preserve"> </w:t>
            </w:r>
          </w:p>
        </w:tc>
        <w:tc>
          <w:tcPr>
            <w:tcW w:w="2246" w:type="dxa"/>
            <w:tcBorders>
              <w:top w:val="nil"/>
              <w:left w:val="nil"/>
              <w:bottom w:val="single" w:sz="4" w:space="0" w:color="auto"/>
              <w:right w:val="single" w:sz="4" w:space="0" w:color="auto"/>
            </w:tcBorders>
            <w:shd w:val="clear" w:color="auto" w:fill="auto"/>
            <w:noWrap/>
            <w:vAlign w:val="bottom"/>
            <w:hideMark/>
          </w:tcPr>
          <w:p w14:paraId="0E0F6CBB" w14:textId="65ED1F90" w:rsidR="0041238C" w:rsidRPr="007E304A" w:rsidRDefault="00D514B8"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3</w:t>
            </w:r>
            <w:r w:rsidR="00B358F2" w:rsidRPr="007E304A">
              <w:rPr>
                <w:color w:val="000000"/>
                <w:sz w:val="18"/>
                <w:szCs w:val="18"/>
              </w:rPr>
              <w:t xml:space="preserve"> </w:t>
            </w:r>
            <w:r w:rsidR="0041238C" w:rsidRPr="007E304A">
              <w:rPr>
                <w:color w:val="000000"/>
                <w:sz w:val="18"/>
                <w:szCs w:val="18"/>
              </w:rPr>
              <w:t>2</w:t>
            </w:r>
            <w:r w:rsidRPr="007E304A">
              <w:rPr>
                <w:color w:val="000000"/>
                <w:sz w:val="18"/>
                <w:szCs w:val="18"/>
              </w:rPr>
              <w:t>33</w:t>
            </w:r>
            <w:r w:rsidR="00B358F2" w:rsidRPr="007E304A">
              <w:rPr>
                <w:color w:val="000000"/>
                <w:sz w:val="18"/>
                <w:szCs w:val="18"/>
              </w:rPr>
              <w:t xml:space="preserve"> </w:t>
            </w:r>
            <w:r w:rsidRPr="007E304A">
              <w:rPr>
                <w:color w:val="000000"/>
                <w:sz w:val="18"/>
                <w:szCs w:val="18"/>
              </w:rPr>
              <w:t>7</w:t>
            </w:r>
            <w:r w:rsidR="0041238C" w:rsidRPr="007E304A">
              <w:rPr>
                <w:color w:val="000000"/>
                <w:sz w:val="18"/>
                <w:szCs w:val="18"/>
              </w:rPr>
              <w:t>0</w:t>
            </w:r>
            <w:r w:rsidRPr="007E304A">
              <w:rPr>
                <w:color w:val="000000"/>
                <w:sz w:val="18"/>
                <w:szCs w:val="18"/>
              </w:rPr>
              <w:t>9</w:t>
            </w:r>
            <w:r w:rsidR="0041238C" w:rsidRPr="007E304A">
              <w:rPr>
                <w:color w:val="000000"/>
                <w:sz w:val="18"/>
                <w:szCs w:val="18"/>
              </w:rPr>
              <w:t xml:space="preserve"> </w:t>
            </w:r>
          </w:p>
        </w:tc>
      </w:tr>
      <w:tr w:rsidR="0041238C" w:rsidRPr="007E304A" w14:paraId="7C9383AC" w14:textId="77777777" w:rsidTr="006432A8">
        <w:trPr>
          <w:trHeight w:val="312"/>
        </w:trPr>
        <w:tc>
          <w:tcPr>
            <w:tcW w:w="2245" w:type="dxa"/>
            <w:tcBorders>
              <w:top w:val="nil"/>
              <w:left w:val="single" w:sz="4" w:space="0" w:color="auto"/>
              <w:bottom w:val="single" w:sz="4" w:space="0" w:color="auto"/>
              <w:right w:val="single" w:sz="4" w:space="0" w:color="auto"/>
            </w:tcBorders>
            <w:shd w:val="clear" w:color="auto" w:fill="auto"/>
            <w:noWrap/>
            <w:hideMark/>
          </w:tcPr>
          <w:p w14:paraId="05386EB1" w14:textId="2819311F" w:rsidR="0041238C" w:rsidRPr="0099164F" w:rsidRDefault="003D2E49" w:rsidP="003D2E49">
            <w:pPr>
              <w:tabs>
                <w:tab w:val="clear" w:pos="1247"/>
                <w:tab w:val="clear" w:pos="1814"/>
                <w:tab w:val="clear" w:pos="2381"/>
                <w:tab w:val="clear" w:pos="2948"/>
                <w:tab w:val="clear" w:pos="3515"/>
              </w:tabs>
              <w:jc w:val="right"/>
              <w:rPr>
                <w:bCs/>
                <w:i/>
                <w:color w:val="000000"/>
                <w:sz w:val="18"/>
                <w:szCs w:val="18"/>
                <w:lang w:val="fr-CH"/>
              </w:rPr>
            </w:pPr>
            <w:r>
              <w:rPr>
                <w:bCs/>
                <w:i/>
                <w:color w:val="000000"/>
                <w:sz w:val="18"/>
                <w:szCs w:val="18"/>
                <w:lang w:val="fr-CH"/>
              </w:rPr>
              <w:t>Prélèvement</w:t>
            </w:r>
            <w:r w:rsidR="00A23848">
              <w:rPr>
                <w:bCs/>
                <w:i/>
                <w:color w:val="000000"/>
                <w:sz w:val="18"/>
                <w:szCs w:val="18"/>
                <w:lang w:val="fr-CH"/>
              </w:rPr>
              <w:t>s</w:t>
            </w:r>
            <w:r>
              <w:rPr>
                <w:bCs/>
                <w:i/>
                <w:color w:val="000000"/>
                <w:sz w:val="18"/>
                <w:szCs w:val="18"/>
                <w:lang w:val="fr-CH"/>
              </w:rPr>
              <w:t xml:space="preserve"> sur les d</w:t>
            </w:r>
            <w:r w:rsidR="0099164F" w:rsidRPr="0099164F">
              <w:rPr>
                <w:bCs/>
                <w:i/>
                <w:color w:val="000000"/>
                <w:sz w:val="18"/>
                <w:szCs w:val="18"/>
                <w:lang w:val="fr-CH"/>
              </w:rPr>
              <w:t>épense</w:t>
            </w:r>
            <w:r>
              <w:rPr>
                <w:bCs/>
                <w:i/>
                <w:color w:val="000000"/>
                <w:sz w:val="18"/>
                <w:szCs w:val="18"/>
                <w:lang w:val="fr-CH"/>
              </w:rPr>
              <w:t>s d’appui au programme imputé</w:t>
            </w:r>
            <w:r w:rsidR="00C459CD">
              <w:rPr>
                <w:bCs/>
                <w:i/>
                <w:color w:val="000000"/>
                <w:sz w:val="18"/>
                <w:szCs w:val="18"/>
                <w:lang w:val="fr-CH"/>
              </w:rPr>
              <w:t>e</w:t>
            </w:r>
            <w:r>
              <w:rPr>
                <w:bCs/>
                <w:i/>
                <w:color w:val="000000"/>
                <w:sz w:val="18"/>
                <w:szCs w:val="18"/>
                <w:lang w:val="fr-CH"/>
              </w:rPr>
              <w:t>s aux</w:t>
            </w:r>
            <w:r w:rsidR="0099164F" w:rsidRPr="0099164F">
              <w:rPr>
                <w:bCs/>
                <w:i/>
                <w:color w:val="000000"/>
                <w:sz w:val="18"/>
                <w:szCs w:val="18"/>
                <w:lang w:val="fr-CH"/>
              </w:rPr>
              <w:t xml:space="preserve"> </w:t>
            </w:r>
            <w:r w:rsidR="000A3FD2">
              <w:rPr>
                <w:bCs/>
                <w:i/>
                <w:color w:val="000000"/>
                <w:sz w:val="18"/>
                <w:szCs w:val="18"/>
                <w:lang w:val="fr-CH"/>
              </w:rPr>
              <w:t>dépenses de personnel</w:t>
            </w:r>
          </w:p>
        </w:tc>
        <w:tc>
          <w:tcPr>
            <w:tcW w:w="2246" w:type="dxa"/>
            <w:tcBorders>
              <w:top w:val="nil"/>
              <w:left w:val="nil"/>
              <w:bottom w:val="single" w:sz="4" w:space="0" w:color="auto"/>
              <w:right w:val="single" w:sz="4" w:space="0" w:color="auto"/>
            </w:tcBorders>
            <w:shd w:val="clear" w:color="auto" w:fill="auto"/>
            <w:noWrap/>
            <w:vAlign w:val="bottom"/>
            <w:hideMark/>
          </w:tcPr>
          <w:p w14:paraId="60FB2B35" w14:textId="2E3338F4" w:rsidR="0041238C" w:rsidRPr="007E304A" w:rsidRDefault="00C71051" w:rsidP="0041238C">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357</w:t>
            </w:r>
            <w:r w:rsidR="00B358F2" w:rsidRPr="007E304A">
              <w:rPr>
                <w:color w:val="000000"/>
                <w:sz w:val="18"/>
                <w:szCs w:val="18"/>
              </w:rPr>
              <w:t xml:space="preserve"> </w:t>
            </w:r>
            <w:r w:rsidRPr="007E304A">
              <w:rPr>
                <w:color w:val="000000"/>
                <w:sz w:val="18"/>
                <w:szCs w:val="18"/>
              </w:rPr>
              <w:t>387</w:t>
            </w:r>
            <w:r w:rsidR="0041238C" w:rsidRPr="007E304A">
              <w:rPr>
                <w:color w:val="000000"/>
                <w:sz w:val="18"/>
                <w:szCs w:val="18"/>
              </w:rPr>
              <w:t xml:space="preserve"> </w:t>
            </w:r>
          </w:p>
        </w:tc>
        <w:tc>
          <w:tcPr>
            <w:tcW w:w="2245" w:type="dxa"/>
            <w:tcBorders>
              <w:top w:val="nil"/>
              <w:left w:val="nil"/>
              <w:bottom w:val="single" w:sz="4" w:space="0" w:color="auto"/>
              <w:right w:val="single" w:sz="4" w:space="0" w:color="auto"/>
            </w:tcBorders>
            <w:shd w:val="clear" w:color="auto" w:fill="auto"/>
            <w:noWrap/>
            <w:vAlign w:val="bottom"/>
            <w:hideMark/>
          </w:tcPr>
          <w:p w14:paraId="1EB56A5A" w14:textId="6E3B077A" w:rsidR="0041238C" w:rsidRPr="007E304A" w:rsidRDefault="000A1250" w:rsidP="00AB20EE">
            <w:pPr>
              <w:tabs>
                <w:tab w:val="clear" w:pos="1247"/>
                <w:tab w:val="clear" w:pos="1814"/>
                <w:tab w:val="clear" w:pos="2381"/>
                <w:tab w:val="clear" w:pos="2948"/>
                <w:tab w:val="clear" w:pos="3515"/>
              </w:tabs>
              <w:jc w:val="right"/>
              <w:rPr>
                <w:color w:val="000000"/>
                <w:sz w:val="18"/>
                <w:szCs w:val="18"/>
              </w:rPr>
            </w:pPr>
            <w:r w:rsidRPr="007E304A">
              <w:rPr>
                <w:color w:val="000000"/>
                <w:sz w:val="18"/>
                <w:szCs w:val="18"/>
              </w:rPr>
              <w:t>360</w:t>
            </w:r>
            <w:r w:rsidR="00B358F2" w:rsidRPr="007E304A">
              <w:rPr>
                <w:color w:val="000000"/>
                <w:sz w:val="18"/>
                <w:szCs w:val="18"/>
              </w:rPr>
              <w:t xml:space="preserve"> </w:t>
            </w:r>
            <w:r w:rsidRPr="007E304A">
              <w:rPr>
                <w:color w:val="000000"/>
                <w:sz w:val="18"/>
                <w:szCs w:val="18"/>
              </w:rPr>
              <w:t>479</w:t>
            </w:r>
            <w:r w:rsidR="0041238C" w:rsidRPr="007E304A">
              <w:rPr>
                <w:color w:val="000000"/>
                <w:sz w:val="18"/>
                <w:szCs w:val="18"/>
              </w:rPr>
              <w:t xml:space="preserve"> </w:t>
            </w:r>
          </w:p>
        </w:tc>
        <w:tc>
          <w:tcPr>
            <w:tcW w:w="2246" w:type="dxa"/>
            <w:tcBorders>
              <w:top w:val="nil"/>
              <w:left w:val="nil"/>
              <w:bottom w:val="single" w:sz="4" w:space="0" w:color="auto"/>
              <w:right w:val="single" w:sz="4" w:space="0" w:color="auto"/>
            </w:tcBorders>
            <w:shd w:val="clear" w:color="auto" w:fill="auto"/>
            <w:noWrap/>
            <w:vAlign w:val="bottom"/>
            <w:hideMark/>
          </w:tcPr>
          <w:p w14:paraId="30BDCDF9" w14:textId="735B514E" w:rsidR="0041238C" w:rsidRPr="007E304A" w:rsidRDefault="00FC7A16" w:rsidP="00FC7A16">
            <w:pPr>
              <w:tabs>
                <w:tab w:val="clear" w:pos="1247"/>
                <w:tab w:val="clear" w:pos="1814"/>
                <w:tab w:val="clear" w:pos="2381"/>
                <w:tab w:val="clear" w:pos="2948"/>
                <w:tab w:val="clear" w:pos="3515"/>
              </w:tabs>
              <w:jc w:val="right"/>
              <w:rPr>
                <w:color w:val="000000"/>
                <w:sz w:val="18"/>
                <w:szCs w:val="18"/>
              </w:rPr>
            </w:pPr>
            <w:r w:rsidRPr="006432A8">
              <w:rPr>
                <w:color w:val="000000"/>
                <w:sz w:val="18"/>
                <w:szCs w:val="18"/>
              </w:rPr>
              <w:t>420</w:t>
            </w:r>
            <w:r w:rsidR="00B358F2" w:rsidRPr="007E304A">
              <w:rPr>
                <w:color w:val="000000"/>
                <w:sz w:val="18"/>
                <w:szCs w:val="18"/>
              </w:rPr>
              <w:t xml:space="preserve"> </w:t>
            </w:r>
            <w:r w:rsidRPr="006432A8">
              <w:rPr>
                <w:color w:val="000000"/>
                <w:sz w:val="18"/>
                <w:szCs w:val="18"/>
              </w:rPr>
              <w:t>382</w:t>
            </w:r>
            <w:r w:rsidR="0041238C" w:rsidRPr="007E304A">
              <w:rPr>
                <w:color w:val="000000"/>
                <w:sz w:val="18"/>
                <w:szCs w:val="18"/>
              </w:rPr>
              <w:t xml:space="preserve"> </w:t>
            </w:r>
          </w:p>
        </w:tc>
      </w:tr>
      <w:tr w:rsidR="0041238C" w:rsidRPr="007E304A" w14:paraId="0F0BA7D9" w14:textId="77777777" w:rsidTr="006432A8">
        <w:trPr>
          <w:trHeight w:val="312"/>
        </w:trPr>
        <w:tc>
          <w:tcPr>
            <w:tcW w:w="2245" w:type="dxa"/>
            <w:tcBorders>
              <w:top w:val="nil"/>
              <w:left w:val="single" w:sz="4" w:space="0" w:color="auto"/>
              <w:bottom w:val="single" w:sz="4" w:space="0" w:color="auto"/>
              <w:right w:val="single" w:sz="4" w:space="0" w:color="auto"/>
            </w:tcBorders>
            <w:shd w:val="clear" w:color="auto" w:fill="auto"/>
            <w:noWrap/>
            <w:hideMark/>
          </w:tcPr>
          <w:p w14:paraId="422F62DB" w14:textId="5D54CE62" w:rsidR="0041238C" w:rsidRPr="0099164F" w:rsidRDefault="000A3FD2" w:rsidP="0099164F">
            <w:pPr>
              <w:tabs>
                <w:tab w:val="clear" w:pos="1247"/>
                <w:tab w:val="clear" w:pos="1814"/>
                <w:tab w:val="clear" w:pos="2381"/>
                <w:tab w:val="clear" w:pos="2948"/>
                <w:tab w:val="clear" w:pos="3515"/>
              </w:tabs>
              <w:jc w:val="right"/>
              <w:rPr>
                <w:bCs/>
                <w:i/>
                <w:color w:val="000000"/>
                <w:sz w:val="18"/>
                <w:szCs w:val="18"/>
                <w:lang w:val="fr-CH"/>
              </w:rPr>
            </w:pPr>
            <w:r>
              <w:rPr>
                <w:bCs/>
                <w:i/>
                <w:color w:val="000000"/>
                <w:sz w:val="18"/>
                <w:szCs w:val="18"/>
                <w:lang w:val="fr-CH"/>
              </w:rPr>
              <w:t>Dépenses de personnel totales</w:t>
            </w:r>
            <w:r w:rsidR="0041238C" w:rsidRPr="0099164F">
              <w:rPr>
                <w:bCs/>
                <w:i/>
                <w:color w:val="000000"/>
                <w:sz w:val="18"/>
                <w:szCs w:val="18"/>
                <w:lang w:val="fr-CH"/>
              </w:rPr>
              <w:t xml:space="preserve"> (</w:t>
            </w:r>
            <w:r w:rsidR="0099164F" w:rsidRPr="0099164F">
              <w:rPr>
                <w:bCs/>
                <w:i/>
                <w:color w:val="000000"/>
                <w:sz w:val="18"/>
                <w:szCs w:val="18"/>
                <w:lang w:val="fr-CH"/>
              </w:rPr>
              <w:t>y compris les</w:t>
            </w:r>
            <w:r w:rsidR="00C459CD">
              <w:rPr>
                <w:bCs/>
                <w:i/>
                <w:color w:val="000000"/>
                <w:sz w:val="18"/>
                <w:szCs w:val="18"/>
                <w:lang w:val="fr-CH"/>
              </w:rPr>
              <w:t xml:space="preserve"> prélèvements sur les</w:t>
            </w:r>
            <w:r w:rsidR="0099164F" w:rsidRPr="0099164F">
              <w:rPr>
                <w:bCs/>
                <w:i/>
                <w:color w:val="000000"/>
                <w:sz w:val="18"/>
                <w:szCs w:val="18"/>
                <w:lang w:val="fr-CH"/>
              </w:rPr>
              <w:t xml:space="preserve"> dépenses d’appui au programme</w:t>
            </w:r>
            <w:r w:rsidR="0041238C" w:rsidRPr="0099164F">
              <w:rPr>
                <w:bCs/>
                <w:i/>
                <w:color w:val="000000"/>
                <w:sz w:val="18"/>
                <w:szCs w:val="18"/>
                <w:lang w:val="fr-CH"/>
              </w:rPr>
              <w:t>)</w:t>
            </w:r>
          </w:p>
        </w:tc>
        <w:tc>
          <w:tcPr>
            <w:tcW w:w="2246" w:type="dxa"/>
            <w:tcBorders>
              <w:top w:val="nil"/>
              <w:left w:val="nil"/>
              <w:bottom w:val="single" w:sz="4" w:space="0" w:color="auto"/>
              <w:right w:val="single" w:sz="4" w:space="0" w:color="auto"/>
            </w:tcBorders>
            <w:shd w:val="clear" w:color="auto" w:fill="auto"/>
            <w:noWrap/>
            <w:vAlign w:val="bottom"/>
            <w:hideMark/>
          </w:tcPr>
          <w:p w14:paraId="2EF051B0" w14:textId="222C1CA5" w:rsidR="0041238C" w:rsidRPr="007E304A" w:rsidRDefault="00FC7A16" w:rsidP="00FC7A16">
            <w:pPr>
              <w:tabs>
                <w:tab w:val="clear" w:pos="1247"/>
                <w:tab w:val="clear" w:pos="1814"/>
                <w:tab w:val="clear" w:pos="2381"/>
                <w:tab w:val="clear" w:pos="2948"/>
                <w:tab w:val="clear" w:pos="3515"/>
              </w:tabs>
              <w:jc w:val="right"/>
              <w:rPr>
                <w:b/>
                <w:bCs/>
                <w:color w:val="000000"/>
                <w:sz w:val="18"/>
                <w:szCs w:val="18"/>
              </w:rPr>
            </w:pPr>
            <w:r w:rsidRPr="006432A8">
              <w:rPr>
                <w:b/>
                <w:bCs/>
                <w:color w:val="000000"/>
                <w:sz w:val="18"/>
                <w:szCs w:val="18"/>
              </w:rPr>
              <w:t>3</w:t>
            </w:r>
            <w:r w:rsidR="00B358F2" w:rsidRPr="007E304A">
              <w:rPr>
                <w:b/>
                <w:bCs/>
                <w:color w:val="000000"/>
                <w:sz w:val="18"/>
                <w:szCs w:val="18"/>
              </w:rPr>
              <w:t xml:space="preserve"> </w:t>
            </w:r>
            <w:r w:rsidRPr="006432A8">
              <w:rPr>
                <w:b/>
                <w:bCs/>
                <w:color w:val="000000"/>
                <w:sz w:val="18"/>
                <w:szCs w:val="18"/>
              </w:rPr>
              <w:t>106</w:t>
            </w:r>
            <w:r w:rsidR="00B358F2" w:rsidRPr="007E304A">
              <w:rPr>
                <w:b/>
                <w:bCs/>
                <w:color w:val="000000"/>
                <w:sz w:val="18"/>
                <w:szCs w:val="18"/>
              </w:rPr>
              <w:t xml:space="preserve"> </w:t>
            </w:r>
            <w:r w:rsidRPr="006432A8">
              <w:rPr>
                <w:b/>
                <w:bCs/>
                <w:color w:val="000000"/>
                <w:sz w:val="18"/>
                <w:szCs w:val="18"/>
              </w:rPr>
              <w:t>521</w:t>
            </w:r>
            <w:r w:rsidR="0041238C" w:rsidRPr="007E304A">
              <w:rPr>
                <w:b/>
                <w:bCs/>
                <w:color w:val="000000"/>
                <w:sz w:val="18"/>
                <w:szCs w:val="18"/>
              </w:rPr>
              <w:t xml:space="preserve"> </w:t>
            </w:r>
          </w:p>
        </w:tc>
        <w:tc>
          <w:tcPr>
            <w:tcW w:w="2245" w:type="dxa"/>
            <w:tcBorders>
              <w:top w:val="nil"/>
              <w:left w:val="nil"/>
              <w:bottom w:val="single" w:sz="4" w:space="0" w:color="auto"/>
              <w:right w:val="single" w:sz="4" w:space="0" w:color="auto"/>
            </w:tcBorders>
            <w:shd w:val="clear" w:color="auto" w:fill="auto"/>
            <w:noWrap/>
            <w:vAlign w:val="bottom"/>
            <w:hideMark/>
          </w:tcPr>
          <w:p w14:paraId="547A9684" w14:textId="5133BB43" w:rsidR="0041238C" w:rsidRPr="007E304A" w:rsidRDefault="00FC7A16" w:rsidP="0041238C">
            <w:pPr>
              <w:tabs>
                <w:tab w:val="clear" w:pos="1247"/>
                <w:tab w:val="clear" w:pos="1814"/>
                <w:tab w:val="clear" w:pos="2381"/>
                <w:tab w:val="clear" w:pos="2948"/>
                <w:tab w:val="clear" w:pos="3515"/>
              </w:tabs>
              <w:jc w:val="right"/>
              <w:rPr>
                <w:b/>
                <w:bCs/>
                <w:color w:val="000000"/>
                <w:sz w:val="18"/>
                <w:szCs w:val="18"/>
              </w:rPr>
            </w:pPr>
            <w:r w:rsidRPr="006432A8">
              <w:rPr>
                <w:b/>
                <w:bCs/>
                <w:color w:val="000000"/>
                <w:sz w:val="18"/>
                <w:szCs w:val="18"/>
              </w:rPr>
              <w:t>3 133 396</w:t>
            </w:r>
            <w:r w:rsidR="0041238C" w:rsidRPr="007E304A">
              <w:rPr>
                <w:b/>
                <w:bCs/>
                <w:color w:val="000000"/>
                <w:sz w:val="18"/>
                <w:szCs w:val="18"/>
              </w:rPr>
              <w:t xml:space="preserve"> </w:t>
            </w:r>
          </w:p>
        </w:tc>
        <w:tc>
          <w:tcPr>
            <w:tcW w:w="2246" w:type="dxa"/>
            <w:tcBorders>
              <w:top w:val="nil"/>
              <w:left w:val="nil"/>
              <w:bottom w:val="single" w:sz="4" w:space="0" w:color="auto"/>
              <w:right w:val="single" w:sz="4" w:space="0" w:color="auto"/>
            </w:tcBorders>
            <w:shd w:val="clear" w:color="auto" w:fill="auto"/>
            <w:noWrap/>
            <w:vAlign w:val="bottom"/>
            <w:hideMark/>
          </w:tcPr>
          <w:p w14:paraId="7DED2E06" w14:textId="1EF2E938" w:rsidR="0041238C" w:rsidRPr="007E304A" w:rsidRDefault="0041238C" w:rsidP="00FC7A16">
            <w:pPr>
              <w:tabs>
                <w:tab w:val="clear" w:pos="1247"/>
                <w:tab w:val="clear" w:pos="1814"/>
                <w:tab w:val="clear" w:pos="2381"/>
                <w:tab w:val="clear" w:pos="2948"/>
                <w:tab w:val="clear" w:pos="3515"/>
              </w:tabs>
              <w:jc w:val="right"/>
              <w:rPr>
                <w:b/>
                <w:bCs/>
                <w:color w:val="000000"/>
                <w:sz w:val="18"/>
                <w:szCs w:val="18"/>
              </w:rPr>
            </w:pPr>
            <w:r w:rsidRPr="007E304A">
              <w:rPr>
                <w:b/>
                <w:bCs/>
                <w:color w:val="000000"/>
                <w:sz w:val="18"/>
                <w:szCs w:val="18"/>
              </w:rPr>
              <w:t>3</w:t>
            </w:r>
            <w:r w:rsidR="00B358F2" w:rsidRPr="007E304A">
              <w:rPr>
                <w:b/>
                <w:bCs/>
                <w:color w:val="000000"/>
                <w:sz w:val="18"/>
                <w:szCs w:val="18"/>
              </w:rPr>
              <w:t xml:space="preserve"> </w:t>
            </w:r>
            <w:r w:rsidR="00FC7A16" w:rsidRPr="006432A8">
              <w:rPr>
                <w:b/>
                <w:bCs/>
                <w:color w:val="000000"/>
                <w:sz w:val="18"/>
                <w:szCs w:val="18"/>
              </w:rPr>
              <w:t>654</w:t>
            </w:r>
            <w:r w:rsidR="00B358F2" w:rsidRPr="007E304A">
              <w:rPr>
                <w:b/>
                <w:bCs/>
                <w:color w:val="000000"/>
                <w:sz w:val="18"/>
                <w:szCs w:val="18"/>
              </w:rPr>
              <w:t xml:space="preserve"> </w:t>
            </w:r>
            <w:r w:rsidR="00FC7A16" w:rsidRPr="006432A8">
              <w:rPr>
                <w:b/>
                <w:bCs/>
                <w:color w:val="000000"/>
                <w:sz w:val="18"/>
                <w:szCs w:val="18"/>
              </w:rPr>
              <w:t>091</w:t>
            </w:r>
            <w:r w:rsidRPr="007E304A">
              <w:rPr>
                <w:b/>
                <w:bCs/>
                <w:color w:val="000000"/>
                <w:sz w:val="18"/>
                <w:szCs w:val="18"/>
              </w:rPr>
              <w:t xml:space="preserve"> </w:t>
            </w:r>
          </w:p>
        </w:tc>
      </w:tr>
    </w:tbl>
    <w:p w14:paraId="7713558F" w14:textId="77777777" w:rsidR="00FB4483" w:rsidRDefault="00FB4483" w:rsidP="006432A8">
      <w:pPr>
        <w:pStyle w:val="Normal-pool"/>
        <w:spacing w:before="240" w:after="120"/>
        <w:ind w:left="1247"/>
      </w:pPr>
    </w:p>
    <w:p w14:paraId="3DE66A3C" w14:textId="77777777" w:rsidR="00FB4483" w:rsidRDefault="00FB4483">
      <w:pPr>
        <w:tabs>
          <w:tab w:val="clear" w:pos="1247"/>
          <w:tab w:val="clear" w:pos="1814"/>
          <w:tab w:val="clear" w:pos="2381"/>
          <w:tab w:val="clear" w:pos="2948"/>
          <w:tab w:val="clear" w:pos="3515"/>
        </w:tabs>
      </w:pPr>
      <w:r>
        <w:br w:type="page"/>
      </w:r>
    </w:p>
    <w:p w14:paraId="05202D74" w14:textId="3BC634DA" w:rsidR="00FE4713" w:rsidRPr="001C0909" w:rsidRDefault="0041238C" w:rsidP="0063082E">
      <w:pPr>
        <w:pStyle w:val="Normal-pool"/>
        <w:spacing w:before="240"/>
        <w:ind w:left="1253"/>
        <w:rPr>
          <w:lang w:val="fr-FR"/>
        </w:rPr>
      </w:pPr>
      <w:r w:rsidRPr="001C0909">
        <w:rPr>
          <w:lang w:val="fr-FR"/>
        </w:rPr>
        <w:lastRenderedPageBreak/>
        <w:t>Table</w:t>
      </w:r>
      <w:r w:rsidR="000E7502" w:rsidRPr="001C0909">
        <w:rPr>
          <w:lang w:val="fr-FR"/>
        </w:rPr>
        <w:t>au</w:t>
      </w:r>
      <w:r w:rsidR="001672AD" w:rsidRPr="001C0909">
        <w:rPr>
          <w:lang w:val="fr-FR"/>
        </w:rPr>
        <w:t> </w:t>
      </w:r>
      <w:r w:rsidRPr="001C0909">
        <w:rPr>
          <w:lang w:val="fr-FR"/>
        </w:rPr>
        <w:t>3</w:t>
      </w:r>
    </w:p>
    <w:p w14:paraId="4D32F97C" w14:textId="4BBF6218" w:rsidR="0041238C" w:rsidRPr="00EE216A" w:rsidRDefault="001C0909" w:rsidP="006432A8">
      <w:pPr>
        <w:pStyle w:val="Normal-pool"/>
        <w:ind w:left="1253"/>
        <w:rPr>
          <w:b/>
          <w:lang w:val="fr-CH"/>
        </w:rPr>
      </w:pPr>
      <w:r>
        <w:rPr>
          <w:b/>
          <w:lang w:val="fr-CH"/>
        </w:rPr>
        <w:t>Dépenses de personnel estimatives</w:t>
      </w:r>
      <w:r w:rsidR="0041238C" w:rsidRPr="00EE216A">
        <w:rPr>
          <w:b/>
          <w:lang w:val="fr-CH"/>
        </w:rPr>
        <w:t xml:space="preserve"> </w:t>
      </w:r>
      <w:r w:rsidR="00EE216A">
        <w:rPr>
          <w:b/>
          <w:lang w:val="fr-CH"/>
        </w:rPr>
        <w:t>d’un</w:t>
      </w:r>
      <w:r w:rsidR="00EE216A" w:rsidRPr="00EE216A">
        <w:rPr>
          <w:b/>
          <w:lang w:val="fr-CH"/>
        </w:rPr>
        <w:t xml:space="preserve"> </w:t>
      </w:r>
      <w:r w:rsidR="00EE216A">
        <w:rPr>
          <w:b/>
          <w:lang w:val="fr-CH"/>
        </w:rPr>
        <w:t>secré</w:t>
      </w:r>
      <w:r w:rsidR="00EE216A" w:rsidRPr="00EE216A">
        <w:rPr>
          <w:b/>
          <w:lang w:val="fr-CH"/>
        </w:rPr>
        <w:t xml:space="preserve">tariat </w:t>
      </w:r>
      <w:r w:rsidR="003E2416">
        <w:rPr>
          <w:b/>
          <w:lang w:val="fr-CH"/>
        </w:rPr>
        <w:t>autonome</w:t>
      </w:r>
      <w:r w:rsidR="00DB54A5">
        <w:rPr>
          <w:b/>
          <w:lang w:val="fr-CH"/>
        </w:rPr>
        <w:t xml:space="preserve"> </w:t>
      </w:r>
      <w:r w:rsidR="00385C33">
        <w:rPr>
          <w:b/>
          <w:lang w:val="fr-CH"/>
        </w:rPr>
        <w:t>pour chacune des</w:t>
      </w:r>
      <w:r w:rsidR="00EE216A">
        <w:rPr>
          <w:b/>
          <w:lang w:val="fr-CH"/>
        </w:rPr>
        <w:t xml:space="preserve"> villes proposé</w:t>
      </w:r>
      <w:r w:rsidR="001672AD">
        <w:rPr>
          <w:b/>
          <w:lang w:val="fr-CH"/>
        </w:rPr>
        <w:t>es, par </w:t>
      </w:r>
      <w:r w:rsidR="00DB54A5">
        <w:rPr>
          <w:b/>
          <w:lang w:val="fr-CH"/>
        </w:rPr>
        <w:t>an</w:t>
      </w:r>
      <w:r w:rsidR="00EE216A" w:rsidRPr="00EE216A">
        <w:rPr>
          <w:b/>
          <w:lang w:val="fr-CH"/>
        </w:rPr>
        <w:t xml:space="preserve"> </w:t>
      </w:r>
    </w:p>
    <w:p w14:paraId="14D1326B" w14:textId="59EC0C1D" w:rsidR="00B358F2" w:rsidRPr="00F30FEB" w:rsidRDefault="00B358F2" w:rsidP="006432A8">
      <w:pPr>
        <w:pStyle w:val="Normal-pool"/>
        <w:ind w:left="1253"/>
        <w:rPr>
          <w:sz w:val="16"/>
          <w:szCs w:val="16"/>
          <w:lang w:val="fr-CH"/>
        </w:rPr>
      </w:pPr>
      <w:r w:rsidRPr="00F30FEB">
        <w:rPr>
          <w:sz w:val="16"/>
          <w:szCs w:val="16"/>
          <w:lang w:val="fr-CH"/>
        </w:rPr>
        <w:t>(</w:t>
      </w:r>
      <w:r w:rsidR="001F2C04" w:rsidRPr="00F30FEB">
        <w:rPr>
          <w:sz w:val="16"/>
          <w:szCs w:val="16"/>
          <w:lang w:val="fr-CH"/>
        </w:rPr>
        <w:t>en dollars des États</w:t>
      </w:r>
      <w:r w:rsidR="001F2C04" w:rsidRPr="00F30FEB">
        <w:rPr>
          <w:sz w:val="16"/>
          <w:szCs w:val="16"/>
          <w:lang w:val="fr-CH"/>
        </w:rPr>
        <w:noBreakHyphen/>
        <w:t>Unis</w:t>
      </w:r>
      <w:r w:rsidRPr="00F30FEB">
        <w:rPr>
          <w:sz w:val="16"/>
          <w:szCs w:val="16"/>
          <w:lang w:val="fr-CH"/>
        </w:rPr>
        <w:t>)</w:t>
      </w:r>
    </w:p>
    <w:p w14:paraId="6152CF20" w14:textId="77777777" w:rsidR="00F00E02" w:rsidRPr="00F00E02" w:rsidRDefault="00F00E02" w:rsidP="006432A8">
      <w:pPr>
        <w:pStyle w:val="Normal-pool"/>
        <w:ind w:left="1253"/>
        <w:rPr>
          <w:i/>
          <w:lang w:val="fr-CH"/>
        </w:rPr>
      </w:pPr>
    </w:p>
    <w:tbl>
      <w:tblPr>
        <w:tblW w:w="9123" w:type="dxa"/>
        <w:tblInd w:w="624" w:type="dxa"/>
        <w:tblLayout w:type="fixed"/>
        <w:tblLook w:val="04A0" w:firstRow="1" w:lastRow="0" w:firstColumn="1" w:lastColumn="0" w:noHBand="0" w:noVBand="1"/>
      </w:tblPr>
      <w:tblGrid>
        <w:gridCol w:w="2027"/>
        <w:gridCol w:w="1168"/>
        <w:gridCol w:w="1168"/>
        <w:gridCol w:w="1169"/>
        <w:gridCol w:w="1168"/>
        <w:gridCol w:w="1168"/>
        <w:gridCol w:w="1255"/>
      </w:tblGrid>
      <w:tr w:rsidR="0041238C" w:rsidRPr="00A84D20" w14:paraId="781B2029" w14:textId="77777777" w:rsidTr="006D523F">
        <w:trPr>
          <w:trHeight w:val="312"/>
        </w:trPr>
        <w:tc>
          <w:tcPr>
            <w:tcW w:w="2027" w:type="dxa"/>
            <w:tcBorders>
              <w:top w:val="nil"/>
              <w:left w:val="nil"/>
              <w:bottom w:val="nil"/>
              <w:right w:val="nil"/>
            </w:tcBorders>
            <w:shd w:val="clear" w:color="auto" w:fill="auto"/>
            <w:noWrap/>
            <w:vAlign w:val="bottom"/>
            <w:hideMark/>
          </w:tcPr>
          <w:p w14:paraId="3799F917" w14:textId="77777777" w:rsidR="0041238C" w:rsidRPr="00F00E02" w:rsidRDefault="0041238C" w:rsidP="0041238C">
            <w:pPr>
              <w:tabs>
                <w:tab w:val="clear" w:pos="1247"/>
                <w:tab w:val="clear" w:pos="1814"/>
                <w:tab w:val="clear" w:pos="2381"/>
                <w:tab w:val="clear" w:pos="2948"/>
                <w:tab w:val="clear" w:pos="3515"/>
              </w:tabs>
              <w:rPr>
                <w:color w:val="000000"/>
                <w:sz w:val="18"/>
                <w:szCs w:val="18"/>
                <w:lang w:val="fr-CH"/>
              </w:rPr>
            </w:pPr>
          </w:p>
        </w:tc>
        <w:tc>
          <w:tcPr>
            <w:tcW w:w="709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F5C88A" w14:textId="6B35A4B4" w:rsidR="0041238C" w:rsidRPr="00AC0A62" w:rsidRDefault="0041238C" w:rsidP="00AC0A62">
            <w:pPr>
              <w:tabs>
                <w:tab w:val="clear" w:pos="1247"/>
                <w:tab w:val="clear" w:pos="1814"/>
                <w:tab w:val="clear" w:pos="2381"/>
                <w:tab w:val="clear" w:pos="2948"/>
                <w:tab w:val="clear" w:pos="3515"/>
              </w:tabs>
              <w:jc w:val="center"/>
              <w:rPr>
                <w:bCs/>
                <w:i/>
                <w:color w:val="000000"/>
                <w:sz w:val="18"/>
                <w:szCs w:val="18"/>
                <w:lang w:val="fr-CH"/>
              </w:rPr>
            </w:pPr>
            <w:r w:rsidRPr="00AC0A62">
              <w:rPr>
                <w:bCs/>
                <w:i/>
                <w:color w:val="000000"/>
                <w:sz w:val="18"/>
                <w:szCs w:val="18"/>
                <w:lang w:val="fr-CH"/>
              </w:rPr>
              <w:t xml:space="preserve">Option 2: </w:t>
            </w:r>
            <w:r w:rsidR="003E2416">
              <w:rPr>
                <w:bCs/>
                <w:i/>
                <w:color w:val="000000"/>
                <w:sz w:val="18"/>
                <w:szCs w:val="18"/>
                <w:lang w:val="fr-CH"/>
              </w:rPr>
              <w:t>Secrétariat autonome</w:t>
            </w:r>
            <w:r w:rsidR="00AC0A62" w:rsidRPr="00AC0A62">
              <w:rPr>
                <w:bCs/>
                <w:i/>
                <w:color w:val="000000"/>
                <w:sz w:val="18"/>
                <w:szCs w:val="18"/>
                <w:lang w:val="fr-CH"/>
              </w:rPr>
              <w:t xml:space="preserve"> de la Convention de Minamata</w:t>
            </w:r>
          </w:p>
        </w:tc>
      </w:tr>
      <w:tr w:rsidR="0041238C" w:rsidRPr="007E304A" w14:paraId="2FF40F93" w14:textId="77777777" w:rsidTr="006D523F">
        <w:trPr>
          <w:trHeight w:val="312"/>
        </w:trPr>
        <w:tc>
          <w:tcPr>
            <w:tcW w:w="2027" w:type="dxa"/>
            <w:tcBorders>
              <w:top w:val="nil"/>
              <w:left w:val="nil"/>
              <w:bottom w:val="nil"/>
              <w:right w:val="nil"/>
            </w:tcBorders>
            <w:shd w:val="clear" w:color="auto" w:fill="auto"/>
            <w:noWrap/>
            <w:vAlign w:val="bottom"/>
            <w:hideMark/>
          </w:tcPr>
          <w:p w14:paraId="43ADB06B" w14:textId="77777777" w:rsidR="0041238C" w:rsidRPr="00AC0A62" w:rsidRDefault="0041238C" w:rsidP="0041238C">
            <w:pPr>
              <w:tabs>
                <w:tab w:val="clear" w:pos="1247"/>
                <w:tab w:val="clear" w:pos="1814"/>
                <w:tab w:val="clear" w:pos="2381"/>
                <w:tab w:val="clear" w:pos="2948"/>
                <w:tab w:val="clear" w:pos="3515"/>
              </w:tabs>
              <w:rPr>
                <w:color w:val="000000"/>
                <w:sz w:val="18"/>
                <w:szCs w:val="18"/>
                <w:lang w:val="fr-CH"/>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955C585"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Bangkok</w:t>
            </w:r>
          </w:p>
        </w:tc>
        <w:tc>
          <w:tcPr>
            <w:tcW w:w="1168" w:type="dxa"/>
            <w:tcBorders>
              <w:top w:val="nil"/>
              <w:left w:val="nil"/>
              <w:bottom w:val="single" w:sz="4" w:space="0" w:color="auto"/>
              <w:right w:val="single" w:sz="4" w:space="0" w:color="auto"/>
            </w:tcBorders>
            <w:shd w:val="clear" w:color="auto" w:fill="auto"/>
            <w:noWrap/>
            <w:vAlign w:val="bottom"/>
            <w:hideMark/>
          </w:tcPr>
          <w:p w14:paraId="6A87788C" w14:textId="4B9B7E48" w:rsidR="0041238C" w:rsidRPr="006432A8" w:rsidRDefault="00AC0A62" w:rsidP="00EA17CB">
            <w:pPr>
              <w:tabs>
                <w:tab w:val="clear" w:pos="1247"/>
                <w:tab w:val="clear" w:pos="1814"/>
                <w:tab w:val="clear" w:pos="2381"/>
                <w:tab w:val="clear" w:pos="2948"/>
                <w:tab w:val="clear" w:pos="3515"/>
              </w:tabs>
              <w:jc w:val="right"/>
              <w:rPr>
                <w:bCs/>
                <w:i/>
                <w:sz w:val="18"/>
                <w:szCs w:val="18"/>
              </w:rPr>
            </w:pPr>
            <w:r>
              <w:rPr>
                <w:bCs/>
                <w:i/>
                <w:sz w:val="18"/>
                <w:szCs w:val="18"/>
              </w:rPr>
              <w:t>Genève</w:t>
            </w:r>
          </w:p>
        </w:tc>
        <w:tc>
          <w:tcPr>
            <w:tcW w:w="1169" w:type="dxa"/>
            <w:tcBorders>
              <w:top w:val="nil"/>
              <w:left w:val="nil"/>
              <w:bottom w:val="single" w:sz="4" w:space="0" w:color="auto"/>
              <w:right w:val="single" w:sz="4" w:space="0" w:color="auto"/>
            </w:tcBorders>
            <w:shd w:val="clear" w:color="auto" w:fill="auto"/>
            <w:noWrap/>
            <w:vAlign w:val="bottom"/>
            <w:hideMark/>
          </w:tcPr>
          <w:p w14:paraId="6A288F2A"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Nairobi</w:t>
            </w:r>
          </w:p>
        </w:tc>
        <w:tc>
          <w:tcPr>
            <w:tcW w:w="1168" w:type="dxa"/>
            <w:tcBorders>
              <w:top w:val="nil"/>
              <w:left w:val="nil"/>
              <w:bottom w:val="single" w:sz="4" w:space="0" w:color="auto"/>
              <w:right w:val="single" w:sz="4" w:space="0" w:color="auto"/>
            </w:tcBorders>
            <w:shd w:val="clear" w:color="auto" w:fill="auto"/>
            <w:noWrap/>
            <w:vAlign w:val="bottom"/>
            <w:hideMark/>
          </w:tcPr>
          <w:p w14:paraId="31092536"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Osaka</w:t>
            </w:r>
          </w:p>
        </w:tc>
        <w:tc>
          <w:tcPr>
            <w:tcW w:w="1168" w:type="dxa"/>
            <w:tcBorders>
              <w:top w:val="nil"/>
              <w:left w:val="nil"/>
              <w:bottom w:val="single" w:sz="4" w:space="0" w:color="auto"/>
              <w:right w:val="single" w:sz="4" w:space="0" w:color="auto"/>
            </w:tcBorders>
            <w:shd w:val="clear" w:color="auto" w:fill="auto"/>
            <w:noWrap/>
            <w:vAlign w:val="bottom"/>
            <w:hideMark/>
          </w:tcPr>
          <w:p w14:paraId="46E5521F" w14:textId="1C47525D" w:rsidR="0041238C" w:rsidRPr="006432A8" w:rsidRDefault="00AC0A62" w:rsidP="00EA17CB">
            <w:pPr>
              <w:tabs>
                <w:tab w:val="clear" w:pos="1247"/>
                <w:tab w:val="clear" w:pos="1814"/>
                <w:tab w:val="clear" w:pos="2381"/>
                <w:tab w:val="clear" w:pos="2948"/>
                <w:tab w:val="clear" w:pos="3515"/>
              </w:tabs>
              <w:jc w:val="right"/>
              <w:rPr>
                <w:bCs/>
                <w:i/>
                <w:sz w:val="18"/>
                <w:szCs w:val="18"/>
              </w:rPr>
            </w:pPr>
            <w:r>
              <w:rPr>
                <w:bCs/>
                <w:i/>
                <w:sz w:val="18"/>
                <w:szCs w:val="18"/>
              </w:rPr>
              <w:t>Vienne</w:t>
            </w:r>
          </w:p>
        </w:tc>
        <w:tc>
          <w:tcPr>
            <w:tcW w:w="1255" w:type="dxa"/>
            <w:tcBorders>
              <w:top w:val="nil"/>
              <w:left w:val="nil"/>
              <w:bottom w:val="single" w:sz="4" w:space="0" w:color="auto"/>
              <w:right w:val="single" w:sz="4" w:space="0" w:color="auto"/>
            </w:tcBorders>
            <w:shd w:val="clear" w:color="auto" w:fill="auto"/>
            <w:noWrap/>
            <w:vAlign w:val="bottom"/>
            <w:hideMark/>
          </w:tcPr>
          <w:p w14:paraId="668C505E" w14:textId="77777777" w:rsidR="0041238C" w:rsidRPr="006432A8" w:rsidRDefault="0041238C" w:rsidP="00EA17CB">
            <w:pPr>
              <w:tabs>
                <w:tab w:val="clear" w:pos="1247"/>
                <w:tab w:val="clear" w:pos="1814"/>
                <w:tab w:val="clear" w:pos="2381"/>
                <w:tab w:val="clear" w:pos="2948"/>
                <w:tab w:val="clear" w:pos="3515"/>
              </w:tabs>
              <w:jc w:val="right"/>
              <w:rPr>
                <w:bCs/>
                <w:i/>
                <w:sz w:val="18"/>
                <w:szCs w:val="18"/>
              </w:rPr>
            </w:pPr>
            <w:r w:rsidRPr="006432A8">
              <w:rPr>
                <w:bCs/>
                <w:i/>
                <w:sz w:val="18"/>
                <w:szCs w:val="18"/>
              </w:rPr>
              <w:t>Washington</w:t>
            </w:r>
          </w:p>
        </w:tc>
      </w:tr>
      <w:tr w:rsidR="0041238C" w:rsidRPr="007E304A" w14:paraId="67384F13" w14:textId="77777777" w:rsidTr="006D523F">
        <w:trPr>
          <w:trHeight w:val="312"/>
        </w:trPr>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14:paraId="410643AF" w14:textId="63E4EAAB" w:rsidR="0041238C" w:rsidRPr="006432A8" w:rsidRDefault="00AC0A62" w:rsidP="0041238C">
            <w:pPr>
              <w:tabs>
                <w:tab w:val="clear" w:pos="1247"/>
                <w:tab w:val="clear" w:pos="1814"/>
                <w:tab w:val="clear" w:pos="2381"/>
                <w:tab w:val="clear" w:pos="2948"/>
                <w:tab w:val="clear" w:pos="3515"/>
              </w:tabs>
              <w:jc w:val="right"/>
              <w:rPr>
                <w:bCs/>
                <w:i/>
                <w:color w:val="000000"/>
                <w:sz w:val="18"/>
                <w:szCs w:val="18"/>
              </w:rPr>
            </w:pPr>
            <w:r>
              <w:rPr>
                <w:bCs/>
                <w:i/>
                <w:color w:val="000000"/>
                <w:sz w:val="18"/>
                <w:szCs w:val="18"/>
              </w:rPr>
              <w:t>Ensemble du personnel</w:t>
            </w:r>
          </w:p>
        </w:tc>
        <w:tc>
          <w:tcPr>
            <w:tcW w:w="1168" w:type="dxa"/>
            <w:tcBorders>
              <w:top w:val="nil"/>
              <w:left w:val="nil"/>
              <w:bottom w:val="single" w:sz="4" w:space="0" w:color="auto"/>
              <w:right w:val="single" w:sz="4" w:space="0" w:color="auto"/>
            </w:tcBorders>
            <w:shd w:val="clear" w:color="auto" w:fill="auto"/>
            <w:noWrap/>
            <w:vAlign w:val="bottom"/>
            <w:hideMark/>
          </w:tcPr>
          <w:p w14:paraId="285F5CC7"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8" w:type="dxa"/>
            <w:tcBorders>
              <w:top w:val="nil"/>
              <w:left w:val="nil"/>
              <w:bottom w:val="single" w:sz="4" w:space="0" w:color="auto"/>
              <w:right w:val="single" w:sz="4" w:space="0" w:color="auto"/>
            </w:tcBorders>
            <w:shd w:val="clear" w:color="auto" w:fill="auto"/>
            <w:noWrap/>
            <w:vAlign w:val="bottom"/>
            <w:hideMark/>
          </w:tcPr>
          <w:p w14:paraId="6D770DB7"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9" w:type="dxa"/>
            <w:tcBorders>
              <w:top w:val="nil"/>
              <w:left w:val="nil"/>
              <w:bottom w:val="single" w:sz="4" w:space="0" w:color="auto"/>
              <w:right w:val="single" w:sz="4" w:space="0" w:color="auto"/>
            </w:tcBorders>
            <w:shd w:val="clear" w:color="auto" w:fill="auto"/>
            <w:noWrap/>
            <w:vAlign w:val="bottom"/>
            <w:hideMark/>
          </w:tcPr>
          <w:p w14:paraId="0B561401"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8" w:type="dxa"/>
            <w:tcBorders>
              <w:top w:val="nil"/>
              <w:left w:val="nil"/>
              <w:bottom w:val="single" w:sz="4" w:space="0" w:color="auto"/>
              <w:right w:val="single" w:sz="4" w:space="0" w:color="auto"/>
            </w:tcBorders>
            <w:shd w:val="clear" w:color="auto" w:fill="auto"/>
            <w:noWrap/>
            <w:vAlign w:val="bottom"/>
            <w:hideMark/>
          </w:tcPr>
          <w:p w14:paraId="004A1AD9"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168" w:type="dxa"/>
            <w:tcBorders>
              <w:top w:val="nil"/>
              <w:left w:val="nil"/>
              <w:bottom w:val="single" w:sz="4" w:space="0" w:color="auto"/>
              <w:right w:val="single" w:sz="4" w:space="0" w:color="auto"/>
            </w:tcBorders>
            <w:shd w:val="clear" w:color="auto" w:fill="auto"/>
            <w:noWrap/>
            <w:vAlign w:val="bottom"/>
            <w:hideMark/>
          </w:tcPr>
          <w:p w14:paraId="35F497F4"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c>
          <w:tcPr>
            <w:tcW w:w="1255" w:type="dxa"/>
            <w:tcBorders>
              <w:top w:val="nil"/>
              <w:left w:val="nil"/>
              <w:bottom w:val="single" w:sz="4" w:space="0" w:color="auto"/>
              <w:right w:val="single" w:sz="4" w:space="0" w:color="auto"/>
            </w:tcBorders>
            <w:shd w:val="clear" w:color="auto" w:fill="auto"/>
            <w:noWrap/>
            <w:vAlign w:val="bottom"/>
            <w:hideMark/>
          </w:tcPr>
          <w:p w14:paraId="03762A10" w14:textId="77777777" w:rsidR="0041238C" w:rsidRPr="006432A8" w:rsidRDefault="0041238C" w:rsidP="0041238C">
            <w:pPr>
              <w:tabs>
                <w:tab w:val="clear" w:pos="1247"/>
                <w:tab w:val="clear" w:pos="1814"/>
                <w:tab w:val="clear" w:pos="2381"/>
                <w:tab w:val="clear" w:pos="2948"/>
                <w:tab w:val="clear" w:pos="3515"/>
              </w:tabs>
              <w:jc w:val="right"/>
              <w:rPr>
                <w:bCs/>
                <w:i/>
                <w:sz w:val="18"/>
                <w:szCs w:val="18"/>
              </w:rPr>
            </w:pPr>
            <w:r w:rsidRPr="006432A8">
              <w:rPr>
                <w:bCs/>
                <w:i/>
                <w:sz w:val="18"/>
                <w:szCs w:val="18"/>
              </w:rPr>
              <w:t>15</w:t>
            </w:r>
          </w:p>
        </w:tc>
      </w:tr>
      <w:tr w:rsidR="0041238C" w:rsidRPr="007E304A" w14:paraId="2C7B7323" w14:textId="77777777" w:rsidTr="006432A8">
        <w:trPr>
          <w:trHeight w:val="312"/>
        </w:trPr>
        <w:tc>
          <w:tcPr>
            <w:tcW w:w="2027" w:type="dxa"/>
            <w:tcBorders>
              <w:top w:val="nil"/>
              <w:left w:val="single" w:sz="4" w:space="0" w:color="auto"/>
              <w:bottom w:val="single" w:sz="4" w:space="0" w:color="auto"/>
              <w:right w:val="single" w:sz="4" w:space="0" w:color="auto"/>
            </w:tcBorders>
            <w:shd w:val="clear" w:color="auto" w:fill="auto"/>
            <w:noWrap/>
            <w:hideMark/>
          </w:tcPr>
          <w:p w14:paraId="763E6CA2" w14:textId="246A0003" w:rsidR="0041238C" w:rsidRPr="00AC0A62" w:rsidRDefault="007079A0" w:rsidP="00A67D50">
            <w:pPr>
              <w:tabs>
                <w:tab w:val="clear" w:pos="1247"/>
                <w:tab w:val="clear" w:pos="1814"/>
                <w:tab w:val="clear" w:pos="2381"/>
                <w:tab w:val="clear" w:pos="2948"/>
                <w:tab w:val="clear" w:pos="3515"/>
              </w:tabs>
              <w:jc w:val="right"/>
              <w:rPr>
                <w:bCs/>
                <w:i/>
                <w:color w:val="000000"/>
                <w:sz w:val="18"/>
                <w:szCs w:val="18"/>
                <w:lang w:val="fr-CH"/>
              </w:rPr>
            </w:pPr>
            <w:r>
              <w:rPr>
                <w:bCs/>
                <w:i/>
                <w:color w:val="000000"/>
                <w:sz w:val="18"/>
                <w:szCs w:val="18"/>
                <w:lang w:val="fr-CH"/>
              </w:rPr>
              <w:t>Dépenses de personnel totales</w:t>
            </w:r>
            <w:r w:rsidR="0041238C" w:rsidRPr="00AC0A62">
              <w:rPr>
                <w:bCs/>
                <w:i/>
                <w:color w:val="000000"/>
                <w:sz w:val="18"/>
                <w:szCs w:val="18"/>
                <w:lang w:val="fr-CH"/>
              </w:rPr>
              <w:t xml:space="preserve"> (</w:t>
            </w:r>
            <w:r w:rsidR="00A67D50">
              <w:rPr>
                <w:bCs/>
                <w:i/>
                <w:color w:val="000000"/>
                <w:sz w:val="18"/>
                <w:szCs w:val="18"/>
                <w:lang w:val="fr-CH"/>
              </w:rPr>
              <w:t>hors prélèvement sur l</w:t>
            </w:r>
            <w:r w:rsidR="00AC0A62" w:rsidRPr="00AC0A62">
              <w:rPr>
                <w:bCs/>
                <w:i/>
                <w:color w:val="000000"/>
                <w:sz w:val="18"/>
                <w:szCs w:val="18"/>
                <w:lang w:val="fr-CH"/>
              </w:rPr>
              <w:t>es dépenses d’appui au programme</w:t>
            </w:r>
            <w:r w:rsidR="0041238C" w:rsidRPr="00AC0A62">
              <w:rPr>
                <w:bCs/>
                <w:i/>
                <w:color w:val="000000"/>
                <w:sz w:val="18"/>
                <w:szCs w:val="18"/>
                <w:lang w:val="fr-CH"/>
              </w:rPr>
              <w:t>)</w:t>
            </w:r>
          </w:p>
        </w:tc>
        <w:tc>
          <w:tcPr>
            <w:tcW w:w="1168" w:type="dxa"/>
            <w:tcBorders>
              <w:top w:val="nil"/>
              <w:left w:val="nil"/>
              <w:bottom w:val="single" w:sz="4" w:space="0" w:color="auto"/>
              <w:right w:val="single" w:sz="4" w:space="0" w:color="auto"/>
            </w:tcBorders>
            <w:shd w:val="clear" w:color="auto" w:fill="auto"/>
            <w:noWrap/>
            <w:vAlign w:val="bottom"/>
            <w:hideMark/>
          </w:tcPr>
          <w:p w14:paraId="53DA6FCC" w14:textId="6A3077B5" w:rsidR="0041238C" w:rsidRPr="007E304A" w:rsidRDefault="0041238C" w:rsidP="006006BB">
            <w:pPr>
              <w:tabs>
                <w:tab w:val="clear" w:pos="1247"/>
                <w:tab w:val="clear" w:pos="1814"/>
                <w:tab w:val="clear" w:pos="2381"/>
                <w:tab w:val="clear" w:pos="2948"/>
                <w:tab w:val="clear" w:pos="3515"/>
              </w:tabs>
              <w:jc w:val="right"/>
              <w:rPr>
                <w:sz w:val="18"/>
                <w:szCs w:val="18"/>
              </w:rPr>
            </w:pPr>
            <w:r w:rsidRPr="007E304A">
              <w:rPr>
                <w:sz w:val="18"/>
                <w:szCs w:val="18"/>
              </w:rPr>
              <w:t>2</w:t>
            </w:r>
            <w:r w:rsidR="00B358F2" w:rsidRPr="007E304A">
              <w:rPr>
                <w:sz w:val="18"/>
                <w:szCs w:val="18"/>
              </w:rPr>
              <w:t xml:space="preserve"> </w:t>
            </w:r>
            <w:r w:rsidR="006006BB" w:rsidRPr="006432A8">
              <w:rPr>
                <w:sz w:val="18"/>
                <w:szCs w:val="18"/>
              </w:rPr>
              <w:t>140</w:t>
            </w:r>
            <w:r w:rsidR="00B358F2" w:rsidRPr="007E304A">
              <w:rPr>
                <w:sz w:val="18"/>
                <w:szCs w:val="18"/>
              </w:rPr>
              <w:t xml:space="preserve"> </w:t>
            </w:r>
            <w:r w:rsidR="006006BB" w:rsidRPr="006432A8">
              <w:rPr>
                <w:sz w:val="18"/>
                <w:szCs w:val="18"/>
              </w:rPr>
              <w:t>500</w:t>
            </w:r>
            <w:r w:rsidRPr="007E304A">
              <w:rPr>
                <w:sz w:val="18"/>
                <w:szCs w:val="18"/>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7DFFC324" w14:textId="53CE8AC1" w:rsidR="0041238C" w:rsidRPr="007E304A" w:rsidRDefault="006006BB" w:rsidP="006006BB">
            <w:pPr>
              <w:tabs>
                <w:tab w:val="clear" w:pos="1247"/>
                <w:tab w:val="clear" w:pos="1814"/>
                <w:tab w:val="clear" w:pos="2381"/>
                <w:tab w:val="clear" w:pos="2948"/>
                <w:tab w:val="clear" w:pos="3515"/>
              </w:tabs>
              <w:jc w:val="right"/>
              <w:rPr>
                <w:sz w:val="18"/>
                <w:szCs w:val="18"/>
              </w:rPr>
            </w:pPr>
            <w:r w:rsidRPr="006432A8">
              <w:rPr>
                <w:color w:val="000000"/>
                <w:sz w:val="18"/>
                <w:szCs w:val="18"/>
              </w:rPr>
              <w:t>3 233 709</w:t>
            </w:r>
          </w:p>
        </w:tc>
        <w:tc>
          <w:tcPr>
            <w:tcW w:w="1169" w:type="dxa"/>
            <w:tcBorders>
              <w:top w:val="nil"/>
              <w:left w:val="nil"/>
              <w:bottom w:val="single" w:sz="4" w:space="0" w:color="auto"/>
              <w:right w:val="single" w:sz="4" w:space="0" w:color="auto"/>
            </w:tcBorders>
            <w:shd w:val="clear" w:color="auto" w:fill="auto"/>
            <w:noWrap/>
            <w:vAlign w:val="bottom"/>
            <w:hideMark/>
          </w:tcPr>
          <w:p w14:paraId="57EE3AB5" w14:textId="35FE935C" w:rsidR="0041238C" w:rsidRPr="007E304A" w:rsidRDefault="006006BB" w:rsidP="0041238C">
            <w:pPr>
              <w:tabs>
                <w:tab w:val="clear" w:pos="1247"/>
                <w:tab w:val="clear" w:pos="1814"/>
                <w:tab w:val="clear" w:pos="2381"/>
                <w:tab w:val="clear" w:pos="2948"/>
                <w:tab w:val="clear" w:pos="3515"/>
              </w:tabs>
              <w:jc w:val="right"/>
              <w:rPr>
                <w:sz w:val="18"/>
                <w:szCs w:val="18"/>
              </w:rPr>
            </w:pPr>
            <w:r w:rsidRPr="006432A8">
              <w:rPr>
                <w:sz w:val="18"/>
                <w:szCs w:val="18"/>
              </w:rPr>
              <w:t>2 074 550</w:t>
            </w:r>
          </w:p>
        </w:tc>
        <w:tc>
          <w:tcPr>
            <w:tcW w:w="1168" w:type="dxa"/>
            <w:tcBorders>
              <w:top w:val="nil"/>
              <w:left w:val="nil"/>
              <w:bottom w:val="single" w:sz="4" w:space="0" w:color="auto"/>
              <w:right w:val="single" w:sz="4" w:space="0" w:color="auto"/>
            </w:tcBorders>
            <w:shd w:val="clear" w:color="auto" w:fill="auto"/>
            <w:noWrap/>
            <w:vAlign w:val="bottom"/>
            <w:hideMark/>
          </w:tcPr>
          <w:p w14:paraId="694F0AB1" w14:textId="64628EE2" w:rsidR="0041238C" w:rsidRPr="007E304A" w:rsidRDefault="0041238C" w:rsidP="004B6984">
            <w:pPr>
              <w:tabs>
                <w:tab w:val="clear" w:pos="1247"/>
                <w:tab w:val="clear" w:pos="1814"/>
                <w:tab w:val="clear" w:pos="2381"/>
                <w:tab w:val="clear" w:pos="2948"/>
                <w:tab w:val="clear" w:pos="3515"/>
              </w:tabs>
              <w:jc w:val="right"/>
              <w:rPr>
                <w:sz w:val="18"/>
                <w:szCs w:val="18"/>
              </w:rPr>
            </w:pPr>
            <w:r w:rsidRPr="007E304A">
              <w:rPr>
                <w:sz w:val="18"/>
                <w:szCs w:val="18"/>
              </w:rPr>
              <w:t>2</w:t>
            </w:r>
            <w:r w:rsidR="004B6984" w:rsidRPr="006432A8">
              <w:rPr>
                <w:sz w:val="18"/>
                <w:szCs w:val="18"/>
              </w:rPr>
              <w:t xml:space="preserve"> 674</w:t>
            </w:r>
            <w:r w:rsidR="00B358F2" w:rsidRPr="007E304A">
              <w:rPr>
                <w:sz w:val="18"/>
                <w:szCs w:val="18"/>
              </w:rPr>
              <w:t xml:space="preserve"> </w:t>
            </w:r>
            <w:r w:rsidR="004B6984" w:rsidRPr="006432A8">
              <w:rPr>
                <w:sz w:val="18"/>
                <w:szCs w:val="18"/>
              </w:rPr>
              <w:t>800</w:t>
            </w:r>
            <w:r w:rsidRPr="007E304A">
              <w:rPr>
                <w:sz w:val="18"/>
                <w:szCs w:val="18"/>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185A1972" w14:textId="5EB95400" w:rsidR="0041238C" w:rsidRPr="007E304A" w:rsidRDefault="0041238C" w:rsidP="0041238C">
            <w:pPr>
              <w:tabs>
                <w:tab w:val="clear" w:pos="1247"/>
                <w:tab w:val="clear" w:pos="1814"/>
                <w:tab w:val="clear" w:pos="2381"/>
                <w:tab w:val="clear" w:pos="2948"/>
                <w:tab w:val="clear" w:pos="3515"/>
              </w:tabs>
              <w:jc w:val="right"/>
              <w:rPr>
                <w:sz w:val="18"/>
                <w:szCs w:val="18"/>
              </w:rPr>
            </w:pPr>
            <w:r w:rsidRPr="007E304A">
              <w:rPr>
                <w:sz w:val="18"/>
                <w:szCs w:val="18"/>
              </w:rPr>
              <w:t>2</w:t>
            </w:r>
            <w:r w:rsidR="00B358F2" w:rsidRPr="007E304A">
              <w:rPr>
                <w:sz w:val="18"/>
                <w:szCs w:val="18"/>
              </w:rPr>
              <w:t xml:space="preserve"> </w:t>
            </w:r>
            <w:r w:rsidR="006006BB" w:rsidRPr="006432A8">
              <w:rPr>
                <w:sz w:val="18"/>
                <w:szCs w:val="18"/>
              </w:rPr>
              <w:t>34</w:t>
            </w:r>
            <w:r w:rsidRPr="007E304A">
              <w:rPr>
                <w:sz w:val="18"/>
                <w:szCs w:val="18"/>
              </w:rPr>
              <w:t>6</w:t>
            </w:r>
            <w:r w:rsidR="00B358F2" w:rsidRPr="007E304A">
              <w:rPr>
                <w:sz w:val="18"/>
                <w:szCs w:val="18"/>
              </w:rPr>
              <w:t xml:space="preserve"> </w:t>
            </w:r>
            <w:r w:rsidR="006006BB" w:rsidRPr="006432A8">
              <w:rPr>
                <w:sz w:val="18"/>
                <w:szCs w:val="18"/>
              </w:rPr>
              <w:t>40</w:t>
            </w:r>
            <w:r w:rsidRPr="007E304A">
              <w:rPr>
                <w:sz w:val="18"/>
                <w:szCs w:val="18"/>
              </w:rPr>
              <w:t xml:space="preserve">0 </w:t>
            </w:r>
          </w:p>
        </w:tc>
        <w:tc>
          <w:tcPr>
            <w:tcW w:w="1255" w:type="dxa"/>
            <w:tcBorders>
              <w:top w:val="nil"/>
              <w:left w:val="nil"/>
              <w:bottom w:val="single" w:sz="4" w:space="0" w:color="auto"/>
              <w:right w:val="single" w:sz="4" w:space="0" w:color="auto"/>
            </w:tcBorders>
            <w:shd w:val="clear" w:color="auto" w:fill="auto"/>
            <w:noWrap/>
            <w:vAlign w:val="bottom"/>
            <w:hideMark/>
          </w:tcPr>
          <w:p w14:paraId="538EE887" w14:textId="25FD5C40" w:rsidR="0041238C" w:rsidRPr="007E304A" w:rsidRDefault="0041238C" w:rsidP="00AB20EE">
            <w:pPr>
              <w:tabs>
                <w:tab w:val="clear" w:pos="1247"/>
                <w:tab w:val="clear" w:pos="1814"/>
                <w:tab w:val="clear" w:pos="2381"/>
                <w:tab w:val="clear" w:pos="2948"/>
                <w:tab w:val="clear" w:pos="3515"/>
              </w:tabs>
              <w:jc w:val="right"/>
              <w:rPr>
                <w:sz w:val="18"/>
                <w:szCs w:val="18"/>
              </w:rPr>
            </w:pPr>
            <w:r w:rsidRPr="007E304A">
              <w:rPr>
                <w:sz w:val="18"/>
                <w:szCs w:val="18"/>
              </w:rPr>
              <w:t>2</w:t>
            </w:r>
            <w:r w:rsidR="00B358F2" w:rsidRPr="007E304A">
              <w:rPr>
                <w:sz w:val="18"/>
                <w:szCs w:val="18"/>
              </w:rPr>
              <w:t xml:space="preserve"> </w:t>
            </w:r>
            <w:r w:rsidR="000A1250" w:rsidRPr="007E304A">
              <w:rPr>
                <w:sz w:val="18"/>
                <w:szCs w:val="18"/>
              </w:rPr>
              <w:t>490</w:t>
            </w:r>
            <w:r w:rsidR="00B358F2" w:rsidRPr="007E304A">
              <w:rPr>
                <w:sz w:val="18"/>
                <w:szCs w:val="18"/>
              </w:rPr>
              <w:t xml:space="preserve"> </w:t>
            </w:r>
            <w:r w:rsidR="000A1250" w:rsidRPr="007E304A">
              <w:rPr>
                <w:sz w:val="18"/>
                <w:szCs w:val="18"/>
              </w:rPr>
              <w:t>050</w:t>
            </w:r>
            <w:r w:rsidRPr="007E304A">
              <w:rPr>
                <w:sz w:val="18"/>
                <w:szCs w:val="18"/>
              </w:rPr>
              <w:t xml:space="preserve"> </w:t>
            </w:r>
          </w:p>
        </w:tc>
      </w:tr>
      <w:tr w:rsidR="0041238C" w:rsidRPr="007E304A" w14:paraId="72B18BFD" w14:textId="77777777" w:rsidTr="006432A8">
        <w:trPr>
          <w:trHeight w:val="312"/>
        </w:trPr>
        <w:tc>
          <w:tcPr>
            <w:tcW w:w="2027" w:type="dxa"/>
            <w:tcBorders>
              <w:top w:val="nil"/>
              <w:left w:val="single" w:sz="4" w:space="0" w:color="auto"/>
              <w:bottom w:val="single" w:sz="4" w:space="0" w:color="auto"/>
              <w:right w:val="single" w:sz="4" w:space="0" w:color="auto"/>
            </w:tcBorders>
            <w:shd w:val="clear" w:color="auto" w:fill="auto"/>
            <w:noWrap/>
            <w:hideMark/>
          </w:tcPr>
          <w:p w14:paraId="16FCD55E" w14:textId="09A297E7" w:rsidR="0041238C" w:rsidRPr="007A1220" w:rsidRDefault="00A67D50" w:rsidP="00A67D50">
            <w:pPr>
              <w:tabs>
                <w:tab w:val="clear" w:pos="1247"/>
                <w:tab w:val="clear" w:pos="1814"/>
                <w:tab w:val="clear" w:pos="2381"/>
                <w:tab w:val="clear" w:pos="2948"/>
                <w:tab w:val="clear" w:pos="3515"/>
              </w:tabs>
              <w:jc w:val="right"/>
              <w:rPr>
                <w:bCs/>
                <w:i/>
                <w:color w:val="000000"/>
                <w:sz w:val="18"/>
                <w:szCs w:val="18"/>
                <w:lang w:val="fr-CH"/>
              </w:rPr>
            </w:pPr>
            <w:r>
              <w:rPr>
                <w:bCs/>
                <w:i/>
                <w:color w:val="000000"/>
                <w:sz w:val="18"/>
                <w:szCs w:val="18"/>
                <w:lang w:val="fr-CH"/>
              </w:rPr>
              <w:t>Prélèvements sur les d</w:t>
            </w:r>
            <w:r w:rsidR="007A1220" w:rsidRPr="0099164F">
              <w:rPr>
                <w:bCs/>
                <w:i/>
                <w:color w:val="000000"/>
                <w:sz w:val="18"/>
                <w:szCs w:val="18"/>
                <w:lang w:val="fr-CH"/>
              </w:rPr>
              <w:t xml:space="preserve">épenses d’appui au programme </w:t>
            </w:r>
            <w:r>
              <w:rPr>
                <w:bCs/>
                <w:i/>
                <w:color w:val="000000"/>
                <w:sz w:val="18"/>
                <w:szCs w:val="18"/>
                <w:lang w:val="fr-CH"/>
              </w:rPr>
              <w:t>imputées aux</w:t>
            </w:r>
            <w:r w:rsidR="007A1220" w:rsidRPr="0099164F">
              <w:rPr>
                <w:bCs/>
                <w:i/>
                <w:color w:val="000000"/>
                <w:sz w:val="18"/>
                <w:szCs w:val="18"/>
                <w:lang w:val="fr-CH"/>
              </w:rPr>
              <w:t xml:space="preserve"> </w:t>
            </w:r>
            <w:r w:rsidR="007079A0">
              <w:rPr>
                <w:bCs/>
                <w:i/>
                <w:color w:val="000000"/>
                <w:sz w:val="18"/>
                <w:szCs w:val="18"/>
                <w:lang w:val="fr-CH"/>
              </w:rPr>
              <w:t>Dépenses de personnel</w:t>
            </w:r>
          </w:p>
        </w:tc>
        <w:tc>
          <w:tcPr>
            <w:tcW w:w="1168" w:type="dxa"/>
            <w:tcBorders>
              <w:top w:val="nil"/>
              <w:left w:val="nil"/>
              <w:bottom w:val="single" w:sz="4" w:space="0" w:color="auto"/>
              <w:right w:val="single" w:sz="4" w:space="0" w:color="auto"/>
            </w:tcBorders>
            <w:shd w:val="clear" w:color="auto" w:fill="auto"/>
            <w:noWrap/>
            <w:vAlign w:val="bottom"/>
            <w:hideMark/>
          </w:tcPr>
          <w:p w14:paraId="7C922DD8" w14:textId="6FF7A5A4" w:rsidR="0041238C" w:rsidRPr="007E304A" w:rsidRDefault="0041238C" w:rsidP="0041238C">
            <w:pPr>
              <w:tabs>
                <w:tab w:val="clear" w:pos="1247"/>
                <w:tab w:val="clear" w:pos="1814"/>
                <w:tab w:val="clear" w:pos="2381"/>
                <w:tab w:val="clear" w:pos="2948"/>
                <w:tab w:val="clear" w:pos="3515"/>
              </w:tabs>
              <w:jc w:val="right"/>
              <w:rPr>
                <w:sz w:val="18"/>
                <w:szCs w:val="18"/>
              </w:rPr>
            </w:pPr>
            <w:r w:rsidRPr="007E304A">
              <w:rPr>
                <w:sz w:val="18"/>
                <w:szCs w:val="18"/>
              </w:rPr>
              <w:t>2</w:t>
            </w:r>
            <w:r w:rsidR="006006BB" w:rsidRPr="006432A8">
              <w:rPr>
                <w:sz w:val="18"/>
                <w:szCs w:val="18"/>
              </w:rPr>
              <w:t>78</w:t>
            </w:r>
            <w:r w:rsidR="00B358F2" w:rsidRPr="007E304A">
              <w:rPr>
                <w:sz w:val="18"/>
                <w:szCs w:val="18"/>
              </w:rPr>
              <w:t xml:space="preserve"> </w:t>
            </w:r>
            <w:r w:rsidR="006006BB" w:rsidRPr="006432A8">
              <w:rPr>
                <w:sz w:val="18"/>
                <w:szCs w:val="18"/>
              </w:rPr>
              <w:t>26</w:t>
            </w:r>
            <w:r w:rsidRPr="007E304A">
              <w:rPr>
                <w:sz w:val="18"/>
                <w:szCs w:val="18"/>
              </w:rPr>
              <w:t xml:space="preserve">5 </w:t>
            </w:r>
          </w:p>
        </w:tc>
        <w:tc>
          <w:tcPr>
            <w:tcW w:w="1168" w:type="dxa"/>
            <w:tcBorders>
              <w:top w:val="nil"/>
              <w:left w:val="nil"/>
              <w:bottom w:val="single" w:sz="4" w:space="0" w:color="auto"/>
              <w:right w:val="single" w:sz="4" w:space="0" w:color="auto"/>
            </w:tcBorders>
            <w:shd w:val="clear" w:color="auto" w:fill="auto"/>
            <w:noWrap/>
            <w:vAlign w:val="bottom"/>
            <w:hideMark/>
          </w:tcPr>
          <w:p w14:paraId="0EF5A83D" w14:textId="53E99B97" w:rsidR="0041238C" w:rsidRPr="007E304A" w:rsidRDefault="006006BB" w:rsidP="0041238C">
            <w:pPr>
              <w:tabs>
                <w:tab w:val="clear" w:pos="1247"/>
                <w:tab w:val="clear" w:pos="1814"/>
                <w:tab w:val="clear" w:pos="2381"/>
                <w:tab w:val="clear" w:pos="2948"/>
                <w:tab w:val="clear" w:pos="3515"/>
              </w:tabs>
              <w:jc w:val="right"/>
              <w:rPr>
                <w:sz w:val="18"/>
                <w:szCs w:val="18"/>
              </w:rPr>
            </w:pPr>
            <w:r w:rsidRPr="006432A8">
              <w:rPr>
                <w:color w:val="000000"/>
                <w:sz w:val="18"/>
                <w:szCs w:val="18"/>
              </w:rPr>
              <w:t>420 382</w:t>
            </w:r>
          </w:p>
        </w:tc>
        <w:tc>
          <w:tcPr>
            <w:tcW w:w="1169" w:type="dxa"/>
            <w:tcBorders>
              <w:top w:val="nil"/>
              <w:left w:val="nil"/>
              <w:bottom w:val="single" w:sz="4" w:space="0" w:color="auto"/>
              <w:right w:val="single" w:sz="4" w:space="0" w:color="auto"/>
            </w:tcBorders>
            <w:shd w:val="clear" w:color="auto" w:fill="auto"/>
            <w:noWrap/>
            <w:vAlign w:val="bottom"/>
            <w:hideMark/>
          </w:tcPr>
          <w:p w14:paraId="0143EDE0" w14:textId="38C45190" w:rsidR="0041238C" w:rsidRPr="007E304A" w:rsidRDefault="006006BB" w:rsidP="006006BB">
            <w:pPr>
              <w:tabs>
                <w:tab w:val="clear" w:pos="1247"/>
                <w:tab w:val="clear" w:pos="1814"/>
                <w:tab w:val="clear" w:pos="2381"/>
                <w:tab w:val="clear" w:pos="2948"/>
                <w:tab w:val="clear" w:pos="3515"/>
              </w:tabs>
              <w:jc w:val="right"/>
              <w:rPr>
                <w:sz w:val="18"/>
                <w:szCs w:val="18"/>
              </w:rPr>
            </w:pPr>
            <w:r w:rsidRPr="006432A8">
              <w:rPr>
                <w:sz w:val="18"/>
                <w:szCs w:val="18"/>
              </w:rPr>
              <w:t>269</w:t>
            </w:r>
            <w:r w:rsidR="00B358F2" w:rsidRPr="007E304A">
              <w:rPr>
                <w:sz w:val="18"/>
                <w:szCs w:val="18"/>
              </w:rPr>
              <w:t xml:space="preserve"> </w:t>
            </w:r>
            <w:r w:rsidRPr="006432A8">
              <w:rPr>
                <w:sz w:val="18"/>
                <w:szCs w:val="18"/>
              </w:rPr>
              <w:t>692</w:t>
            </w:r>
            <w:r w:rsidR="0041238C" w:rsidRPr="007E304A">
              <w:rPr>
                <w:sz w:val="18"/>
                <w:szCs w:val="18"/>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26096951" w14:textId="02B9C5C7" w:rsidR="0041238C" w:rsidRPr="007E304A" w:rsidRDefault="004B6984" w:rsidP="004B6984">
            <w:pPr>
              <w:tabs>
                <w:tab w:val="clear" w:pos="1247"/>
                <w:tab w:val="clear" w:pos="1814"/>
                <w:tab w:val="clear" w:pos="2381"/>
                <w:tab w:val="clear" w:pos="2948"/>
                <w:tab w:val="clear" w:pos="3515"/>
              </w:tabs>
              <w:jc w:val="right"/>
              <w:rPr>
                <w:sz w:val="18"/>
                <w:szCs w:val="18"/>
              </w:rPr>
            </w:pPr>
            <w:r w:rsidRPr="006432A8">
              <w:rPr>
                <w:sz w:val="18"/>
                <w:szCs w:val="18"/>
              </w:rPr>
              <w:t>347</w:t>
            </w:r>
            <w:r w:rsidR="00B358F2" w:rsidRPr="007E304A">
              <w:rPr>
                <w:sz w:val="18"/>
                <w:szCs w:val="18"/>
              </w:rPr>
              <w:t xml:space="preserve"> </w:t>
            </w:r>
            <w:r w:rsidRPr="006432A8">
              <w:rPr>
                <w:sz w:val="18"/>
                <w:szCs w:val="18"/>
              </w:rPr>
              <w:t>724</w:t>
            </w:r>
            <w:r w:rsidR="0041238C" w:rsidRPr="007E304A">
              <w:rPr>
                <w:sz w:val="18"/>
                <w:szCs w:val="18"/>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521A1215" w14:textId="0D1AA717" w:rsidR="0041238C" w:rsidRPr="007E304A" w:rsidRDefault="006006BB" w:rsidP="006006BB">
            <w:pPr>
              <w:tabs>
                <w:tab w:val="clear" w:pos="1247"/>
                <w:tab w:val="clear" w:pos="1814"/>
                <w:tab w:val="clear" w:pos="2381"/>
                <w:tab w:val="clear" w:pos="2948"/>
                <w:tab w:val="clear" w:pos="3515"/>
              </w:tabs>
              <w:jc w:val="right"/>
              <w:rPr>
                <w:sz w:val="18"/>
                <w:szCs w:val="18"/>
              </w:rPr>
            </w:pPr>
            <w:r w:rsidRPr="006432A8">
              <w:rPr>
                <w:sz w:val="18"/>
                <w:szCs w:val="18"/>
              </w:rPr>
              <w:t>305</w:t>
            </w:r>
            <w:r w:rsidR="00B358F2" w:rsidRPr="007E304A">
              <w:rPr>
                <w:sz w:val="18"/>
                <w:szCs w:val="18"/>
              </w:rPr>
              <w:t xml:space="preserve"> </w:t>
            </w:r>
            <w:r w:rsidRPr="006432A8">
              <w:rPr>
                <w:sz w:val="18"/>
                <w:szCs w:val="18"/>
              </w:rPr>
              <w:t>032</w:t>
            </w:r>
            <w:r w:rsidR="0041238C" w:rsidRPr="007E304A">
              <w:rPr>
                <w:sz w:val="18"/>
                <w:szCs w:val="18"/>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14:paraId="4D3483CF" w14:textId="2974D28C" w:rsidR="0041238C" w:rsidRPr="007E304A" w:rsidRDefault="000A1250" w:rsidP="00AB20EE">
            <w:pPr>
              <w:tabs>
                <w:tab w:val="clear" w:pos="1247"/>
                <w:tab w:val="clear" w:pos="1814"/>
                <w:tab w:val="clear" w:pos="2381"/>
                <w:tab w:val="clear" w:pos="2948"/>
                <w:tab w:val="clear" w:pos="3515"/>
              </w:tabs>
              <w:jc w:val="right"/>
              <w:rPr>
                <w:sz w:val="18"/>
                <w:szCs w:val="18"/>
              </w:rPr>
            </w:pPr>
            <w:r w:rsidRPr="007E304A">
              <w:rPr>
                <w:sz w:val="18"/>
                <w:szCs w:val="18"/>
              </w:rPr>
              <w:t>323</w:t>
            </w:r>
            <w:r w:rsidR="00B358F2" w:rsidRPr="007E304A">
              <w:rPr>
                <w:sz w:val="18"/>
                <w:szCs w:val="18"/>
              </w:rPr>
              <w:t xml:space="preserve"> </w:t>
            </w:r>
            <w:r w:rsidRPr="007E304A">
              <w:rPr>
                <w:sz w:val="18"/>
                <w:szCs w:val="18"/>
              </w:rPr>
              <w:t>707</w:t>
            </w:r>
            <w:r w:rsidR="0041238C" w:rsidRPr="007E304A">
              <w:rPr>
                <w:sz w:val="18"/>
                <w:szCs w:val="18"/>
              </w:rPr>
              <w:t xml:space="preserve"> </w:t>
            </w:r>
          </w:p>
        </w:tc>
      </w:tr>
      <w:tr w:rsidR="0041238C" w:rsidRPr="007E304A" w14:paraId="682033A1" w14:textId="77777777" w:rsidTr="006432A8">
        <w:trPr>
          <w:trHeight w:val="312"/>
        </w:trPr>
        <w:tc>
          <w:tcPr>
            <w:tcW w:w="2027" w:type="dxa"/>
            <w:tcBorders>
              <w:top w:val="nil"/>
              <w:left w:val="single" w:sz="4" w:space="0" w:color="auto"/>
              <w:bottom w:val="single" w:sz="4" w:space="0" w:color="auto"/>
              <w:right w:val="single" w:sz="4" w:space="0" w:color="auto"/>
            </w:tcBorders>
            <w:shd w:val="clear" w:color="auto" w:fill="auto"/>
            <w:noWrap/>
            <w:hideMark/>
          </w:tcPr>
          <w:p w14:paraId="2054696A" w14:textId="2B87E4FE" w:rsidR="0041238C" w:rsidRPr="007A1220" w:rsidRDefault="007079A0" w:rsidP="007A1220">
            <w:pPr>
              <w:tabs>
                <w:tab w:val="clear" w:pos="1247"/>
                <w:tab w:val="clear" w:pos="1814"/>
                <w:tab w:val="clear" w:pos="2381"/>
                <w:tab w:val="clear" w:pos="2948"/>
                <w:tab w:val="clear" w:pos="3515"/>
              </w:tabs>
              <w:jc w:val="right"/>
              <w:rPr>
                <w:bCs/>
                <w:i/>
                <w:color w:val="000000"/>
                <w:sz w:val="18"/>
                <w:szCs w:val="18"/>
                <w:lang w:val="fr-CH"/>
              </w:rPr>
            </w:pPr>
            <w:r>
              <w:rPr>
                <w:bCs/>
                <w:i/>
                <w:color w:val="000000"/>
                <w:sz w:val="18"/>
                <w:szCs w:val="18"/>
                <w:lang w:val="fr-CH"/>
              </w:rPr>
              <w:t>Dépenses de personnel totales</w:t>
            </w:r>
            <w:r w:rsidRPr="00AC0A62">
              <w:rPr>
                <w:bCs/>
                <w:i/>
                <w:color w:val="000000"/>
                <w:sz w:val="18"/>
                <w:szCs w:val="18"/>
                <w:lang w:val="fr-CH"/>
              </w:rPr>
              <w:t xml:space="preserve"> </w:t>
            </w:r>
            <w:r w:rsidR="007A1220">
              <w:rPr>
                <w:bCs/>
                <w:i/>
                <w:color w:val="000000"/>
                <w:sz w:val="18"/>
                <w:szCs w:val="18"/>
                <w:lang w:val="fr-CH"/>
              </w:rPr>
              <w:t>(y compris les</w:t>
            </w:r>
            <w:r w:rsidR="00A705B9">
              <w:rPr>
                <w:bCs/>
                <w:i/>
                <w:color w:val="000000"/>
                <w:sz w:val="18"/>
                <w:szCs w:val="18"/>
                <w:lang w:val="fr-CH"/>
              </w:rPr>
              <w:t xml:space="preserve"> prélèvements sur les</w:t>
            </w:r>
            <w:r w:rsidR="007A1220" w:rsidRPr="00AC0A62">
              <w:rPr>
                <w:bCs/>
                <w:i/>
                <w:color w:val="000000"/>
                <w:sz w:val="18"/>
                <w:szCs w:val="18"/>
                <w:lang w:val="fr-CH"/>
              </w:rPr>
              <w:t xml:space="preserve"> dépenses d’appui au programme</w:t>
            </w:r>
          </w:p>
        </w:tc>
        <w:tc>
          <w:tcPr>
            <w:tcW w:w="1168" w:type="dxa"/>
            <w:tcBorders>
              <w:top w:val="nil"/>
              <w:left w:val="nil"/>
              <w:bottom w:val="single" w:sz="4" w:space="0" w:color="auto"/>
              <w:right w:val="single" w:sz="4" w:space="0" w:color="auto"/>
            </w:tcBorders>
            <w:shd w:val="clear" w:color="auto" w:fill="auto"/>
            <w:noWrap/>
            <w:vAlign w:val="bottom"/>
            <w:hideMark/>
          </w:tcPr>
          <w:p w14:paraId="615CCEC3" w14:textId="6E33E7FE" w:rsidR="0041238C" w:rsidRPr="007E304A" w:rsidRDefault="0041238C" w:rsidP="006006BB">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006006BB" w:rsidRPr="006432A8">
              <w:rPr>
                <w:b/>
                <w:bCs/>
                <w:sz w:val="18"/>
                <w:szCs w:val="18"/>
              </w:rPr>
              <w:t>418</w:t>
            </w:r>
            <w:r w:rsidR="00B358F2" w:rsidRPr="007E304A">
              <w:rPr>
                <w:b/>
                <w:bCs/>
                <w:sz w:val="18"/>
                <w:szCs w:val="18"/>
              </w:rPr>
              <w:t xml:space="preserve"> </w:t>
            </w:r>
            <w:r w:rsidR="006006BB" w:rsidRPr="006432A8">
              <w:rPr>
                <w:b/>
                <w:bCs/>
                <w:sz w:val="18"/>
                <w:szCs w:val="18"/>
              </w:rPr>
              <w:t>76</w:t>
            </w:r>
            <w:r w:rsidRPr="007E304A">
              <w:rPr>
                <w:b/>
                <w:bCs/>
                <w:sz w:val="18"/>
                <w:szCs w:val="18"/>
              </w:rPr>
              <w:t xml:space="preserve">5 </w:t>
            </w:r>
          </w:p>
        </w:tc>
        <w:tc>
          <w:tcPr>
            <w:tcW w:w="1168" w:type="dxa"/>
            <w:tcBorders>
              <w:top w:val="nil"/>
              <w:left w:val="nil"/>
              <w:bottom w:val="single" w:sz="4" w:space="0" w:color="auto"/>
              <w:right w:val="single" w:sz="4" w:space="0" w:color="auto"/>
            </w:tcBorders>
            <w:shd w:val="clear" w:color="auto" w:fill="auto"/>
            <w:noWrap/>
            <w:vAlign w:val="bottom"/>
            <w:hideMark/>
          </w:tcPr>
          <w:p w14:paraId="40750514" w14:textId="3B6EFA9D" w:rsidR="0041238C" w:rsidRPr="007E304A" w:rsidRDefault="006006BB" w:rsidP="0041238C">
            <w:pPr>
              <w:tabs>
                <w:tab w:val="clear" w:pos="1247"/>
                <w:tab w:val="clear" w:pos="1814"/>
                <w:tab w:val="clear" w:pos="2381"/>
                <w:tab w:val="clear" w:pos="2948"/>
                <w:tab w:val="clear" w:pos="3515"/>
              </w:tabs>
              <w:jc w:val="right"/>
              <w:rPr>
                <w:b/>
                <w:bCs/>
                <w:sz w:val="18"/>
                <w:szCs w:val="18"/>
              </w:rPr>
            </w:pPr>
            <w:r w:rsidRPr="006432A8">
              <w:rPr>
                <w:b/>
                <w:bCs/>
                <w:color w:val="000000"/>
                <w:sz w:val="18"/>
                <w:szCs w:val="18"/>
              </w:rPr>
              <w:t>3 654 091</w:t>
            </w:r>
          </w:p>
        </w:tc>
        <w:tc>
          <w:tcPr>
            <w:tcW w:w="1169" w:type="dxa"/>
            <w:tcBorders>
              <w:top w:val="nil"/>
              <w:left w:val="nil"/>
              <w:bottom w:val="single" w:sz="4" w:space="0" w:color="auto"/>
              <w:right w:val="single" w:sz="4" w:space="0" w:color="auto"/>
            </w:tcBorders>
            <w:shd w:val="clear" w:color="auto" w:fill="auto"/>
            <w:noWrap/>
            <w:vAlign w:val="bottom"/>
            <w:hideMark/>
          </w:tcPr>
          <w:p w14:paraId="64509BDE" w14:textId="344F611E" w:rsidR="0041238C" w:rsidRPr="007E304A" w:rsidRDefault="0041238C" w:rsidP="006006BB">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006006BB" w:rsidRPr="006432A8">
              <w:rPr>
                <w:b/>
                <w:bCs/>
                <w:sz w:val="18"/>
                <w:szCs w:val="18"/>
              </w:rPr>
              <w:t>344</w:t>
            </w:r>
            <w:r w:rsidR="00B358F2" w:rsidRPr="007E304A">
              <w:rPr>
                <w:b/>
                <w:bCs/>
                <w:sz w:val="18"/>
                <w:szCs w:val="18"/>
              </w:rPr>
              <w:t xml:space="preserve"> </w:t>
            </w:r>
            <w:r w:rsidR="006006BB" w:rsidRPr="006432A8">
              <w:rPr>
                <w:b/>
                <w:bCs/>
                <w:sz w:val="18"/>
                <w:szCs w:val="18"/>
              </w:rPr>
              <w:t>242</w:t>
            </w:r>
            <w:r w:rsidRPr="007E304A">
              <w:rPr>
                <w:b/>
                <w:bCs/>
                <w:sz w:val="18"/>
                <w:szCs w:val="18"/>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0378780E" w14:textId="12653661" w:rsidR="0041238C" w:rsidRPr="007E304A" w:rsidRDefault="004B6984" w:rsidP="004B6984">
            <w:pPr>
              <w:tabs>
                <w:tab w:val="clear" w:pos="1247"/>
                <w:tab w:val="clear" w:pos="1814"/>
                <w:tab w:val="clear" w:pos="2381"/>
                <w:tab w:val="clear" w:pos="2948"/>
                <w:tab w:val="clear" w:pos="3515"/>
              </w:tabs>
              <w:jc w:val="right"/>
              <w:rPr>
                <w:b/>
                <w:bCs/>
                <w:sz w:val="18"/>
                <w:szCs w:val="18"/>
              </w:rPr>
            </w:pPr>
            <w:r w:rsidRPr="006432A8">
              <w:rPr>
                <w:b/>
                <w:bCs/>
                <w:sz w:val="18"/>
                <w:szCs w:val="18"/>
              </w:rPr>
              <w:t>3</w:t>
            </w:r>
            <w:r w:rsidR="00B358F2" w:rsidRPr="007E304A">
              <w:rPr>
                <w:b/>
                <w:bCs/>
                <w:sz w:val="18"/>
                <w:szCs w:val="18"/>
              </w:rPr>
              <w:t xml:space="preserve"> </w:t>
            </w:r>
            <w:r w:rsidRPr="006432A8">
              <w:rPr>
                <w:b/>
                <w:bCs/>
                <w:sz w:val="18"/>
                <w:szCs w:val="18"/>
              </w:rPr>
              <w:t>022</w:t>
            </w:r>
            <w:r w:rsidR="00B358F2" w:rsidRPr="007E304A">
              <w:rPr>
                <w:b/>
                <w:bCs/>
                <w:sz w:val="18"/>
                <w:szCs w:val="18"/>
              </w:rPr>
              <w:t xml:space="preserve"> </w:t>
            </w:r>
            <w:r w:rsidRPr="006432A8">
              <w:rPr>
                <w:b/>
                <w:bCs/>
                <w:sz w:val="18"/>
                <w:szCs w:val="18"/>
              </w:rPr>
              <w:t>524</w:t>
            </w:r>
            <w:r w:rsidR="0041238C" w:rsidRPr="007E304A">
              <w:rPr>
                <w:b/>
                <w:bCs/>
                <w:sz w:val="18"/>
                <w:szCs w:val="18"/>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3FA273D9" w14:textId="54AFBC56" w:rsidR="0041238C" w:rsidRPr="007E304A" w:rsidRDefault="0041238C" w:rsidP="006006BB">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006006BB" w:rsidRPr="006432A8">
              <w:rPr>
                <w:b/>
                <w:bCs/>
                <w:sz w:val="18"/>
                <w:szCs w:val="18"/>
              </w:rPr>
              <w:t>651</w:t>
            </w:r>
            <w:r w:rsidR="00B358F2" w:rsidRPr="007E304A">
              <w:rPr>
                <w:b/>
                <w:bCs/>
                <w:sz w:val="18"/>
                <w:szCs w:val="18"/>
              </w:rPr>
              <w:t xml:space="preserve"> </w:t>
            </w:r>
            <w:r w:rsidR="006006BB" w:rsidRPr="006432A8">
              <w:rPr>
                <w:b/>
                <w:bCs/>
                <w:sz w:val="18"/>
                <w:szCs w:val="18"/>
              </w:rPr>
              <w:t>432</w:t>
            </w:r>
            <w:r w:rsidRPr="007E304A">
              <w:rPr>
                <w:b/>
                <w:bCs/>
                <w:sz w:val="18"/>
                <w:szCs w:val="18"/>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14:paraId="56431F9A" w14:textId="44269A7C" w:rsidR="0041238C" w:rsidRPr="007E304A" w:rsidRDefault="000A1250" w:rsidP="00AB20EE">
            <w:pPr>
              <w:tabs>
                <w:tab w:val="clear" w:pos="1247"/>
                <w:tab w:val="clear" w:pos="1814"/>
                <w:tab w:val="clear" w:pos="2381"/>
                <w:tab w:val="clear" w:pos="2948"/>
                <w:tab w:val="clear" w:pos="3515"/>
              </w:tabs>
              <w:jc w:val="right"/>
              <w:rPr>
                <w:b/>
                <w:bCs/>
                <w:sz w:val="18"/>
                <w:szCs w:val="18"/>
              </w:rPr>
            </w:pPr>
            <w:r w:rsidRPr="007E304A">
              <w:rPr>
                <w:b/>
                <w:bCs/>
                <w:sz w:val="18"/>
                <w:szCs w:val="18"/>
              </w:rPr>
              <w:t>2</w:t>
            </w:r>
            <w:r w:rsidR="00B358F2" w:rsidRPr="007E304A">
              <w:rPr>
                <w:b/>
                <w:bCs/>
                <w:sz w:val="18"/>
                <w:szCs w:val="18"/>
              </w:rPr>
              <w:t xml:space="preserve"> </w:t>
            </w:r>
            <w:r w:rsidRPr="007E304A">
              <w:rPr>
                <w:b/>
                <w:bCs/>
                <w:sz w:val="18"/>
                <w:szCs w:val="18"/>
              </w:rPr>
              <w:t>813</w:t>
            </w:r>
            <w:r w:rsidR="00B358F2" w:rsidRPr="007E304A">
              <w:rPr>
                <w:b/>
                <w:bCs/>
                <w:sz w:val="18"/>
                <w:szCs w:val="18"/>
              </w:rPr>
              <w:t xml:space="preserve"> </w:t>
            </w:r>
            <w:r w:rsidRPr="007E304A">
              <w:rPr>
                <w:b/>
                <w:bCs/>
                <w:sz w:val="18"/>
                <w:szCs w:val="18"/>
              </w:rPr>
              <w:t>757</w:t>
            </w:r>
            <w:r w:rsidR="0041238C" w:rsidRPr="007E304A">
              <w:rPr>
                <w:b/>
                <w:bCs/>
                <w:sz w:val="18"/>
                <w:szCs w:val="18"/>
              </w:rPr>
              <w:t xml:space="preserve"> </w:t>
            </w:r>
          </w:p>
        </w:tc>
      </w:tr>
    </w:tbl>
    <w:p w14:paraId="6E900AC3" w14:textId="52375D07" w:rsidR="00FE4713" w:rsidRPr="006432A8" w:rsidRDefault="0041238C" w:rsidP="0063082E">
      <w:pPr>
        <w:pStyle w:val="Normal-pool"/>
        <w:keepNext/>
        <w:keepLines/>
        <w:spacing w:before="240"/>
        <w:ind w:left="1253"/>
      </w:pPr>
      <w:r w:rsidRPr="006432A8">
        <w:lastRenderedPageBreak/>
        <w:t>Table</w:t>
      </w:r>
      <w:r w:rsidR="00F00E02">
        <w:t>au</w:t>
      </w:r>
      <w:r w:rsidRPr="006432A8">
        <w:t xml:space="preserve"> 4</w:t>
      </w:r>
    </w:p>
    <w:p w14:paraId="36699BC7" w14:textId="321761A8" w:rsidR="0041238C" w:rsidRPr="00A94344" w:rsidRDefault="00385C33" w:rsidP="006432A8">
      <w:pPr>
        <w:pStyle w:val="Normal-pool"/>
        <w:keepNext/>
        <w:keepLines/>
        <w:ind w:left="1253"/>
        <w:rPr>
          <w:b/>
          <w:lang w:val="fr-CH"/>
        </w:rPr>
      </w:pPr>
      <w:r w:rsidRPr="00A94344">
        <w:rPr>
          <w:b/>
          <w:lang w:val="fr-CH"/>
        </w:rPr>
        <w:t>Aperçu des coûts estimatifs</w:t>
      </w:r>
      <w:r w:rsidR="00AC4B79">
        <w:rPr>
          <w:b/>
          <w:lang w:val="fr-CH"/>
        </w:rPr>
        <w:t xml:space="preserve"> approximatifs</w:t>
      </w:r>
      <w:r w:rsidRPr="00A94344">
        <w:rPr>
          <w:b/>
          <w:lang w:val="fr-CH"/>
        </w:rPr>
        <w:t xml:space="preserve"> de fonctionnement d’un </w:t>
      </w:r>
      <w:r w:rsidR="00A94344" w:rsidRPr="00A94344">
        <w:rPr>
          <w:b/>
          <w:lang w:val="fr-CH"/>
        </w:rPr>
        <w:t>secré</w:t>
      </w:r>
      <w:r w:rsidR="0063082E">
        <w:rPr>
          <w:b/>
          <w:lang w:val="fr-CH"/>
        </w:rPr>
        <w:t>tariat pour chacune des </w:t>
      </w:r>
      <w:r w:rsidRPr="00A94344">
        <w:rPr>
          <w:b/>
          <w:lang w:val="fr-CH"/>
        </w:rPr>
        <w:t xml:space="preserve">villes proposées </w:t>
      </w:r>
      <w:r w:rsidR="0041238C" w:rsidRPr="00A94344">
        <w:rPr>
          <w:b/>
          <w:lang w:val="fr-CH"/>
        </w:rPr>
        <w:t>(</w:t>
      </w:r>
      <w:r w:rsidR="00A94344" w:rsidRPr="00A94344">
        <w:rPr>
          <w:b/>
          <w:lang w:val="fr-CH"/>
        </w:rPr>
        <w:t xml:space="preserve">y compris les </w:t>
      </w:r>
      <w:r w:rsidR="008C7D1E">
        <w:rPr>
          <w:b/>
          <w:lang w:val="fr-CH"/>
        </w:rPr>
        <w:t xml:space="preserve">dépenses de bureau, les coûts d’organisation des réunions </w:t>
      </w:r>
      <w:r w:rsidR="001672AD">
        <w:rPr>
          <w:b/>
          <w:lang w:val="fr-CH"/>
        </w:rPr>
        <w:br/>
      </w:r>
      <w:r w:rsidR="008C7D1E">
        <w:rPr>
          <w:b/>
          <w:lang w:val="fr-CH"/>
        </w:rPr>
        <w:t>et les frais de voyage du person</w:t>
      </w:r>
      <w:r w:rsidR="00696701">
        <w:rPr>
          <w:b/>
          <w:lang w:val="fr-CH"/>
        </w:rPr>
        <w:t xml:space="preserve">nel pour les réunions basées à </w:t>
      </w:r>
      <w:r w:rsidR="008C7D1E">
        <w:rPr>
          <w:b/>
          <w:lang w:val="fr-CH"/>
        </w:rPr>
        <w:t>Genève</w:t>
      </w:r>
      <w:r w:rsidR="0041238C" w:rsidRPr="00A94344">
        <w:rPr>
          <w:b/>
          <w:lang w:val="fr-CH"/>
        </w:rPr>
        <w:t>)</w:t>
      </w:r>
    </w:p>
    <w:p w14:paraId="228CE6CC" w14:textId="5CA5A60B" w:rsidR="00B358F2" w:rsidRPr="00F30FEB" w:rsidRDefault="00B358F2" w:rsidP="006432A8">
      <w:pPr>
        <w:pStyle w:val="Normal-pool"/>
        <w:keepNext/>
        <w:keepLines/>
        <w:spacing w:after="120"/>
        <w:ind w:left="1253"/>
        <w:rPr>
          <w:sz w:val="16"/>
          <w:szCs w:val="16"/>
          <w:lang w:val="fr-CH"/>
        </w:rPr>
      </w:pPr>
      <w:r w:rsidRPr="00F30FEB">
        <w:rPr>
          <w:sz w:val="16"/>
          <w:szCs w:val="16"/>
          <w:lang w:val="fr-CH"/>
        </w:rPr>
        <w:t>(</w:t>
      </w:r>
      <w:r w:rsidR="00385C33" w:rsidRPr="00F30FEB">
        <w:rPr>
          <w:sz w:val="16"/>
          <w:szCs w:val="16"/>
          <w:lang w:val="fr-CH"/>
        </w:rPr>
        <w:t>en dollars des États</w:t>
      </w:r>
      <w:r w:rsidR="00385C33" w:rsidRPr="00F30FEB">
        <w:rPr>
          <w:sz w:val="16"/>
          <w:szCs w:val="16"/>
          <w:lang w:val="fr-CH"/>
        </w:rPr>
        <w:noBreakHyphen/>
        <w:t>Unis</w:t>
      </w:r>
      <w:r w:rsidRPr="00F30FEB">
        <w:rPr>
          <w:sz w:val="16"/>
          <w:szCs w:val="16"/>
          <w:lang w:val="fr-CH"/>
        </w:rPr>
        <w:t>)</w:t>
      </w:r>
    </w:p>
    <w:tbl>
      <w:tblPr>
        <w:tblW w:w="10075" w:type="dxa"/>
        <w:jc w:val="right"/>
        <w:tblLook w:val="04A0" w:firstRow="1" w:lastRow="0" w:firstColumn="1" w:lastColumn="0" w:noHBand="0" w:noVBand="1"/>
      </w:tblPr>
      <w:tblGrid>
        <w:gridCol w:w="1203"/>
        <w:gridCol w:w="936"/>
        <w:gridCol w:w="1299"/>
        <w:gridCol w:w="1411"/>
        <w:gridCol w:w="1324"/>
        <w:gridCol w:w="1300"/>
        <w:gridCol w:w="1300"/>
        <w:gridCol w:w="1302"/>
      </w:tblGrid>
      <w:tr w:rsidR="0041238C" w:rsidRPr="00A84D20" w14:paraId="23EA1F3C" w14:textId="77777777" w:rsidTr="001C0909">
        <w:trPr>
          <w:trHeight w:val="312"/>
          <w:jc w:val="right"/>
        </w:trPr>
        <w:tc>
          <w:tcPr>
            <w:tcW w:w="1007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C89F78A" w14:textId="4D9FD314" w:rsidR="0041238C" w:rsidRPr="00A705B9" w:rsidRDefault="00A705B9" w:rsidP="00A705B9">
            <w:pPr>
              <w:keepNext/>
              <w:keepLines/>
              <w:tabs>
                <w:tab w:val="clear" w:pos="1247"/>
                <w:tab w:val="clear" w:pos="1814"/>
                <w:tab w:val="clear" w:pos="2381"/>
                <w:tab w:val="clear" w:pos="2948"/>
                <w:tab w:val="clear" w:pos="3515"/>
              </w:tabs>
              <w:jc w:val="center"/>
              <w:rPr>
                <w:b/>
                <w:bCs/>
                <w:color w:val="000000"/>
                <w:sz w:val="16"/>
                <w:szCs w:val="16"/>
                <w:lang w:val="fr-CH"/>
              </w:rPr>
            </w:pPr>
            <w:r w:rsidRPr="00A705B9">
              <w:rPr>
                <w:b/>
                <w:bCs/>
                <w:color w:val="000000"/>
                <w:sz w:val="16"/>
                <w:szCs w:val="16"/>
                <w:lang w:val="fr-CH"/>
              </w:rPr>
              <w:t>Aperçu des coûts estimatifs</w:t>
            </w:r>
            <w:r w:rsidR="001C0909">
              <w:rPr>
                <w:b/>
                <w:bCs/>
                <w:color w:val="000000"/>
                <w:sz w:val="16"/>
                <w:szCs w:val="16"/>
                <w:lang w:val="fr-CH"/>
              </w:rPr>
              <w:t xml:space="preserve"> approximatifs</w:t>
            </w:r>
            <w:r w:rsidRPr="00A705B9">
              <w:rPr>
                <w:b/>
                <w:bCs/>
                <w:color w:val="000000"/>
                <w:sz w:val="16"/>
                <w:szCs w:val="16"/>
                <w:lang w:val="fr-CH"/>
              </w:rPr>
              <w:t xml:space="preserve"> de fonctionnement d’un </w:t>
            </w:r>
            <w:r>
              <w:rPr>
                <w:b/>
                <w:bCs/>
                <w:color w:val="000000"/>
                <w:sz w:val="16"/>
                <w:szCs w:val="16"/>
                <w:lang w:val="fr-CH"/>
              </w:rPr>
              <w:t>secré</w:t>
            </w:r>
            <w:r w:rsidRPr="00A705B9">
              <w:rPr>
                <w:b/>
                <w:bCs/>
                <w:color w:val="000000"/>
                <w:sz w:val="16"/>
                <w:szCs w:val="16"/>
                <w:lang w:val="fr-CH"/>
              </w:rPr>
              <w:t xml:space="preserve">tariat </w:t>
            </w:r>
            <w:r>
              <w:rPr>
                <w:b/>
                <w:bCs/>
                <w:color w:val="000000"/>
                <w:sz w:val="16"/>
                <w:szCs w:val="16"/>
                <w:lang w:val="fr-CH"/>
              </w:rPr>
              <w:t>dans l</w:t>
            </w:r>
            <w:r w:rsidRPr="00A705B9">
              <w:rPr>
                <w:b/>
                <w:bCs/>
                <w:color w:val="000000"/>
                <w:sz w:val="16"/>
                <w:szCs w:val="16"/>
                <w:lang w:val="fr-CH"/>
              </w:rPr>
              <w:t>es six villes proposées</w:t>
            </w:r>
          </w:p>
        </w:tc>
      </w:tr>
      <w:tr w:rsidR="00FF03E4" w:rsidRPr="007E304A" w14:paraId="0B2BE17E" w14:textId="77777777" w:rsidTr="001C0909">
        <w:trPr>
          <w:trHeight w:val="312"/>
          <w:jc w:val="right"/>
        </w:trPr>
        <w:tc>
          <w:tcPr>
            <w:tcW w:w="1173" w:type="dxa"/>
            <w:tcBorders>
              <w:top w:val="nil"/>
              <w:left w:val="single" w:sz="4" w:space="0" w:color="auto"/>
              <w:bottom w:val="single" w:sz="4" w:space="0" w:color="auto"/>
              <w:right w:val="single" w:sz="4" w:space="0" w:color="auto"/>
            </w:tcBorders>
            <w:shd w:val="clear" w:color="auto" w:fill="auto"/>
            <w:hideMark/>
          </w:tcPr>
          <w:p w14:paraId="67BCF9D1" w14:textId="77777777" w:rsidR="0041238C" w:rsidRPr="00A705B9" w:rsidRDefault="0041238C" w:rsidP="00090E66">
            <w:pPr>
              <w:keepNext/>
              <w:keepLines/>
              <w:tabs>
                <w:tab w:val="clear" w:pos="1247"/>
                <w:tab w:val="clear" w:pos="1814"/>
                <w:tab w:val="clear" w:pos="2381"/>
                <w:tab w:val="clear" w:pos="2948"/>
                <w:tab w:val="clear" w:pos="3515"/>
              </w:tabs>
              <w:rPr>
                <w:bCs/>
                <w:i/>
                <w:color w:val="000000"/>
                <w:sz w:val="16"/>
                <w:szCs w:val="16"/>
                <w:lang w:val="fr-CH"/>
              </w:rPr>
            </w:pPr>
            <w:r w:rsidRPr="00A705B9">
              <w:rPr>
                <w:bCs/>
                <w:i/>
                <w:color w:val="000000"/>
                <w:sz w:val="16"/>
                <w:szCs w:val="16"/>
                <w:lang w:val="fr-CH"/>
              </w:rPr>
              <w:t> </w:t>
            </w:r>
          </w:p>
        </w:tc>
        <w:tc>
          <w:tcPr>
            <w:tcW w:w="936" w:type="dxa"/>
            <w:tcBorders>
              <w:top w:val="nil"/>
              <w:left w:val="nil"/>
              <w:bottom w:val="single" w:sz="4" w:space="0" w:color="auto"/>
              <w:right w:val="single" w:sz="4" w:space="0" w:color="auto"/>
            </w:tcBorders>
            <w:shd w:val="clear" w:color="auto" w:fill="auto"/>
            <w:hideMark/>
          </w:tcPr>
          <w:p w14:paraId="57C8A988" w14:textId="651474CC" w:rsidR="0041238C" w:rsidRPr="00EA17CB" w:rsidRDefault="00F00E02" w:rsidP="00EA17CB">
            <w:pPr>
              <w:tabs>
                <w:tab w:val="clear" w:pos="1247"/>
                <w:tab w:val="clear" w:pos="1814"/>
                <w:tab w:val="clear" w:pos="2381"/>
                <w:tab w:val="clear" w:pos="2948"/>
                <w:tab w:val="clear" w:pos="3515"/>
              </w:tabs>
              <w:jc w:val="right"/>
              <w:rPr>
                <w:bCs/>
                <w:i/>
                <w:sz w:val="16"/>
                <w:szCs w:val="16"/>
              </w:rPr>
            </w:pPr>
            <w:r w:rsidRPr="001672AD">
              <w:rPr>
                <w:bCs/>
                <w:i/>
                <w:sz w:val="16"/>
                <w:szCs w:val="16"/>
                <w:lang w:val="fr-FR"/>
              </w:rPr>
              <w:t>Rem</w:t>
            </w:r>
            <w:r>
              <w:rPr>
                <w:bCs/>
                <w:i/>
                <w:sz w:val="16"/>
                <w:szCs w:val="16"/>
              </w:rPr>
              <w:t>arque</w:t>
            </w:r>
            <w:r w:rsidR="0041238C" w:rsidRPr="00EA17CB">
              <w:rPr>
                <w:bCs/>
                <w:i/>
                <w:sz w:val="16"/>
                <w:szCs w:val="16"/>
              </w:rPr>
              <w:t>s</w:t>
            </w:r>
          </w:p>
        </w:tc>
        <w:tc>
          <w:tcPr>
            <w:tcW w:w="1305" w:type="dxa"/>
            <w:tcBorders>
              <w:top w:val="nil"/>
              <w:left w:val="nil"/>
              <w:bottom w:val="single" w:sz="4" w:space="0" w:color="auto"/>
              <w:right w:val="single" w:sz="4" w:space="0" w:color="auto"/>
            </w:tcBorders>
            <w:shd w:val="clear" w:color="auto" w:fill="auto"/>
            <w:hideMark/>
          </w:tcPr>
          <w:p w14:paraId="481CA1BE"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Bangkok</w:t>
            </w:r>
          </w:p>
        </w:tc>
        <w:tc>
          <w:tcPr>
            <w:tcW w:w="1416" w:type="dxa"/>
            <w:tcBorders>
              <w:top w:val="nil"/>
              <w:left w:val="nil"/>
              <w:bottom w:val="single" w:sz="4" w:space="0" w:color="auto"/>
              <w:right w:val="single" w:sz="4" w:space="0" w:color="auto"/>
            </w:tcBorders>
            <w:shd w:val="clear" w:color="auto" w:fill="auto"/>
            <w:hideMark/>
          </w:tcPr>
          <w:p w14:paraId="0D75DFFA" w14:textId="694289F3" w:rsidR="0041238C" w:rsidRPr="00EA17CB" w:rsidRDefault="00F00E02" w:rsidP="00EA17CB">
            <w:pPr>
              <w:tabs>
                <w:tab w:val="clear" w:pos="1247"/>
                <w:tab w:val="clear" w:pos="1814"/>
                <w:tab w:val="clear" w:pos="2381"/>
                <w:tab w:val="clear" w:pos="2948"/>
                <w:tab w:val="clear" w:pos="3515"/>
              </w:tabs>
              <w:jc w:val="right"/>
              <w:rPr>
                <w:bCs/>
                <w:i/>
                <w:sz w:val="16"/>
                <w:szCs w:val="16"/>
              </w:rPr>
            </w:pPr>
            <w:r>
              <w:rPr>
                <w:bCs/>
                <w:i/>
                <w:sz w:val="16"/>
                <w:szCs w:val="16"/>
              </w:rPr>
              <w:t>Genève</w:t>
            </w:r>
          </w:p>
        </w:tc>
        <w:tc>
          <w:tcPr>
            <w:tcW w:w="1330" w:type="dxa"/>
            <w:tcBorders>
              <w:top w:val="nil"/>
              <w:left w:val="nil"/>
              <w:bottom w:val="single" w:sz="4" w:space="0" w:color="auto"/>
              <w:right w:val="single" w:sz="4" w:space="0" w:color="auto"/>
            </w:tcBorders>
            <w:shd w:val="clear" w:color="auto" w:fill="auto"/>
            <w:hideMark/>
          </w:tcPr>
          <w:p w14:paraId="7E1E2726"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Nairobi</w:t>
            </w:r>
          </w:p>
        </w:tc>
        <w:tc>
          <w:tcPr>
            <w:tcW w:w="1305" w:type="dxa"/>
            <w:tcBorders>
              <w:top w:val="nil"/>
              <w:left w:val="nil"/>
              <w:bottom w:val="single" w:sz="4" w:space="0" w:color="auto"/>
              <w:right w:val="nil"/>
            </w:tcBorders>
            <w:shd w:val="clear" w:color="auto" w:fill="auto"/>
            <w:hideMark/>
          </w:tcPr>
          <w:p w14:paraId="65D0D8E2" w14:textId="77777777" w:rsidR="0041238C" w:rsidRPr="00EA17CB" w:rsidRDefault="0041238C" w:rsidP="00EA17CB">
            <w:pPr>
              <w:tabs>
                <w:tab w:val="clear" w:pos="1247"/>
                <w:tab w:val="clear" w:pos="1814"/>
                <w:tab w:val="clear" w:pos="2381"/>
                <w:tab w:val="clear" w:pos="2948"/>
                <w:tab w:val="clear" w:pos="3515"/>
              </w:tabs>
              <w:jc w:val="right"/>
              <w:rPr>
                <w:bCs/>
                <w:i/>
                <w:sz w:val="16"/>
                <w:szCs w:val="16"/>
              </w:rPr>
            </w:pPr>
            <w:r w:rsidRPr="00EA17CB">
              <w:rPr>
                <w:bCs/>
                <w:i/>
                <w:sz w:val="16"/>
                <w:szCs w:val="16"/>
              </w:rPr>
              <w:t>Osaka</w:t>
            </w:r>
          </w:p>
        </w:tc>
        <w:tc>
          <w:tcPr>
            <w:tcW w:w="1305" w:type="dxa"/>
            <w:tcBorders>
              <w:top w:val="nil"/>
              <w:left w:val="single" w:sz="4" w:space="0" w:color="auto"/>
              <w:bottom w:val="single" w:sz="4" w:space="0" w:color="auto"/>
              <w:right w:val="single" w:sz="4" w:space="0" w:color="auto"/>
            </w:tcBorders>
            <w:shd w:val="clear" w:color="auto" w:fill="auto"/>
            <w:hideMark/>
          </w:tcPr>
          <w:p w14:paraId="181D4E84" w14:textId="0E5B761E" w:rsidR="0041238C" w:rsidRPr="00EA17CB" w:rsidRDefault="00F00E02" w:rsidP="00EA17CB">
            <w:pPr>
              <w:tabs>
                <w:tab w:val="clear" w:pos="1247"/>
                <w:tab w:val="clear" w:pos="1814"/>
                <w:tab w:val="clear" w:pos="2381"/>
                <w:tab w:val="clear" w:pos="2948"/>
                <w:tab w:val="clear" w:pos="3515"/>
              </w:tabs>
              <w:jc w:val="right"/>
              <w:rPr>
                <w:bCs/>
                <w:i/>
                <w:sz w:val="16"/>
                <w:szCs w:val="16"/>
              </w:rPr>
            </w:pPr>
            <w:r>
              <w:rPr>
                <w:bCs/>
                <w:i/>
                <w:sz w:val="16"/>
                <w:szCs w:val="16"/>
              </w:rPr>
              <w:t>Vienne</w:t>
            </w:r>
          </w:p>
        </w:tc>
        <w:tc>
          <w:tcPr>
            <w:tcW w:w="1305" w:type="dxa"/>
            <w:tcBorders>
              <w:top w:val="nil"/>
              <w:left w:val="nil"/>
              <w:bottom w:val="single" w:sz="4" w:space="0" w:color="auto"/>
              <w:right w:val="single" w:sz="4" w:space="0" w:color="auto"/>
            </w:tcBorders>
            <w:shd w:val="clear" w:color="auto" w:fill="auto"/>
            <w:hideMark/>
          </w:tcPr>
          <w:p w14:paraId="3759CD75" w14:textId="1C7BBE11" w:rsidR="0041238C" w:rsidRPr="00EA17CB" w:rsidRDefault="0041238C" w:rsidP="00F00E02">
            <w:pPr>
              <w:tabs>
                <w:tab w:val="clear" w:pos="1247"/>
                <w:tab w:val="clear" w:pos="1814"/>
                <w:tab w:val="clear" w:pos="2381"/>
                <w:tab w:val="clear" w:pos="2948"/>
                <w:tab w:val="clear" w:pos="3515"/>
              </w:tabs>
              <w:jc w:val="right"/>
              <w:rPr>
                <w:bCs/>
                <w:i/>
                <w:sz w:val="16"/>
                <w:szCs w:val="16"/>
              </w:rPr>
            </w:pPr>
            <w:r w:rsidRPr="00EA17CB">
              <w:rPr>
                <w:bCs/>
                <w:i/>
                <w:sz w:val="16"/>
                <w:szCs w:val="16"/>
              </w:rPr>
              <w:t>Washington</w:t>
            </w:r>
          </w:p>
        </w:tc>
      </w:tr>
      <w:tr w:rsidR="00FF03E4" w:rsidRPr="007E304A" w14:paraId="2FF42DA1" w14:textId="77777777" w:rsidTr="001C0909">
        <w:trPr>
          <w:trHeight w:val="141"/>
          <w:jc w:val="right"/>
        </w:trPr>
        <w:tc>
          <w:tcPr>
            <w:tcW w:w="1173" w:type="dxa"/>
            <w:tcBorders>
              <w:top w:val="nil"/>
              <w:left w:val="single" w:sz="4" w:space="0" w:color="auto"/>
              <w:bottom w:val="single" w:sz="4" w:space="0" w:color="auto"/>
              <w:right w:val="single" w:sz="4" w:space="0" w:color="auto"/>
            </w:tcBorders>
            <w:shd w:val="clear" w:color="auto" w:fill="auto"/>
            <w:hideMark/>
          </w:tcPr>
          <w:p w14:paraId="2D76460A" w14:textId="6AA0801C" w:rsidR="0041238C" w:rsidRPr="00FF03E4" w:rsidRDefault="00FF03E4" w:rsidP="00FA75FA">
            <w:pPr>
              <w:keepNext/>
              <w:keepLines/>
              <w:tabs>
                <w:tab w:val="clear" w:pos="1247"/>
                <w:tab w:val="clear" w:pos="1814"/>
                <w:tab w:val="clear" w:pos="2381"/>
                <w:tab w:val="clear" w:pos="2948"/>
                <w:tab w:val="clear" w:pos="3515"/>
              </w:tabs>
              <w:rPr>
                <w:bCs/>
                <w:i/>
                <w:color w:val="000000"/>
                <w:sz w:val="16"/>
                <w:szCs w:val="16"/>
                <w:lang w:val="fr-CH"/>
              </w:rPr>
            </w:pPr>
            <w:r w:rsidRPr="00FF03E4">
              <w:rPr>
                <w:bCs/>
                <w:i/>
                <w:color w:val="000000"/>
                <w:sz w:val="16"/>
                <w:szCs w:val="16"/>
                <w:lang w:val="fr-CH"/>
              </w:rPr>
              <w:t xml:space="preserve">Coûts estimatifs de fonctionnement d’un </w:t>
            </w:r>
            <w:r w:rsidR="00FA75FA">
              <w:rPr>
                <w:bCs/>
                <w:i/>
                <w:color w:val="000000"/>
                <w:sz w:val="16"/>
                <w:szCs w:val="16"/>
                <w:lang w:val="fr-CH"/>
              </w:rPr>
              <w:t>secré</w:t>
            </w:r>
            <w:r w:rsidRPr="00FF03E4">
              <w:rPr>
                <w:bCs/>
                <w:i/>
                <w:color w:val="000000"/>
                <w:sz w:val="16"/>
                <w:szCs w:val="16"/>
                <w:lang w:val="fr-CH"/>
              </w:rPr>
              <w:t>tariat (</w:t>
            </w:r>
            <w:r w:rsidR="00FA75FA">
              <w:rPr>
                <w:bCs/>
                <w:i/>
                <w:color w:val="000000"/>
                <w:sz w:val="16"/>
                <w:szCs w:val="16"/>
                <w:lang w:val="fr-CH"/>
              </w:rPr>
              <w:t>y compris les dépenses liés aux locaux et aux services communs)</w:t>
            </w:r>
          </w:p>
        </w:tc>
        <w:tc>
          <w:tcPr>
            <w:tcW w:w="936" w:type="dxa"/>
            <w:tcBorders>
              <w:top w:val="nil"/>
              <w:left w:val="nil"/>
              <w:bottom w:val="single" w:sz="4" w:space="0" w:color="auto"/>
              <w:right w:val="single" w:sz="4" w:space="0" w:color="auto"/>
            </w:tcBorders>
            <w:shd w:val="clear" w:color="auto" w:fill="auto"/>
            <w:hideMark/>
          </w:tcPr>
          <w:p w14:paraId="2D69A801" w14:textId="77777777" w:rsidR="0041238C" w:rsidRPr="007E304A" w:rsidRDefault="0041238C"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1</w:t>
            </w:r>
          </w:p>
        </w:tc>
        <w:tc>
          <w:tcPr>
            <w:tcW w:w="1305" w:type="dxa"/>
            <w:tcBorders>
              <w:top w:val="nil"/>
              <w:left w:val="nil"/>
              <w:bottom w:val="single" w:sz="4" w:space="0" w:color="auto"/>
              <w:right w:val="single" w:sz="4" w:space="0" w:color="auto"/>
            </w:tcBorders>
            <w:shd w:val="clear" w:color="auto" w:fill="auto"/>
            <w:hideMark/>
          </w:tcPr>
          <w:p w14:paraId="495EF4F2" w14:textId="34AE4C13" w:rsidR="0041238C" w:rsidRPr="007E304A" w:rsidRDefault="008C7D1E" w:rsidP="00090E66">
            <w:pPr>
              <w:keepNext/>
              <w:keepLines/>
              <w:tabs>
                <w:tab w:val="clear" w:pos="1247"/>
                <w:tab w:val="clear" w:pos="1814"/>
                <w:tab w:val="clear" w:pos="2381"/>
                <w:tab w:val="clear" w:pos="2948"/>
                <w:tab w:val="clear" w:pos="3515"/>
              </w:tabs>
              <w:ind w:right="-56"/>
              <w:jc w:val="right"/>
              <w:rPr>
                <w:color w:val="000000"/>
                <w:sz w:val="16"/>
                <w:szCs w:val="16"/>
              </w:rPr>
            </w:pPr>
            <w:r>
              <w:rPr>
                <w:color w:val="000000"/>
                <w:sz w:val="16"/>
                <w:szCs w:val="16"/>
              </w:rPr>
              <w:t xml:space="preserve"> </w:t>
            </w:r>
            <w:r w:rsidR="0041238C" w:rsidRPr="007E304A">
              <w:rPr>
                <w:color w:val="000000"/>
                <w:sz w:val="16"/>
                <w:szCs w:val="16"/>
              </w:rPr>
              <w:t xml:space="preserve"> </w:t>
            </w:r>
            <w:r w:rsidR="002E6FF4" w:rsidRPr="007E304A">
              <w:rPr>
                <w:color w:val="000000"/>
                <w:sz w:val="16"/>
                <w:szCs w:val="16"/>
              </w:rPr>
              <w:t>20</w:t>
            </w:r>
            <w:r>
              <w:rPr>
                <w:color w:val="000000"/>
                <w:sz w:val="16"/>
                <w:szCs w:val="16"/>
              </w:rPr>
              <w:t>0</w:t>
            </w:r>
            <w:r w:rsidR="00430176">
              <w:rPr>
                <w:color w:val="000000"/>
                <w:sz w:val="16"/>
                <w:szCs w:val="16"/>
              </w:rPr>
              <w:t> </w:t>
            </w:r>
            <w:r w:rsidR="0041238C" w:rsidRPr="007E304A">
              <w:rPr>
                <w:color w:val="000000"/>
                <w:sz w:val="16"/>
                <w:szCs w:val="16"/>
              </w:rPr>
              <w:t>000</w:t>
            </w:r>
            <w:r>
              <w:rPr>
                <w:color w:val="000000"/>
                <w:sz w:val="16"/>
                <w:szCs w:val="16"/>
              </w:rPr>
              <w:t xml:space="preserve"> par an</w:t>
            </w:r>
          </w:p>
        </w:tc>
        <w:tc>
          <w:tcPr>
            <w:tcW w:w="1416" w:type="dxa"/>
            <w:tcBorders>
              <w:top w:val="nil"/>
              <w:left w:val="nil"/>
              <w:bottom w:val="single" w:sz="4" w:space="0" w:color="auto"/>
              <w:right w:val="single" w:sz="4" w:space="0" w:color="auto"/>
            </w:tcBorders>
            <w:shd w:val="clear" w:color="auto" w:fill="auto"/>
            <w:hideMark/>
          </w:tcPr>
          <w:p w14:paraId="5AE7C5CC" w14:textId="70A07CDA" w:rsidR="0041238C" w:rsidRPr="007E304A" w:rsidRDefault="008C7D1E" w:rsidP="00090E66">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20</w:t>
            </w:r>
            <w:r>
              <w:rPr>
                <w:color w:val="000000"/>
                <w:sz w:val="16"/>
                <w:szCs w:val="16"/>
              </w:rPr>
              <w:t>0</w:t>
            </w:r>
            <w:r w:rsidR="00430176">
              <w:rPr>
                <w:color w:val="000000"/>
                <w:sz w:val="16"/>
                <w:szCs w:val="16"/>
              </w:rPr>
              <w:t> </w:t>
            </w:r>
            <w:r w:rsidRPr="007E304A">
              <w:rPr>
                <w:color w:val="000000"/>
                <w:sz w:val="16"/>
                <w:szCs w:val="16"/>
              </w:rPr>
              <w:t>000</w:t>
            </w:r>
            <w:r>
              <w:rPr>
                <w:color w:val="000000"/>
                <w:sz w:val="16"/>
                <w:szCs w:val="16"/>
              </w:rPr>
              <w:t xml:space="preserve"> par an</w:t>
            </w:r>
          </w:p>
        </w:tc>
        <w:tc>
          <w:tcPr>
            <w:tcW w:w="1330" w:type="dxa"/>
            <w:tcBorders>
              <w:top w:val="nil"/>
              <w:left w:val="nil"/>
              <w:bottom w:val="single" w:sz="4" w:space="0" w:color="auto"/>
              <w:right w:val="single" w:sz="4" w:space="0" w:color="auto"/>
            </w:tcBorders>
            <w:shd w:val="clear" w:color="auto" w:fill="auto"/>
            <w:hideMark/>
          </w:tcPr>
          <w:p w14:paraId="089C13CE" w14:textId="67DCC6FD" w:rsidR="0041238C" w:rsidRPr="007E304A" w:rsidRDefault="00430176"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 xml:space="preserve"> </w:t>
            </w:r>
            <w:r w:rsidRPr="007E304A">
              <w:rPr>
                <w:color w:val="000000"/>
                <w:sz w:val="16"/>
                <w:szCs w:val="16"/>
              </w:rPr>
              <w:t xml:space="preserve"> 20</w:t>
            </w:r>
            <w:r>
              <w:rPr>
                <w:color w:val="000000"/>
                <w:sz w:val="16"/>
                <w:szCs w:val="16"/>
              </w:rPr>
              <w:t>0 </w:t>
            </w:r>
            <w:r w:rsidRPr="007E304A">
              <w:rPr>
                <w:color w:val="000000"/>
                <w:sz w:val="16"/>
                <w:szCs w:val="16"/>
              </w:rPr>
              <w:t>000</w:t>
            </w:r>
            <w:r>
              <w:rPr>
                <w:color w:val="000000"/>
                <w:sz w:val="16"/>
                <w:szCs w:val="16"/>
              </w:rPr>
              <w:t xml:space="preserve"> par an</w:t>
            </w:r>
          </w:p>
        </w:tc>
        <w:tc>
          <w:tcPr>
            <w:tcW w:w="1305" w:type="dxa"/>
            <w:tcBorders>
              <w:top w:val="nil"/>
              <w:left w:val="nil"/>
              <w:bottom w:val="single" w:sz="4" w:space="0" w:color="auto"/>
              <w:right w:val="nil"/>
            </w:tcBorders>
            <w:shd w:val="clear" w:color="auto" w:fill="auto"/>
            <w:hideMark/>
          </w:tcPr>
          <w:p w14:paraId="66B08081" w14:textId="6FE2F36A" w:rsidR="0041238C" w:rsidRPr="007E304A" w:rsidRDefault="00430176" w:rsidP="00090E66">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20</w:t>
            </w:r>
            <w:r>
              <w:rPr>
                <w:color w:val="000000"/>
                <w:sz w:val="16"/>
                <w:szCs w:val="16"/>
              </w:rPr>
              <w:t>0</w:t>
            </w:r>
            <w:r w:rsidR="00622C4E">
              <w:rPr>
                <w:color w:val="000000"/>
                <w:sz w:val="16"/>
                <w:szCs w:val="16"/>
              </w:rPr>
              <w:t> </w:t>
            </w:r>
            <w:r w:rsidRPr="007E304A">
              <w:rPr>
                <w:color w:val="000000"/>
                <w:sz w:val="16"/>
                <w:szCs w:val="16"/>
              </w:rPr>
              <w:t>000</w:t>
            </w:r>
            <w:r>
              <w:rPr>
                <w:color w:val="000000"/>
                <w:sz w:val="16"/>
                <w:szCs w:val="16"/>
              </w:rPr>
              <w:t xml:space="preserve"> par an</w:t>
            </w:r>
          </w:p>
        </w:tc>
        <w:tc>
          <w:tcPr>
            <w:tcW w:w="1305" w:type="dxa"/>
            <w:tcBorders>
              <w:top w:val="nil"/>
              <w:left w:val="single" w:sz="4" w:space="0" w:color="auto"/>
              <w:bottom w:val="single" w:sz="4" w:space="0" w:color="auto"/>
              <w:right w:val="single" w:sz="4" w:space="0" w:color="auto"/>
            </w:tcBorders>
            <w:shd w:val="clear" w:color="auto" w:fill="auto"/>
            <w:hideMark/>
          </w:tcPr>
          <w:p w14:paraId="1C3EB752" w14:textId="75620BA0" w:rsidR="0041238C" w:rsidRPr="007E304A" w:rsidRDefault="00A20E38"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25</w:t>
            </w:r>
            <w:r w:rsidR="00430176">
              <w:rPr>
                <w:color w:val="000000"/>
                <w:sz w:val="16"/>
                <w:szCs w:val="16"/>
              </w:rPr>
              <w:t>0</w:t>
            </w:r>
            <w:r w:rsidR="00622C4E">
              <w:rPr>
                <w:color w:val="000000"/>
                <w:sz w:val="16"/>
                <w:szCs w:val="16"/>
              </w:rPr>
              <w:t> </w:t>
            </w:r>
            <w:r w:rsidR="00430176" w:rsidRPr="007E304A">
              <w:rPr>
                <w:color w:val="000000"/>
                <w:sz w:val="16"/>
                <w:szCs w:val="16"/>
              </w:rPr>
              <w:t>000</w:t>
            </w:r>
            <w:r w:rsidR="00430176">
              <w:rPr>
                <w:color w:val="000000"/>
                <w:sz w:val="16"/>
                <w:szCs w:val="16"/>
              </w:rPr>
              <w:t xml:space="preserve"> par an</w:t>
            </w:r>
          </w:p>
        </w:tc>
        <w:tc>
          <w:tcPr>
            <w:tcW w:w="1305" w:type="dxa"/>
            <w:tcBorders>
              <w:top w:val="nil"/>
              <w:left w:val="nil"/>
              <w:bottom w:val="single" w:sz="4" w:space="0" w:color="auto"/>
              <w:right w:val="single" w:sz="4" w:space="0" w:color="auto"/>
            </w:tcBorders>
            <w:shd w:val="clear" w:color="auto" w:fill="auto"/>
            <w:hideMark/>
          </w:tcPr>
          <w:p w14:paraId="2D0B9231" w14:textId="4BC06721" w:rsidR="0041238C" w:rsidRPr="007E304A" w:rsidRDefault="00430176"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450</w:t>
            </w:r>
            <w:r w:rsidR="00622C4E">
              <w:rPr>
                <w:color w:val="000000"/>
                <w:sz w:val="16"/>
                <w:szCs w:val="16"/>
              </w:rPr>
              <w:t> </w:t>
            </w:r>
            <w:r w:rsidRPr="007E304A">
              <w:rPr>
                <w:color w:val="000000"/>
                <w:sz w:val="16"/>
                <w:szCs w:val="16"/>
              </w:rPr>
              <w:t>000</w:t>
            </w:r>
            <w:r>
              <w:rPr>
                <w:color w:val="000000"/>
                <w:sz w:val="16"/>
                <w:szCs w:val="16"/>
              </w:rPr>
              <w:t xml:space="preserve"> par an</w:t>
            </w:r>
          </w:p>
        </w:tc>
      </w:tr>
      <w:tr w:rsidR="00FF03E4" w:rsidRPr="007E304A" w14:paraId="01B27994" w14:textId="77777777" w:rsidTr="001C0909">
        <w:trPr>
          <w:trHeight w:val="312"/>
          <w:jc w:val="right"/>
        </w:trPr>
        <w:tc>
          <w:tcPr>
            <w:tcW w:w="1173" w:type="dxa"/>
            <w:tcBorders>
              <w:top w:val="nil"/>
              <w:left w:val="single" w:sz="4" w:space="0" w:color="auto"/>
              <w:bottom w:val="single" w:sz="4" w:space="0" w:color="auto"/>
              <w:right w:val="single" w:sz="4" w:space="0" w:color="auto"/>
            </w:tcBorders>
            <w:shd w:val="clear" w:color="auto" w:fill="auto"/>
            <w:hideMark/>
          </w:tcPr>
          <w:p w14:paraId="45874C6F" w14:textId="6B0F3F76" w:rsidR="0041238C" w:rsidRPr="00233D6E" w:rsidRDefault="00233D6E" w:rsidP="00233D6E">
            <w:pPr>
              <w:keepNext/>
              <w:keepLines/>
              <w:tabs>
                <w:tab w:val="clear" w:pos="1247"/>
                <w:tab w:val="clear" w:pos="1814"/>
                <w:tab w:val="clear" w:pos="2381"/>
                <w:tab w:val="clear" w:pos="2948"/>
                <w:tab w:val="clear" w:pos="3515"/>
              </w:tabs>
              <w:rPr>
                <w:bCs/>
                <w:i/>
                <w:color w:val="000000"/>
                <w:sz w:val="16"/>
                <w:szCs w:val="16"/>
                <w:lang w:val="fr-CH"/>
              </w:rPr>
            </w:pPr>
            <w:r w:rsidRPr="00233D6E">
              <w:rPr>
                <w:bCs/>
                <w:i/>
                <w:color w:val="000000"/>
                <w:sz w:val="16"/>
                <w:szCs w:val="16"/>
                <w:lang w:val="fr-CH"/>
              </w:rPr>
              <w:t xml:space="preserve">Coûts estimatifs d’organisation des </w:t>
            </w:r>
            <w:r>
              <w:rPr>
                <w:bCs/>
                <w:i/>
                <w:color w:val="000000"/>
                <w:sz w:val="16"/>
                <w:szCs w:val="16"/>
                <w:lang w:val="fr-CH"/>
              </w:rPr>
              <w:t>ré</w:t>
            </w:r>
            <w:r w:rsidRPr="00233D6E">
              <w:rPr>
                <w:bCs/>
                <w:i/>
                <w:color w:val="000000"/>
                <w:sz w:val="16"/>
                <w:szCs w:val="16"/>
                <w:lang w:val="fr-CH"/>
              </w:rPr>
              <w:t>unio</w:t>
            </w:r>
            <w:r w:rsidR="00A20E38">
              <w:rPr>
                <w:bCs/>
                <w:i/>
                <w:color w:val="000000"/>
                <w:sz w:val="16"/>
                <w:szCs w:val="16"/>
                <w:lang w:val="fr-CH"/>
              </w:rPr>
              <w:t>ns de la Conférence des Parties</w:t>
            </w:r>
          </w:p>
        </w:tc>
        <w:tc>
          <w:tcPr>
            <w:tcW w:w="936" w:type="dxa"/>
            <w:tcBorders>
              <w:top w:val="nil"/>
              <w:left w:val="nil"/>
              <w:bottom w:val="single" w:sz="4" w:space="0" w:color="auto"/>
              <w:right w:val="single" w:sz="4" w:space="0" w:color="auto"/>
            </w:tcBorders>
            <w:shd w:val="clear" w:color="auto" w:fill="auto"/>
            <w:hideMark/>
          </w:tcPr>
          <w:p w14:paraId="728C1B15" w14:textId="77777777" w:rsidR="0041238C" w:rsidRPr="007E304A" w:rsidRDefault="0041238C"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2</w:t>
            </w:r>
          </w:p>
        </w:tc>
        <w:tc>
          <w:tcPr>
            <w:tcW w:w="1305" w:type="dxa"/>
            <w:tcBorders>
              <w:top w:val="nil"/>
              <w:left w:val="nil"/>
              <w:bottom w:val="single" w:sz="4" w:space="0" w:color="auto"/>
              <w:right w:val="single" w:sz="4" w:space="0" w:color="auto"/>
            </w:tcBorders>
            <w:shd w:val="clear" w:color="auto" w:fill="auto"/>
            <w:hideMark/>
          </w:tcPr>
          <w:p w14:paraId="03F7EFE4" w14:textId="0CDEC414" w:rsidR="0041238C" w:rsidRPr="007E304A" w:rsidRDefault="00430176"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820</w:t>
            </w:r>
            <w:r w:rsidR="00622C4E">
              <w:rPr>
                <w:color w:val="000000"/>
                <w:sz w:val="16"/>
                <w:szCs w:val="16"/>
              </w:rPr>
              <w:t> </w:t>
            </w:r>
            <w:r>
              <w:rPr>
                <w:color w:val="000000"/>
                <w:sz w:val="16"/>
                <w:szCs w:val="16"/>
              </w:rPr>
              <w:t>000 par réunion</w:t>
            </w:r>
          </w:p>
        </w:tc>
        <w:tc>
          <w:tcPr>
            <w:tcW w:w="1416" w:type="dxa"/>
            <w:tcBorders>
              <w:top w:val="nil"/>
              <w:left w:val="nil"/>
              <w:bottom w:val="single" w:sz="4" w:space="0" w:color="auto"/>
              <w:right w:val="single" w:sz="4" w:space="0" w:color="auto"/>
            </w:tcBorders>
            <w:shd w:val="clear" w:color="auto" w:fill="auto"/>
            <w:hideMark/>
          </w:tcPr>
          <w:p w14:paraId="59BAA9A9" w14:textId="6494EF3B" w:rsidR="0041238C" w:rsidRPr="007E304A" w:rsidRDefault="00622C4E"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1 300 000 par réunion</w:t>
            </w:r>
          </w:p>
        </w:tc>
        <w:tc>
          <w:tcPr>
            <w:tcW w:w="1330" w:type="dxa"/>
            <w:tcBorders>
              <w:top w:val="nil"/>
              <w:left w:val="nil"/>
              <w:bottom w:val="single" w:sz="4" w:space="0" w:color="auto"/>
              <w:right w:val="single" w:sz="4" w:space="0" w:color="auto"/>
            </w:tcBorders>
            <w:shd w:val="clear" w:color="auto" w:fill="auto"/>
            <w:hideMark/>
          </w:tcPr>
          <w:p w14:paraId="690B9C32" w14:textId="7A85516C" w:rsidR="0041238C" w:rsidRPr="007E304A" w:rsidRDefault="00622C4E"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620 000 par réunion</w:t>
            </w:r>
          </w:p>
        </w:tc>
        <w:tc>
          <w:tcPr>
            <w:tcW w:w="1305" w:type="dxa"/>
            <w:tcBorders>
              <w:top w:val="nil"/>
              <w:left w:val="nil"/>
              <w:bottom w:val="single" w:sz="4" w:space="0" w:color="auto"/>
              <w:right w:val="single" w:sz="4" w:space="0" w:color="auto"/>
            </w:tcBorders>
            <w:shd w:val="clear" w:color="auto" w:fill="auto"/>
            <w:hideMark/>
          </w:tcPr>
          <w:p w14:paraId="7D742844" w14:textId="58D9A9F4" w:rsidR="0041238C" w:rsidRPr="007E304A" w:rsidRDefault="00622C4E"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840 000 par réunion</w:t>
            </w:r>
          </w:p>
        </w:tc>
        <w:tc>
          <w:tcPr>
            <w:tcW w:w="1305" w:type="dxa"/>
            <w:tcBorders>
              <w:top w:val="nil"/>
              <w:left w:val="nil"/>
              <w:bottom w:val="single" w:sz="4" w:space="0" w:color="auto"/>
              <w:right w:val="single" w:sz="4" w:space="0" w:color="auto"/>
            </w:tcBorders>
            <w:shd w:val="clear" w:color="auto" w:fill="auto"/>
            <w:hideMark/>
          </w:tcPr>
          <w:p w14:paraId="6C39AD70" w14:textId="02206351" w:rsidR="0041238C" w:rsidRPr="007E304A" w:rsidRDefault="00622C4E"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870 000 par réunion</w:t>
            </w:r>
          </w:p>
        </w:tc>
        <w:tc>
          <w:tcPr>
            <w:tcW w:w="1305" w:type="dxa"/>
            <w:tcBorders>
              <w:top w:val="nil"/>
              <w:left w:val="nil"/>
              <w:bottom w:val="single" w:sz="4" w:space="0" w:color="auto"/>
              <w:right w:val="single" w:sz="4" w:space="0" w:color="auto"/>
            </w:tcBorders>
            <w:shd w:val="clear" w:color="auto" w:fill="auto"/>
            <w:hideMark/>
          </w:tcPr>
          <w:p w14:paraId="7BBFA1E3" w14:textId="41F1A3FF" w:rsidR="0041238C" w:rsidRPr="007E304A" w:rsidRDefault="00622C4E"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980 000 par réunion</w:t>
            </w:r>
          </w:p>
        </w:tc>
      </w:tr>
      <w:tr w:rsidR="00FF03E4" w:rsidRPr="007E304A" w14:paraId="76633F0A" w14:textId="77777777" w:rsidTr="001C0909">
        <w:trPr>
          <w:trHeight w:val="184"/>
          <w:jc w:val="right"/>
        </w:trPr>
        <w:tc>
          <w:tcPr>
            <w:tcW w:w="1173" w:type="dxa"/>
            <w:tcBorders>
              <w:top w:val="nil"/>
              <w:left w:val="single" w:sz="4" w:space="0" w:color="auto"/>
              <w:bottom w:val="single" w:sz="4" w:space="0" w:color="auto"/>
              <w:right w:val="single" w:sz="4" w:space="0" w:color="auto"/>
            </w:tcBorders>
            <w:shd w:val="clear" w:color="auto" w:fill="auto"/>
            <w:hideMark/>
          </w:tcPr>
          <w:p w14:paraId="1F311E7B" w14:textId="08AB195D" w:rsidR="001F1FA1" w:rsidRPr="001F1FA1" w:rsidRDefault="00F500FE" w:rsidP="00090E66">
            <w:pPr>
              <w:keepNext/>
              <w:keepLines/>
              <w:tabs>
                <w:tab w:val="clear" w:pos="1247"/>
                <w:tab w:val="clear" w:pos="1814"/>
                <w:tab w:val="clear" w:pos="2381"/>
                <w:tab w:val="clear" w:pos="2948"/>
                <w:tab w:val="clear" w:pos="3515"/>
              </w:tabs>
              <w:rPr>
                <w:bCs/>
                <w:i/>
                <w:color w:val="000000"/>
                <w:sz w:val="16"/>
                <w:szCs w:val="16"/>
                <w:lang w:val="fr-CH"/>
              </w:rPr>
            </w:pPr>
            <w:r>
              <w:rPr>
                <w:bCs/>
                <w:i/>
                <w:color w:val="000000"/>
                <w:sz w:val="16"/>
                <w:szCs w:val="16"/>
                <w:lang w:val="fr-CH"/>
              </w:rPr>
              <w:t>Frais de voyage pour les</w:t>
            </w:r>
            <w:r w:rsidR="001F1FA1" w:rsidRPr="001F1FA1">
              <w:rPr>
                <w:bCs/>
                <w:i/>
                <w:color w:val="000000"/>
                <w:sz w:val="16"/>
                <w:szCs w:val="16"/>
                <w:lang w:val="fr-CH"/>
              </w:rPr>
              <w:t xml:space="preserve"> délégués bénéfician</w:t>
            </w:r>
            <w:r w:rsidR="00A20E38">
              <w:rPr>
                <w:bCs/>
                <w:i/>
                <w:color w:val="000000"/>
                <w:sz w:val="16"/>
                <w:szCs w:val="16"/>
                <w:lang w:val="fr-CH"/>
              </w:rPr>
              <w:t>t d’un financement qui participe</w:t>
            </w:r>
            <w:r w:rsidR="001F1FA1" w:rsidRPr="001F1FA1">
              <w:rPr>
                <w:bCs/>
                <w:i/>
                <w:color w:val="000000"/>
                <w:sz w:val="16"/>
                <w:szCs w:val="16"/>
                <w:lang w:val="fr-CH"/>
              </w:rPr>
              <w:t xml:space="preserve">nt à la </w:t>
            </w:r>
            <w:r w:rsidR="001F1FA1">
              <w:rPr>
                <w:bCs/>
                <w:i/>
                <w:color w:val="000000"/>
                <w:sz w:val="16"/>
                <w:szCs w:val="16"/>
                <w:lang w:val="fr-CH"/>
              </w:rPr>
              <w:t>ré</w:t>
            </w:r>
            <w:r w:rsidR="001F1FA1" w:rsidRPr="001F1FA1">
              <w:rPr>
                <w:bCs/>
                <w:i/>
                <w:color w:val="000000"/>
                <w:sz w:val="16"/>
                <w:szCs w:val="16"/>
                <w:lang w:val="fr-CH"/>
              </w:rPr>
              <w:t>union de la Conférence des Parties</w:t>
            </w:r>
          </w:p>
          <w:p w14:paraId="36EEDCD6" w14:textId="247E4035" w:rsidR="0041238C" w:rsidRPr="001F1FA1" w:rsidRDefault="0041238C" w:rsidP="00090E66">
            <w:pPr>
              <w:keepNext/>
              <w:keepLines/>
              <w:tabs>
                <w:tab w:val="clear" w:pos="1247"/>
                <w:tab w:val="clear" w:pos="1814"/>
                <w:tab w:val="clear" w:pos="2381"/>
                <w:tab w:val="clear" w:pos="2948"/>
                <w:tab w:val="clear" w:pos="3515"/>
              </w:tabs>
              <w:rPr>
                <w:bCs/>
                <w:i/>
                <w:color w:val="000000"/>
                <w:sz w:val="16"/>
                <w:szCs w:val="16"/>
                <w:lang w:val="fr-CH"/>
              </w:rPr>
            </w:pPr>
          </w:p>
        </w:tc>
        <w:tc>
          <w:tcPr>
            <w:tcW w:w="936" w:type="dxa"/>
            <w:tcBorders>
              <w:top w:val="nil"/>
              <w:left w:val="nil"/>
              <w:bottom w:val="single" w:sz="4" w:space="0" w:color="auto"/>
              <w:right w:val="single" w:sz="4" w:space="0" w:color="auto"/>
            </w:tcBorders>
            <w:shd w:val="clear" w:color="auto" w:fill="auto"/>
            <w:hideMark/>
          </w:tcPr>
          <w:p w14:paraId="049ACED2" w14:textId="1AB99206" w:rsidR="0041238C" w:rsidRPr="007E304A" w:rsidRDefault="004B6984"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3</w:t>
            </w:r>
          </w:p>
        </w:tc>
        <w:tc>
          <w:tcPr>
            <w:tcW w:w="1305" w:type="dxa"/>
            <w:tcBorders>
              <w:top w:val="nil"/>
              <w:left w:val="nil"/>
              <w:bottom w:val="single" w:sz="4" w:space="0" w:color="auto"/>
              <w:right w:val="single" w:sz="4" w:space="0" w:color="auto"/>
            </w:tcBorders>
            <w:shd w:val="clear" w:color="auto" w:fill="auto"/>
            <w:hideMark/>
          </w:tcPr>
          <w:p w14:paraId="41FD06EF" w14:textId="55CA838B"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470 000 par réunion</w:t>
            </w:r>
          </w:p>
        </w:tc>
        <w:tc>
          <w:tcPr>
            <w:tcW w:w="1416" w:type="dxa"/>
            <w:tcBorders>
              <w:top w:val="nil"/>
              <w:left w:val="nil"/>
              <w:bottom w:val="single" w:sz="4" w:space="0" w:color="auto"/>
              <w:right w:val="single" w:sz="4" w:space="0" w:color="auto"/>
            </w:tcBorders>
            <w:shd w:val="clear" w:color="auto" w:fill="auto"/>
            <w:hideMark/>
          </w:tcPr>
          <w:p w14:paraId="22FFE4F4" w14:textId="21215950"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850 000 par réunion</w:t>
            </w:r>
          </w:p>
        </w:tc>
        <w:tc>
          <w:tcPr>
            <w:tcW w:w="1330" w:type="dxa"/>
            <w:tcBorders>
              <w:top w:val="nil"/>
              <w:left w:val="nil"/>
              <w:bottom w:val="single" w:sz="4" w:space="0" w:color="auto"/>
              <w:right w:val="single" w:sz="4" w:space="0" w:color="auto"/>
            </w:tcBorders>
            <w:shd w:val="clear" w:color="auto" w:fill="auto"/>
            <w:hideMark/>
          </w:tcPr>
          <w:p w14:paraId="4DFF2E38" w14:textId="2FFA4CFF"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630 000 par réunion</w:t>
            </w:r>
          </w:p>
        </w:tc>
        <w:tc>
          <w:tcPr>
            <w:tcW w:w="1305" w:type="dxa"/>
            <w:tcBorders>
              <w:top w:val="nil"/>
              <w:left w:val="nil"/>
              <w:bottom w:val="single" w:sz="4" w:space="0" w:color="auto"/>
              <w:right w:val="single" w:sz="4" w:space="0" w:color="auto"/>
            </w:tcBorders>
            <w:shd w:val="clear" w:color="auto" w:fill="auto"/>
            <w:hideMark/>
          </w:tcPr>
          <w:p w14:paraId="519D026B" w14:textId="3B73DE73"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470 000 par réunion</w:t>
            </w:r>
          </w:p>
        </w:tc>
        <w:tc>
          <w:tcPr>
            <w:tcW w:w="1305" w:type="dxa"/>
            <w:tcBorders>
              <w:top w:val="nil"/>
              <w:left w:val="nil"/>
              <w:bottom w:val="single" w:sz="4" w:space="0" w:color="auto"/>
              <w:right w:val="single" w:sz="4" w:space="0" w:color="auto"/>
            </w:tcBorders>
            <w:shd w:val="clear" w:color="auto" w:fill="auto"/>
            <w:hideMark/>
          </w:tcPr>
          <w:p w14:paraId="0F72A82D" w14:textId="2D742EA7"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670 000 par réunion</w:t>
            </w:r>
          </w:p>
        </w:tc>
        <w:tc>
          <w:tcPr>
            <w:tcW w:w="1305" w:type="dxa"/>
            <w:tcBorders>
              <w:top w:val="nil"/>
              <w:left w:val="nil"/>
              <w:bottom w:val="single" w:sz="4" w:space="0" w:color="auto"/>
              <w:right w:val="single" w:sz="4" w:space="0" w:color="auto"/>
            </w:tcBorders>
            <w:shd w:val="clear" w:color="auto" w:fill="auto"/>
            <w:hideMark/>
          </w:tcPr>
          <w:p w14:paraId="3CAA9001" w14:textId="0A5A0983"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rPr>
              <w:t>850 000 par réunion</w:t>
            </w:r>
          </w:p>
        </w:tc>
      </w:tr>
      <w:tr w:rsidR="00FF03E4" w:rsidRPr="007E304A" w14:paraId="58E9221F" w14:textId="77777777" w:rsidTr="001C0909">
        <w:trPr>
          <w:trHeight w:val="472"/>
          <w:jc w:val="right"/>
        </w:trPr>
        <w:tc>
          <w:tcPr>
            <w:tcW w:w="1173" w:type="dxa"/>
            <w:tcBorders>
              <w:top w:val="nil"/>
              <w:left w:val="single" w:sz="4" w:space="0" w:color="auto"/>
              <w:bottom w:val="single" w:sz="4" w:space="0" w:color="auto"/>
              <w:right w:val="single" w:sz="4" w:space="0" w:color="auto"/>
            </w:tcBorders>
            <w:shd w:val="clear" w:color="auto" w:fill="auto"/>
            <w:hideMark/>
          </w:tcPr>
          <w:p w14:paraId="58766A2D" w14:textId="5E80727A" w:rsidR="0041238C" w:rsidRPr="00FF4912" w:rsidRDefault="00FF4912" w:rsidP="00F500FE">
            <w:pPr>
              <w:keepNext/>
              <w:keepLines/>
              <w:tabs>
                <w:tab w:val="clear" w:pos="1247"/>
                <w:tab w:val="clear" w:pos="1814"/>
                <w:tab w:val="clear" w:pos="2381"/>
                <w:tab w:val="clear" w:pos="2948"/>
                <w:tab w:val="clear" w:pos="3515"/>
              </w:tabs>
              <w:rPr>
                <w:bCs/>
                <w:i/>
                <w:color w:val="000000"/>
                <w:sz w:val="16"/>
                <w:szCs w:val="16"/>
                <w:lang w:val="fr-CH"/>
              </w:rPr>
            </w:pPr>
            <w:r w:rsidRPr="00FF4912">
              <w:rPr>
                <w:bCs/>
                <w:i/>
                <w:color w:val="000000"/>
                <w:sz w:val="16"/>
                <w:szCs w:val="16"/>
                <w:lang w:val="fr-CH"/>
              </w:rPr>
              <w:t xml:space="preserve">Frais estimatifs de voyage </w:t>
            </w:r>
            <w:r w:rsidR="00F500FE">
              <w:rPr>
                <w:bCs/>
                <w:i/>
                <w:color w:val="000000"/>
                <w:sz w:val="16"/>
                <w:szCs w:val="16"/>
                <w:lang w:val="fr-CH"/>
              </w:rPr>
              <w:t>pour le</w:t>
            </w:r>
            <w:r w:rsidRPr="00FF4912">
              <w:rPr>
                <w:bCs/>
                <w:i/>
                <w:color w:val="000000"/>
                <w:sz w:val="16"/>
                <w:szCs w:val="16"/>
                <w:lang w:val="fr-CH"/>
              </w:rPr>
              <w:t xml:space="preserve"> personnel du </w:t>
            </w:r>
            <w:r>
              <w:rPr>
                <w:bCs/>
                <w:i/>
                <w:color w:val="000000"/>
                <w:sz w:val="16"/>
                <w:szCs w:val="16"/>
                <w:lang w:val="fr-CH"/>
              </w:rPr>
              <w:t>secré</w:t>
            </w:r>
            <w:r w:rsidRPr="00FF4912">
              <w:rPr>
                <w:bCs/>
                <w:i/>
                <w:color w:val="000000"/>
                <w:sz w:val="16"/>
                <w:szCs w:val="16"/>
                <w:lang w:val="fr-CH"/>
              </w:rPr>
              <w:t xml:space="preserve">tariat participant à des </w:t>
            </w:r>
            <w:r>
              <w:rPr>
                <w:bCs/>
                <w:i/>
                <w:color w:val="000000"/>
                <w:sz w:val="16"/>
                <w:szCs w:val="16"/>
                <w:lang w:val="fr-CH"/>
              </w:rPr>
              <w:t>ré</w:t>
            </w:r>
            <w:r w:rsidRPr="00FF4912">
              <w:rPr>
                <w:bCs/>
                <w:i/>
                <w:color w:val="000000"/>
                <w:sz w:val="16"/>
                <w:szCs w:val="16"/>
                <w:lang w:val="fr-CH"/>
              </w:rPr>
              <w:t>unions sur les produits chimiques et les déchets à Genève</w:t>
            </w:r>
          </w:p>
        </w:tc>
        <w:tc>
          <w:tcPr>
            <w:tcW w:w="936" w:type="dxa"/>
            <w:tcBorders>
              <w:top w:val="nil"/>
              <w:left w:val="nil"/>
              <w:bottom w:val="single" w:sz="4" w:space="0" w:color="auto"/>
              <w:right w:val="single" w:sz="4" w:space="0" w:color="auto"/>
            </w:tcBorders>
            <w:shd w:val="clear" w:color="auto" w:fill="auto"/>
            <w:hideMark/>
          </w:tcPr>
          <w:p w14:paraId="51D430D0" w14:textId="60A2FAAC" w:rsidR="0041238C" w:rsidRPr="007E304A" w:rsidRDefault="004B6984" w:rsidP="00090E66">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4</w:t>
            </w:r>
          </w:p>
        </w:tc>
        <w:tc>
          <w:tcPr>
            <w:tcW w:w="1305" w:type="dxa"/>
            <w:tcBorders>
              <w:top w:val="nil"/>
              <w:left w:val="nil"/>
              <w:bottom w:val="single" w:sz="4" w:space="0" w:color="auto"/>
              <w:right w:val="single" w:sz="4" w:space="0" w:color="auto"/>
            </w:tcBorders>
            <w:shd w:val="clear" w:color="auto" w:fill="auto"/>
            <w:hideMark/>
          </w:tcPr>
          <w:p w14:paraId="54618E0D" w14:textId="40EC445F" w:rsidR="0041238C" w:rsidRPr="001330D5" w:rsidRDefault="001330D5" w:rsidP="001330D5">
            <w:pPr>
              <w:keepNext/>
              <w:keepLines/>
              <w:tabs>
                <w:tab w:val="clear" w:pos="1247"/>
                <w:tab w:val="clear" w:pos="1814"/>
                <w:tab w:val="clear" w:pos="2381"/>
                <w:tab w:val="clear" w:pos="2948"/>
                <w:tab w:val="clear" w:pos="3515"/>
              </w:tabs>
              <w:jc w:val="right"/>
              <w:rPr>
                <w:color w:val="000000"/>
                <w:sz w:val="16"/>
                <w:szCs w:val="16"/>
                <w:lang w:val="fr-CH"/>
              </w:rPr>
            </w:pPr>
            <w:r w:rsidRPr="001330D5">
              <w:rPr>
                <w:color w:val="000000"/>
                <w:sz w:val="16"/>
                <w:szCs w:val="16"/>
                <w:lang w:val="fr-CH"/>
              </w:rPr>
              <w:t>40 000 par exercice biennal</w:t>
            </w:r>
          </w:p>
        </w:tc>
        <w:tc>
          <w:tcPr>
            <w:tcW w:w="1416" w:type="dxa"/>
            <w:tcBorders>
              <w:top w:val="nil"/>
              <w:left w:val="nil"/>
              <w:bottom w:val="single" w:sz="4" w:space="0" w:color="auto"/>
              <w:right w:val="single" w:sz="4" w:space="0" w:color="auto"/>
            </w:tcBorders>
            <w:shd w:val="clear" w:color="auto" w:fill="auto"/>
            <w:hideMark/>
          </w:tcPr>
          <w:p w14:paraId="3D93778B" w14:textId="77777777" w:rsidR="0041238C" w:rsidRPr="007E304A" w:rsidRDefault="0041238C" w:rsidP="00090E66">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0</w:t>
            </w:r>
          </w:p>
        </w:tc>
        <w:tc>
          <w:tcPr>
            <w:tcW w:w="1330" w:type="dxa"/>
            <w:tcBorders>
              <w:top w:val="nil"/>
              <w:left w:val="nil"/>
              <w:bottom w:val="single" w:sz="4" w:space="0" w:color="auto"/>
              <w:right w:val="single" w:sz="4" w:space="0" w:color="auto"/>
            </w:tcBorders>
            <w:shd w:val="clear" w:color="auto" w:fill="auto"/>
            <w:hideMark/>
          </w:tcPr>
          <w:p w14:paraId="5D5DDBC6" w14:textId="0835A7C6"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lang w:val="fr-CH"/>
              </w:rPr>
              <w:t>36</w:t>
            </w:r>
            <w:r w:rsidRPr="001330D5">
              <w:rPr>
                <w:color w:val="000000"/>
                <w:sz w:val="16"/>
                <w:szCs w:val="16"/>
                <w:lang w:val="fr-CH"/>
              </w:rPr>
              <w:t> 000 par exercice biennal</w:t>
            </w:r>
          </w:p>
        </w:tc>
        <w:tc>
          <w:tcPr>
            <w:tcW w:w="1305" w:type="dxa"/>
            <w:tcBorders>
              <w:top w:val="nil"/>
              <w:left w:val="nil"/>
              <w:bottom w:val="single" w:sz="4" w:space="0" w:color="auto"/>
              <w:right w:val="nil"/>
            </w:tcBorders>
            <w:shd w:val="clear" w:color="auto" w:fill="auto"/>
            <w:hideMark/>
          </w:tcPr>
          <w:p w14:paraId="74C51152" w14:textId="3351C8F6"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lang w:val="fr-CH"/>
              </w:rPr>
              <w:t>45</w:t>
            </w:r>
            <w:r w:rsidRPr="001330D5">
              <w:rPr>
                <w:color w:val="000000"/>
                <w:sz w:val="16"/>
                <w:szCs w:val="16"/>
                <w:lang w:val="fr-CH"/>
              </w:rPr>
              <w:t> 000 par exercice biennal</w:t>
            </w:r>
          </w:p>
        </w:tc>
        <w:tc>
          <w:tcPr>
            <w:tcW w:w="1305" w:type="dxa"/>
            <w:tcBorders>
              <w:top w:val="nil"/>
              <w:left w:val="single" w:sz="4" w:space="0" w:color="auto"/>
              <w:bottom w:val="single" w:sz="4" w:space="0" w:color="auto"/>
              <w:right w:val="single" w:sz="4" w:space="0" w:color="auto"/>
            </w:tcBorders>
            <w:shd w:val="clear" w:color="auto" w:fill="auto"/>
            <w:hideMark/>
          </w:tcPr>
          <w:p w14:paraId="47366130" w14:textId="638501B1" w:rsidR="0041238C" w:rsidRPr="007E304A" w:rsidRDefault="001330D5"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lang w:val="fr-CH"/>
              </w:rPr>
              <w:t>2</w:t>
            </w:r>
            <w:r w:rsidRPr="001330D5">
              <w:rPr>
                <w:color w:val="000000"/>
                <w:sz w:val="16"/>
                <w:szCs w:val="16"/>
                <w:lang w:val="fr-CH"/>
              </w:rPr>
              <w:t>0 000 par exercice biennal</w:t>
            </w:r>
          </w:p>
        </w:tc>
        <w:tc>
          <w:tcPr>
            <w:tcW w:w="1305" w:type="dxa"/>
            <w:tcBorders>
              <w:top w:val="nil"/>
              <w:left w:val="nil"/>
              <w:bottom w:val="single" w:sz="4" w:space="0" w:color="auto"/>
              <w:right w:val="single" w:sz="4" w:space="0" w:color="auto"/>
            </w:tcBorders>
            <w:shd w:val="clear" w:color="auto" w:fill="auto"/>
            <w:hideMark/>
          </w:tcPr>
          <w:p w14:paraId="0C3B4595" w14:textId="4EDDF755" w:rsidR="0041238C" w:rsidRPr="007E304A" w:rsidRDefault="00FF03E4" w:rsidP="00090E66">
            <w:pPr>
              <w:keepNext/>
              <w:keepLines/>
              <w:tabs>
                <w:tab w:val="clear" w:pos="1247"/>
                <w:tab w:val="clear" w:pos="1814"/>
                <w:tab w:val="clear" w:pos="2381"/>
                <w:tab w:val="clear" w:pos="2948"/>
                <w:tab w:val="clear" w:pos="3515"/>
              </w:tabs>
              <w:jc w:val="right"/>
              <w:rPr>
                <w:color w:val="000000"/>
                <w:sz w:val="16"/>
                <w:szCs w:val="16"/>
              </w:rPr>
            </w:pPr>
            <w:r>
              <w:rPr>
                <w:color w:val="000000"/>
                <w:sz w:val="16"/>
                <w:szCs w:val="16"/>
                <w:lang w:val="fr-CH"/>
              </w:rPr>
              <w:t>4</w:t>
            </w:r>
            <w:r w:rsidR="001330D5" w:rsidRPr="001330D5">
              <w:rPr>
                <w:color w:val="000000"/>
                <w:sz w:val="16"/>
                <w:szCs w:val="16"/>
                <w:lang w:val="fr-CH"/>
              </w:rPr>
              <w:t>0 000 par exercice biennal</w:t>
            </w:r>
          </w:p>
        </w:tc>
      </w:tr>
      <w:tr w:rsidR="00FF03E4" w:rsidRPr="007E304A" w14:paraId="21210D04" w14:textId="77777777" w:rsidTr="00A94344">
        <w:trPr>
          <w:trHeight w:val="312"/>
          <w:jc w:val="right"/>
        </w:trPr>
        <w:tc>
          <w:tcPr>
            <w:tcW w:w="1173" w:type="dxa"/>
            <w:tcBorders>
              <w:top w:val="nil"/>
              <w:left w:val="single" w:sz="4" w:space="0" w:color="auto"/>
              <w:bottom w:val="single" w:sz="4" w:space="0" w:color="auto"/>
              <w:right w:val="single" w:sz="4" w:space="0" w:color="auto"/>
            </w:tcBorders>
            <w:shd w:val="clear" w:color="auto" w:fill="auto"/>
            <w:hideMark/>
          </w:tcPr>
          <w:p w14:paraId="02CED38F" w14:textId="21E1D999" w:rsidR="0041238C" w:rsidRPr="006432A8" w:rsidRDefault="002E5C04" w:rsidP="006432A8">
            <w:pPr>
              <w:keepNext/>
              <w:keepLines/>
              <w:tabs>
                <w:tab w:val="clear" w:pos="1247"/>
                <w:tab w:val="clear" w:pos="1814"/>
                <w:tab w:val="clear" w:pos="2381"/>
                <w:tab w:val="clear" w:pos="2948"/>
                <w:tab w:val="clear" w:pos="3515"/>
              </w:tabs>
              <w:ind w:firstLineChars="100" w:firstLine="160"/>
              <w:rPr>
                <w:i/>
                <w:color w:val="000000"/>
                <w:sz w:val="16"/>
                <w:szCs w:val="16"/>
              </w:rPr>
            </w:pPr>
            <w:r>
              <w:rPr>
                <w:i/>
                <w:color w:val="000000"/>
                <w:sz w:val="16"/>
                <w:szCs w:val="16"/>
              </w:rPr>
              <w:t>Remarque</w:t>
            </w:r>
            <w:r w:rsidR="0041238C" w:rsidRPr="006432A8">
              <w:rPr>
                <w:i/>
                <w:color w:val="000000"/>
                <w:sz w:val="16"/>
                <w:szCs w:val="16"/>
              </w:rPr>
              <w:t>s</w:t>
            </w:r>
          </w:p>
        </w:tc>
        <w:tc>
          <w:tcPr>
            <w:tcW w:w="936" w:type="dxa"/>
            <w:tcBorders>
              <w:top w:val="nil"/>
              <w:left w:val="nil"/>
              <w:bottom w:val="single" w:sz="4" w:space="0" w:color="auto"/>
              <w:right w:val="single" w:sz="4" w:space="0" w:color="auto"/>
            </w:tcBorders>
            <w:shd w:val="clear" w:color="auto" w:fill="auto"/>
            <w:hideMark/>
          </w:tcPr>
          <w:p w14:paraId="5396D5B0" w14:textId="77777777" w:rsidR="0041238C" w:rsidRPr="007E304A" w:rsidRDefault="0041238C" w:rsidP="00BE71F1">
            <w:pPr>
              <w:keepNext/>
              <w:keepLines/>
              <w:tabs>
                <w:tab w:val="clear" w:pos="1247"/>
                <w:tab w:val="clear" w:pos="1814"/>
                <w:tab w:val="clear" w:pos="2381"/>
                <w:tab w:val="clear" w:pos="2948"/>
                <w:tab w:val="clear" w:pos="3515"/>
              </w:tabs>
              <w:jc w:val="center"/>
              <w:rPr>
                <w:color w:val="000000"/>
                <w:sz w:val="16"/>
                <w:szCs w:val="16"/>
              </w:rPr>
            </w:pPr>
            <w:r w:rsidRPr="007E304A">
              <w:rPr>
                <w:color w:val="000000"/>
                <w:sz w:val="16"/>
                <w:szCs w:val="16"/>
              </w:rPr>
              <w:t> </w:t>
            </w:r>
          </w:p>
        </w:tc>
        <w:tc>
          <w:tcPr>
            <w:tcW w:w="1305" w:type="dxa"/>
            <w:tcBorders>
              <w:top w:val="nil"/>
              <w:left w:val="nil"/>
              <w:bottom w:val="single" w:sz="4" w:space="0" w:color="auto"/>
              <w:right w:val="single" w:sz="4" w:space="0" w:color="auto"/>
            </w:tcBorders>
            <w:shd w:val="clear" w:color="auto" w:fill="auto"/>
            <w:vAlign w:val="bottom"/>
            <w:hideMark/>
          </w:tcPr>
          <w:p w14:paraId="5C909861"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14:paraId="3232B11B"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30" w:type="dxa"/>
            <w:tcBorders>
              <w:top w:val="nil"/>
              <w:left w:val="nil"/>
              <w:bottom w:val="single" w:sz="4" w:space="0" w:color="auto"/>
              <w:right w:val="single" w:sz="4" w:space="0" w:color="auto"/>
            </w:tcBorders>
            <w:shd w:val="clear" w:color="auto" w:fill="auto"/>
            <w:vAlign w:val="bottom"/>
            <w:hideMark/>
          </w:tcPr>
          <w:p w14:paraId="5DC139EA"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05" w:type="dxa"/>
            <w:tcBorders>
              <w:top w:val="nil"/>
              <w:left w:val="nil"/>
              <w:bottom w:val="single" w:sz="4" w:space="0" w:color="auto"/>
              <w:right w:val="single" w:sz="4" w:space="0" w:color="auto"/>
            </w:tcBorders>
            <w:shd w:val="clear" w:color="auto" w:fill="auto"/>
            <w:vAlign w:val="bottom"/>
            <w:hideMark/>
          </w:tcPr>
          <w:p w14:paraId="58D7AF6E"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5, 6</w:t>
            </w:r>
          </w:p>
        </w:tc>
        <w:tc>
          <w:tcPr>
            <w:tcW w:w="1305" w:type="dxa"/>
            <w:tcBorders>
              <w:top w:val="nil"/>
              <w:left w:val="nil"/>
              <w:bottom w:val="single" w:sz="4" w:space="0" w:color="auto"/>
              <w:right w:val="single" w:sz="4" w:space="0" w:color="auto"/>
            </w:tcBorders>
            <w:shd w:val="clear" w:color="auto" w:fill="auto"/>
            <w:vAlign w:val="bottom"/>
            <w:hideMark/>
          </w:tcPr>
          <w:p w14:paraId="6571FE9A"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 </w:t>
            </w:r>
          </w:p>
        </w:tc>
        <w:tc>
          <w:tcPr>
            <w:tcW w:w="1305" w:type="dxa"/>
            <w:tcBorders>
              <w:top w:val="nil"/>
              <w:left w:val="nil"/>
              <w:bottom w:val="single" w:sz="4" w:space="0" w:color="auto"/>
              <w:right w:val="single" w:sz="4" w:space="0" w:color="auto"/>
            </w:tcBorders>
            <w:shd w:val="clear" w:color="auto" w:fill="auto"/>
            <w:vAlign w:val="bottom"/>
            <w:hideMark/>
          </w:tcPr>
          <w:p w14:paraId="61414C82" w14:textId="77777777" w:rsidR="0041238C" w:rsidRPr="007E304A" w:rsidRDefault="0041238C" w:rsidP="00BE71F1">
            <w:pPr>
              <w:keepNext/>
              <w:keepLines/>
              <w:tabs>
                <w:tab w:val="clear" w:pos="1247"/>
                <w:tab w:val="clear" w:pos="1814"/>
                <w:tab w:val="clear" w:pos="2381"/>
                <w:tab w:val="clear" w:pos="2948"/>
                <w:tab w:val="clear" w:pos="3515"/>
              </w:tabs>
              <w:jc w:val="right"/>
              <w:rPr>
                <w:color w:val="000000"/>
                <w:sz w:val="16"/>
                <w:szCs w:val="16"/>
              </w:rPr>
            </w:pPr>
            <w:r w:rsidRPr="007E304A">
              <w:rPr>
                <w:color w:val="000000"/>
                <w:sz w:val="16"/>
                <w:szCs w:val="16"/>
              </w:rPr>
              <w:t>5</w:t>
            </w:r>
          </w:p>
        </w:tc>
      </w:tr>
    </w:tbl>
    <w:p w14:paraId="246252B2" w14:textId="2C34FE78" w:rsidR="00B358F2" w:rsidRPr="007E304A" w:rsidRDefault="002E5C04" w:rsidP="00BE71F1">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rPr>
      </w:pPr>
      <w:r w:rsidRPr="00420CE3">
        <w:rPr>
          <w:sz w:val="18"/>
          <w:szCs w:val="18"/>
        </w:rPr>
        <w:t>Remarque</w:t>
      </w:r>
      <w:r w:rsidR="00B358F2" w:rsidRPr="00420CE3">
        <w:rPr>
          <w:sz w:val="18"/>
          <w:szCs w:val="18"/>
        </w:rPr>
        <w:t>s</w:t>
      </w:r>
      <w:r w:rsidRPr="00420CE3">
        <w:rPr>
          <w:sz w:val="18"/>
          <w:szCs w:val="18"/>
        </w:rPr>
        <w:t> </w:t>
      </w:r>
      <w:r w:rsidR="00B358F2" w:rsidRPr="00420CE3">
        <w:rPr>
          <w:sz w:val="18"/>
          <w:szCs w:val="18"/>
        </w:rPr>
        <w:t>:</w:t>
      </w:r>
    </w:p>
    <w:p w14:paraId="36A044BC" w14:textId="6EB69462" w:rsidR="002B5058" w:rsidRDefault="00696701" w:rsidP="00BE71F1">
      <w:pPr>
        <w:pStyle w:val="Normal-pool"/>
        <w:keepNext/>
        <w:keepLines/>
        <w:tabs>
          <w:tab w:val="clear" w:pos="1247"/>
          <w:tab w:val="clear" w:pos="1814"/>
          <w:tab w:val="clear" w:pos="2381"/>
          <w:tab w:val="clear" w:pos="2948"/>
          <w:tab w:val="clear" w:pos="3515"/>
          <w:tab w:val="clear" w:pos="4082"/>
          <w:tab w:val="left" w:pos="624"/>
        </w:tabs>
        <w:spacing w:after="40"/>
        <w:ind w:left="1247"/>
        <w:rPr>
          <w:sz w:val="18"/>
          <w:szCs w:val="18"/>
          <w:lang w:val="fr-CH"/>
        </w:rPr>
      </w:pPr>
      <w:r>
        <w:rPr>
          <w:sz w:val="18"/>
          <w:szCs w:val="18"/>
          <w:lang w:val="fr-CH"/>
        </w:rPr>
        <w:t>1.</w:t>
      </w:r>
      <w:r w:rsidR="006D523F" w:rsidRPr="002B5058">
        <w:rPr>
          <w:sz w:val="18"/>
          <w:szCs w:val="18"/>
          <w:lang w:val="fr-CH"/>
        </w:rPr>
        <w:tab/>
      </w:r>
      <w:r w:rsidR="002B5058" w:rsidRPr="002B5058">
        <w:rPr>
          <w:sz w:val="18"/>
          <w:szCs w:val="18"/>
          <w:lang w:val="fr-CH"/>
        </w:rPr>
        <w:t>Selon le lieu d’implantation, le</w:t>
      </w:r>
      <w:r w:rsidR="002B5058">
        <w:rPr>
          <w:sz w:val="18"/>
          <w:szCs w:val="18"/>
          <w:lang w:val="fr-CH"/>
        </w:rPr>
        <w:t>s coûts liés aux locaux et aux services communs pou</w:t>
      </w:r>
      <w:r w:rsidR="00E71848">
        <w:rPr>
          <w:sz w:val="18"/>
          <w:szCs w:val="18"/>
          <w:lang w:val="fr-CH"/>
        </w:rPr>
        <w:t>rraient comprendre le loyer, l’utilisation des bureaux</w:t>
      </w:r>
      <w:r w:rsidR="002B5058">
        <w:rPr>
          <w:sz w:val="18"/>
          <w:szCs w:val="18"/>
          <w:lang w:val="fr-CH"/>
        </w:rPr>
        <w:t xml:space="preserve"> </w:t>
      </w:r>
      <w:r w:rsidR="0015431B">
        <w:rPr>
          <w:sz w:val="18"/>
          <w:szCs w:val="18"/>
          <w:lang w:val="fr-CH"/>
        </w:rPr>
        <w:t xml:space="preserve">et les frais de maintenance, </w:t>
      </w:r>
      <w:r w:rsidR="0042379C">
        <w:rPr>
          <w:sz w:val="18"/>
          <w:szCs w:val="18"/>
          <w:lang w:val="fr-CH"/>
        </w:rPr>
        <w:t xml:space="preserve">les frais liés à la sécurité, </w:t>
      </w:r>
      <w:r w:rsidR="00BC1812">
        <w:rPr>
          <w:sz w:val="18"/>
          <w:szCs w:val="18"/>
          <w:lang w:val="fr-CH"/>
        </w:rPr>
        <w:t xml:space="preserve">la fourniture intégrale des </w:t>
      </w:r>
      <w:r w:rsidR="0042379C">
        <w:rPr>
          <w:sz w:val="18"/>
          <w:szCs w:val="18"/>
          <w:lang w:val="fr-CH"/>
        </w:rPr>
        <w:t xml:space="preserve">bureaux, </w:t>
      </w:r>
      <w:r w:rsidR="00BC1812">
        <w:rPr>
          <w:sz w:val="18"/>
          <w:szCs w:val="18"/>
          <w:lang w:val="fr-CH"/>
        </w:rPr>
        <w:t xml:space="preserve">les </w:t>
      </w:r>
      <w:r w:rsidR="00F60FCD">
        <w:rPr>
          <w:sz w:val="18"/>
          <w:szCs w:val="18"/>
          <w:lang w:val="fr-CH"/>
        </w:rPr>
        <w:t>charges</w:t>
      </w:r>
      <w:r w:rsidR="0042379C">
        <w:rPr>
          <w:sz w:val="18"/>
          <w:szCs w:val="18"/>
          <w:lang w:val="fr-CH"/>
        </w:rPr>
        <w:t xml:space="preserve"> commun</w:t>
      </w:r>
      <w:r w:rsidR="00F60FCD">
        <w:rPr>
          <w:sz w:val="18"/>
          <w:szCs w:val="18"/>
          <w:lang w:val="fr-CH"/>
        </w:rPr>
        <w:t>e</w:t>
      </w:r>
      <w:r w:rsidR="00BC1812">
        <w:rPr>
          <w:sz w:val="18"/>
          <w:szCs w:val="18"/>
          <w:lang w:val="fr-CH"/>
        </w:rPr>
        <w:t>s et les a</w:t>
      </w:r>
      <w:r w:rsidR="0042379C">
        <w:rPr>
          <w:sz w:val="18"/>
          <w:szCs w:val="18"/>
          <w:lang w:val="fr-CH"/>
        </w:rPr>
        <w:t>utres charges connexes</w:t>
      </w:r>
      <w:r w:rsidR="00F60FCD">
        <w:rPr>
          <w:sz w:val="18"/>
          <w:szCs w:val="18"/>
          <w:lang w:val="fr-CH"/>
        </w:rPr>
        <w:t xml:space="preserve"> visant à </w:t>
      </w:r>
      <w:r w:rsidR="00A20E38">
        <w:rPr>
          <w:sz w:val="18"/>
          <w:szCs w:val="18"/>
          <w:lang w:val="fr-CH"/>
        </w:rPr>
        <w:t>garantir</w:t>
      </w:r>
      <w:r w:rsidR="00F60FCD">
        <w:rPr>
          <w:sz w:val="18"/>
          <w:szCs w:val="18"/>
          <w:lang w:val="fr-CH"/>
        </w:rPr>
        <w:t xml:space="preserve"> </w:t>
      </w:r>
      <w:r w:rsidR="00A20E38">
        <w:rPr>
          <w:sz w:val="18"/>
          <w:szCs w:val="18"/>
          <w:lang w:val="fr-CH"/>
        </w:rPr>
        <w:t>le bon fonctionnement du bureau du secrétariat</w:t>
      </w:r>
      <w:r w:rsidR="00BC1812">
        <w:rPr>
          <w:sz w:val="18"/>
          <w:szCs w:val="18"/>
          <w:lang w:val="fr-CH"/>
        </w:rPr>
        <w:t>.</w:t>
      </w:r>
    </w:p>
    <w:p w14:paraId="1FC1AA6C" w14:textId="687E548D" w:rsidR="00BC1812" w:rsidRPr="00F47DBE" w:rsidRDefault="00696701" w:rsidP="00696701">
      <w:pPr>
        <w:pStyle w:val="Normal-pool"/>
        <w:keepNext/>
        <w:keepLines/>
        <w:tabs>
          <w:tab w:val="clear" w:pos="1247"/>
          <w:tab w:val="clear" w:pos="1814"/>
          <w:tab w:val="clear" w:pos="2381"/>
          <w:tab w:val="clear" w:pos="2948"/>
          <w:tab w:val="clear" w:pos="3515"/>
          <w:tab w:val="clear" w:pos="4082"/>
          <w:tab w:val="left" w:pos="624"/>
        </w:tabs>
        <w:spacing w:after="120"/>
        <w:ind w:left="1253"/>
        <w:rPr>
          <w:sz w:val="18"/>
          <w:szCs w:val="18"/>
          <w:lang w:val="fr-CH"/>
        </w:rPr>
      </w:pPr>
      <w:r>
        <w:rPr>
          <w:sz w:val="18"/>
          <w:szCs w:val="18"/>
          <w:lang w:val="fr-CH"/>
        </w:rPr>
        <w:t>2</w:t>
      </w:r>
      <w:r w:rsidR="006D523F" w:rsidRPr="00F47DBE">
        <w:rPr>
          <w:sz w:val="18"/>
          <w:szCs w:val="18"/>
          <w:lang w:val="fr-CH"/>
        </w:rPr>
        <w:tab/>
      </w:r>
      <w:r w:rsidR="00F47DBE" w:rsidRPr="00F47DBE">
        <w:rPr>
          <w:sz w:val="18"/>
          <w:szCs w:val="18"/>
          <w:lang w:val="fr-CH"/>
        </w:rPr>
        <w:t>Les coûts estimatifs</w:t>
      </w:r>
      <w:r w:rsidR="00256F77">
        <w:rPr>
          <w:sz w:val="18"/>
          <w:szCs w:val="18"/>
          <w:lang w:val="fr-CH"/>
        </w:rPr>
        <w:t xml:space="preserve"> d’organisation </w:t>
      </w:r>
      <w:r w:rsidR="00F47DBE" w:rsidRPr="00F47DBE">
        <w:rPr>
          <w:sz w:val="18"/>
          <w:szCs w:val="18"/>
          <w:lang w:val="fr-CH"/>
        </w:rPr>
        <w:t xml:space="preserve">des </w:t>
      </w:r>
      <w:r w:rsidR="00F47DBE">
        <w:rPr>
          <w:sz w:val="18"/>
          <w:szCs w:val="18"/>
          <w:lang w:val="fr-CH"/>
        </w:rPr>
        <w:t>ré</w:t>
      </w:r>
      <w:r w:rsidR="00F47DBE" w:rsidRPr="00F47DBE">
        <w:rPr>
          <w:sz w:val="18"/>
          <w:szCs w:val="18"/>
          <w:lang w:val="fr-CH"/>
        </w:rPr>
        <w:t xml:space="preserve">unions de la Conférence des Parties font </w:t>
      </w:r>
      <w:r w:rsidR="00F47DBE">
        <w:rPr>
          <w:sz w:val="18"/>
          <w:szCs w:val="18"/>
          <w:lang w:val="fr-CH"/>
        </w:rPr>
        <w:t>réfé</w:t>
      </w:r>
      <w:r w:rsidR="00F47DBE" w:rsidRPr="00F47DBE">
        <w:rPr>
          <w:sz w:val="18"/>
          <w:szCs w:val="18"/>
          <w:lang w:val="fr-CH"/>
        </w:rPr>
        <w:t>rence aux co</w:t>
      </w:r>
      <w:r w:rsidR="00F47DBE">
        <w:rPr>
          <w:sz w:val="18"/>
          <w:szCs w:val="18"/>
          <w:lang w:val="fr-CH"/>
        </w:rPr>
        <w:t xml:space="preserve">ûts dans les lieux d’implantation spécifiques et peuvent comprendre </w:t>
      </w:r>
      <w:r w:rsidR="008400FC">
        <w:rPr>
          <w:sz w:val="18"/>
          <w:szCs w:val="18"/>
          <w:lang w:val="fr-CH"/>
        </w:rPr>
        <w:t>les coûts liés à la location de</w:t>
      </w:r>
      <w:r w:rsidR="00F47DBE">
        <w:rPr>
          <w:sz w:val="18"/>
          <w:szCs w:val="18"/>
          <w:lang w:val="fr-CH"/>
        </w:rPr>
        <w:t xml:space="preserve"> locaux, les co</w:t>
      </w:r>
      <w:r w:rsidR="00FB551D">
        <w:rPr>
          <w:sz w:val="18"/>
          <w:szCs w:val="18"/>
          <w:lang w:val="fr-CH"/>
        </w:rPr>
        <w:t>ûts autres que la location, les coûts liés à la séc</w:t>
      </w:r>
      <w:r w:rsidR="00A20E38">
        <w:rPr>
          <w:sz w:val="18"/>
          <w:szCs w:val="18"/>
          <w:lang w:val="fr-CH"/>
        </w:rPr>
        <w:t>urité</w:t>
      </w:r>
      <w:r w:rsidR="00A96324">
        <w:rPr>
          <w:sz w:val="18"/>
          <w:szCs w:val="18"/>
          <w:lang w:val="fr-CH"/>
        </w:rPr>
        <w:t>, les charges du bureau des</w:t>
      </w:r>
      <w:r w:rsidR="00FB551D">
        <w:rPr>
          <w:sz w:val="18"/>
          <w:szCs w:val="18"/>
          <w:lang w:val="fr-CH"/>
        </w:rPr>
        <w:t xml:space="preserve"> Nations Unies et les charges des services de conférence. </w:t>
      </w:r>
      <w:r w:rsidR="00A96324">
        <w:rPr>
          <w:sz w:val="18"/>
          <w:szCs w:val="18"/>
          <w:lang w:val="fr-CH"/>
        </w:rPr>
        <w:t>Pour Osaka et Washington, les estimations incluent également les frais de voyage du secrétariat à Bangkok et à Montréal, qui seraient les lieux de réunions retenus. Les coûts des réunions excluent le</w:t>
      </w:r>
      <w:r w:rsidR="00256F77">
        <w:rPr>
          <w:sz w:val="18"/>
          <w:szCs w:val="18"/>
          <w:lang w:val="fr-CH"/>
        </w:rPr>
        <w:t>s frais de</w:t>
      </w:r>
      <w:r w:rsidR="00A96324">
        <w:rPr>
          <w:sz w:val="18"/>
          <w:szCs w:val="18"/>
          <w:lang w:val="fr-CH"/>
        </w:rPr>
        <w:t xml:space="preserve"> voyage </w:t>
      </w:r>
      <w:r w:rsidR="00B55202">
        <w:rPr>
          <w:sz w:val="18"/>
          <w:szCs w:val="18"/>
          <w:lang w:val="fr-CH"/>
        </w:rPr>
        <w:t xml:space="preserve">vers le lieu où la réunion est organisée </w:t>
      </w:r>
      <w:r w:rsidR="008400FC">
        <w:rPr>
          <w:sz w:val="18"/>
          <w:szCs w:val="18"/>
          <w:lang w:val="fr-CH"/>
        </w:rPr>
        <w:t>pour l</w:t>
      </w:r>
      <w:r w:rsidR="00A96324">
        <w:rPr>
          <w:sz w:val="18"/>
          <w:szCs w:val="18"/>
          <w:lang w:val="fr-CH"/>
        </w:rPr>
        <w:t>es délégués bénéficiant d’un fi</w:t>
      </w:r>
      <w:r w:rsidR="00256F77">
        <w:rPr>
          <w:sz w:val="18"/>
          <w:szCs w:val="18"/>
          <w:lang w:val="fr-CH"/>
        </w:rPr>
        <w:t>nancement.</w:t>
      </w:r>
    </w:p>
    <w:p w14:paraId="3249B70A" w14:textId="008131AD" w:rsidR="00256F77" w:rsidRPr="00256F77" w:rsidRDefault="00696701" w:rsidP="00696701">
      <w:pPr>
        <w:pStyle w:val="Normal-pool"/>
        <w:keepNext/>
        <w:keepLines/>
        <w:tabs>
          <w:tab w:val="clear" w:pos="1247"/>
          <w:tab w:val="clear" w:pos="1814"/>
          <w:tab w:val="clear" w:pos="2381"/>
          <w:tab w:val="clear" w:pos="2948"/>
          <w:tab w:val="clear" w:pos="3515"/>
          <w:tab w:val="clear" w:pos="4082"/>
          <w:tab w:val="left" w:pos="624"/>
        </w:tabs>
        <w:spacing w:after="120"/>
        <w:ind w:left="1253"/>
        <w:rPr>
          <w:sz w:val="18"/>
          <w:szCs w:val="18"/>
          <w:lang w:val="fr-CH"/>
        </w:rPr>
      </w:pPr>
      <w:r>
        <w:rPr>
          <w:sz w:val="18"/>
          <w:szCs w:val="18"/>
          <w:lang w:val="fr-CH"/>
        </w:rPr>
        <w:t>3.</w:t>
      </w:r>
      <w:r w:rsidR="006D523F" w:rsidRPr="00256F77">
        <w:rPr>
          <w:sz w:val="18"/>
          <w:szCs w:val="18"/>
          <w:lang w:val="fr-CH"/>
        </w:rPr>
        <w:tab/>
      </w:r>
      <w:r w:rsidR="00256F77" w:rsidRPr="00256F77">
        <w:rPr>
          <w:sz w:val="18"/>
          <w:szCs w:val="18"/>
          <w:lang w:val="fr-CH"/>
        </w:rPr>
        <w:t>Cette estimation es</w:t>
      </w:r>
      <w:r w:rsidR="00347D8C">
        <w:rPr>
          <w:sz w:val="18"/>
          <w:szCs w:val="18"/>
          <w:lang w:val="fr-CH"/>
        </w:rPr>
        <w:t xml:space="preserve">t calculée sur la base des indemnités journalières de subsistance des lieux d’implantation, d’une estimation des frais d’avion vers le lieu d’implantation et des </w:t>
      </w:r>
      <w:r w:rsidR="007524FD">
        <w:rPr>
          <w:sz w:val="18"/>
          <w:szCs w:val="18"/>
          <w:lang w:val="fr-CH"/>
        </w:rPr>
        <w:t>faux frais au départ et à l’arrivée</w:t>
      </w:r>
      <w:r w:rsidR="004F5F96">
        <w:rPr>
          <w:sz w:val="18"/>
          <w:szCs w:val="18"/>
          <w:lang w:val="fr-CH"/>
        </w:rPr>
        <w:t xml:space="preserve"> en vertu du Règlement financier et R</w:t>
      </w:r>
      <w:r w:rsidR="007524FD">
        <w:rPr>
          <w:sz w:val="18"/>
          <w:szCs w:val="18"/>
          <w:lang w:val="fr-CH"/>
        </w:rPr>
        <w:t>ègles</w:t>
      </w:r>
      <w:r w:rsidR="004F5F96">
        <w:rPr>
          <w:sz w:val="18"/>
          <w:szCs w:val="18"/>
          <w:lang w:val="fr-CH"/>
        </w:rPr>
        <w:t xml:space="preserve"> de gestion financière de l’ONU.</w:t>
      </w:r>
    </w:p>
    <w:p w14:paraId="08577E68" w14:textId="4D3692BF" w:rsidR="004F5F96" w:rsidRPr="00951220" w:rsidRDefault="00696701" w:rsidP="00696701">
      <w:pPr>
        <w:pStyle w:val="Normal-pool"/>
        <w:tabs>
          <w:tab w:val="clear" w:pos="1247"/>
          <w:tab w:val="clear" w:pos="1814"/>
          <w:tab w:val="clear" w:pos="2381"/>
          <w:tab w:val="clear" w:pos="2948"/>
          <w:tab w:val="clear" w:pos="3515"/>
          <w:tab w:val="clear" w:pos="4082"/>
          <w:tab w:val="left" w:pos="624"/>
        </w:tabs>
        <w:spacing w:after="120"/>
        <w:ind w:left="1253"/>
        <w:rPr>
          <w:sz w:val="18"/>
          <w:szCs w:val="18"/>
          <w:lang w:val="fr-CH"/>
        </w:rPr>
      </w:pPr>
      <w:r>
        <w:rPr>
          <w:sz w:val="18"/>
          <w:szCs w:val="18"/>
          <w:lang w:val="fr-CH"/>
        </w:rPr>
        <w:t>4.</w:t>
      </w:r>
      <w:r w:rsidR="006D523F" w:rsidRPr="004F5F96">
        <w:rPr>
          <w:sz w:val="18"/>
          <w:szCs w:val="18"/>
          <w:lang w:val="fr-CH"/>
        </w:rPr>
        <w:tab/>
      </w:r>
      <w:r w:rsidR="004F5F96" w:rsidRPr="004F5F96">
        <w:rPr>
          <w:sz w:val="18"/>
          <w:szCs w:val="18"/>
          <w:lang w:val="fr-CH"/>
        </w:rPr>
        <w:t>Ce mo</w:t>
      </w:r>
      <w:r w:rsidR="00AC4B79">
        <w:rPr>
          <w:sz w:val="18"/>
          <w:szCs w:val="18"/>
          <w:lang w:val="fr-CH"/>
        </w:rPr>
        <w:t>ntant doit s’ajouter au 200 000 </w:t>
      </w:r>
      <w:r w:rsidR="004F5F96" w:rsidRPr="004F5F96">
        <w:rPr>
          <w:sz w:val="18"/>
          <w:szCs w:val="18"/>
          <w:lang w:val="fr-CH"/>
        </w:rPr>
        <w:t xml:space="preserve">dollars </w:t>
      </w:r>
      <w:r w:rsidR="00F7362D">
        <w:rPr>
          <w:sz w:val="18"/>
          <w:szCs w:val="18"/>
          <w:lang w:val="fr-CH"/>
        </w:rPr>
        <w:t>du</w:t>
      </w:r>
      <w:r w:rsidR="004F5F96" w:rsidRPr="004F5F96">
        <w:rPr>
          <w:sz w:val="18"/>
          <w:szCs w:val="18"/>
          <w:lang w:val="fr-CH"/>
        </w:rPr>
        <w:t xml:space="preserve"> programme de travail et budget pour les voyages du personnel. </w:t>
      </w:r>
      <w:r w:rsidR="00645A71">
        <w:rPr>
          <w:sz w:val="18"/>
          <w:szCs w:val="18"/>
          <w:lang w:val="fr-CH"/>
        </w:rPr>
        <w:t xml:space="preserve">Il couvre </w:t>
      </w:r>
      <w:r w:rsidR="00951220">
        <w:rPr>
          <w:sz w:val="18"/>
          <w:szCs w:val="18"/>
          <w:lang w:val="fr-CH"/>
        </w:rPr>
        <w:t xml:space="preserve">les frais </w:t>
      </w:r>
      <w:r w:rsidR="00B55202">
        <w:rPr>
          <w:sz w:val="18"/>
          <w:szCs w:val="18"/>
          <w:lang w:val="fr-CH"/>
        </w:rPr>
        <w:t xml:space="preserve">estimatifs </w:t>
      </w:r>
      <w:r w:rsidR="00951220">
        <w:rPr>
          <w:sz w:val="18"/>
          <w:szCs w:val="18"/>
          <w:lang w:val="fr-CH"/>
        </w:rPr>
        <w:t>de voyage liés à la participation du</w:t>
      </w:r>
      <w:r w:rsidR="00645A71">
        <w:rPr>
          <w:sz w:val="18"/>
          <w:szCs w:val="18"/>
          <w:lang w:val="fr-CH"/>
        </w:rPr>
        <w:t xml:space="preserve"> personnel du secrétariat à une réunion des conférences des Parties aux conventions de Bâle</w:t>
      </w:r>
      <w:r w:rsidR="00FF18A9">
        <w:rPr>
          <w:sz w:val="18"/>
          <w:szCs w:val="18"/>
          <w:lang w:val="fr-CH"/>
        </w:rPr>
        <w:t xml:space="preserve">, de Rotterdam et de Stockholm et </w:t>
      </w:r>
      <w:r w:rsidR="00CE7C51">
        <w:rPr>
          <w:sz w:val="18"/>
          <w:szCs w:val="18"/>
          <w:lang w:val="fr-CH"/>
        </w:rPr>
        <w:t>de l’Assemblée mondiale de la santé de</w:t>
      </w:r>
      <w:r w:rsidR="00AC4B79">
        <w:rPr>
          <w:sz w:val="18"/>
          <w:szCs w:val="18"/>
          <w:lang w:val="fr-CH"/>
        </w:rPr>
        <w:t xml:space="preserve"> l’Organisation mondiale de la S</w:t>
      </w:r>
      <w:r w:rsidR="00CE7C51">
        <w:rPr>
          <w:sz w:val="18"/>
          <w:szCs w:val="18"/>
          <w:lang w:val="fr-CH"/>
        </w:rPr>
        <w:t xml:space="preserve">anté et à </w:t>
      </w:r>
      <w:r w:rsidR="00AC4B79">
        <w:rPr>
          <w:sz w:val="18"/>
          <w:szCs w:val="18"/>
          <w:lang w:val="fr-CH"/>
        </w:rPr>
        <w:t>deux réunions liées</w:t>
      </w:r>
      <w:r w:rsidR="00CE7C51">
        <w:rPr>
          <w:sz w:val="18"/>
          <w:szCs w:val="18"/>
          <w:lang w:val="fr-CH"/>
        </w:rPr>
        <w:t xml:space="preserve"> au</w:t>
      </w:r>
      <w:r w:rsidR="00951220" w:rsidRPr="00951220">
        <w:rPr>
          <w:lang w:val="fr-CH"/>
        </w:rPr>
        <w:t xml:space="preserve"> </w:t>
      </w:r>
      <w:r w:rsidR="00951220" w:rsidRPr="00951220">
        <w:rPr>
          <w:sz w:val="18"/>
          <w:szCs w:val="18"/>
          <w:lang w:val="fr-CH"/>
        </w:rPr>
        <w:t>Programme interorganisations pour la gestion rationnelle des produits chimiques</w:t>
      </w:r>
      <w:r w:rsidR="00951220">
        <w:rPr>
          <w:sz w:val="18"/>
          <w:szCs w:val="18"/>
          <w:lang w:val="fr-CH"/>
        </w:rPr>
        <w:t xml:space="preserve"> à Genève.</w:t>
      </w:r>
      <w:r w:rsidR="00FF18A9">
        <w:rPr>
          <w:sz w:val="18"/>
          <w:szCs w:val="18"/>
          <w:lang w:val="fr-CH"/>
        </w:rPr>
        <w:t xml:space="preserve"> Ces missions à Genève fourniront également une occasion de rencontrer des collègues du PNUE et d’autres organisations lié</w:t>
      </w:r>
      <w:r w:rsidR="007F5083">
        <w:rPr>
          <w:sz w:val="18"/>
          <w:szCs w:val="18"/>
          <w:lang w:val="fr-CH"/>
        </w:rPr>
        <w:t>e</w:t>
      </w:r>
      <w:r w:rsidR="00FF18A9">
        <w:rPr>
          <w:sz w:val="18"/>
          <w:szCs w:val="18"/>
          <w:lang w:val="fr-CH"/>
        </w:rPr>
        <w:t>s aux produits chimiques et aux déchets présentes</w:t>
      </w:r>
      <w:r w:rsidR="00B55202">
        <w:rPr>
          <w:sz w:val="18"/>
          <w:szCs w:val="18"/>
          <w:lang w:val="fr-CH"/>
        </w:rPr>
        <w:t xml:space="preserve"> dans cette ville</w:t>
      </w:r>
      <w:r w:rsidR="00FF18A9">
        <w:rPr>
          <w:sz w:val="18"/>
          <w:szCs w:val="18"/>
          <w:lang w:val="fr-CH"/>
        </w:rPr>
        <w:t xml:space="preserve">. </w:t>
      </w:r>
    </w:p>
    <w:p w14:paraId="771F9229" w14:textId="0E595229" w:rsidR="007F5083" w:rsidRPr="007F5083" w:rsidRDefault="00696701" w:rsidP="00696701">
      <w:pPr>
        <w:pStyle w:val="Normal-pool"/>
        <w:tabs>
          <w:tab w:val="clear" w:pos="1247"/>
          <w:tab w:val="clear" w:pos="1814"/>
          <w:tab w:val="clear" w:pos="2381"/>
          <w:tab w:val="clear" w:pos="2948"/>
          <w:tab w:val="clear" w:pos="3515"/>
          <w:tab w:val="clear" w:pos="4082"/>
          <w:tab w:val="left" w:pos="624"/>
          <w:tab w:val="left" w:pos="1859"/>
        </w:tabs>
        <w:spacing w:after="120"/>
        <w:ind w:left="1253"/>
        <w:rPr>
          <w:sz w:val="18"/>
          <w:szCs w:val="18"/>
          <w:lang w:val="fr-CH"/>
        </w:rPr>
      </w:pPr>
      <w:r>
        <w:rPr>
          <w:sz w:val="18"/>
          <w:szCs w:val="18"/>
          <w:lang w:val="fr-CH"/>
        </w:rPr>
        <w:lastRenderedPageBreak/>
        <w:t>5.</w:t>
      </w:r>
      <w:r w:rsidR="006D523F" w:rsidRPr="007F5083">
        <w:rPr>
          <w:sz w:val="18"/>
          <w:szCs w:val="18"/>
          <w:lang w:val="fr-CH"/>
        </w:rPr>
        <w:tab/>
      </w:r>
      <w:r w:rsidR="007F5083" w:rsidRPr="007F5083">
        <w:rPr>
          <w:sz w:val="18"/>
          <w:szCs w:val="18"/>
          <w:lang w:val="fr-CH"/>
        </w:rPr>
        <w:t xml:space="preserve">Étant donné qu’Osaka et Washington ne disposent pas de centres de </w:t>
      </w:r>
      <w:r w:rsidR="007F5083">
        <w:rPr>
          <w:sz w:val="18"/>
          <w:szCs w:val="18"/>
          <w:lang w:val="fr-CH"/>
        </w:rPr>
        <w:t>confé</w:t>
      </w:r>
      <w:r w:rsidR="007F5083" w:rsidRPr="007F5083">
        <w:rPr>
          <w:sz w:val="18"/>
          <w:szCs w:val="18"/>
          <w:lang w:val="fr-CH"/>
        </w:rPr>
        <w:t xml:space="preserve">rence </w:t>
      </w:r>
      <w:r w:rsidR="00574BCF">
        <w:rPr>
          <w:sz w:val="18"/>
          <w:szCs w:val="18"/>
          <w:lang w:val="fr-CH"/>
        </w:rPr>
        <w:t xml:space="preserve">des Nations Unies </w:t>
      </w:r>
      <w:r w:rsidR="007F5083" w:rsidRPr="007F5083">
        <w:rPr>
          <w:sz w:val="18"/>
          <w:szCs w:val="18"/>
          <w:lang w:val="fr-CH"/>
        </w:rPr>
        <w:t>et que la location de</w:t>
      </w:r>
      <w:r w:rsidR="007F5083">
        <w:rPr>
          <w:sz w:val="18"/>
          <w:szCs w:val="18"/>
          <w:lang w:val="fr-CH"/>
        </w:rPr>
        <w:t xml:space="preserve"> locaux commerciaux peut se révéler impossible pour des raisons budgétaires sans </w:t>
      </w:r>
      <w:r w:rsidR="00574BCF">
        <w:rPr>
          <w:sz w:val="18"/>
          <w:szCs w:val="18"/>
          <w:lang w:val="fr-CH"/>
        </w:rPr>
        <w:t>allocations supplémentaires,</w:t>
      </w:r>
      <w:r w:rsidR="007F5083" w:rsidRPr="007F5083">
        <w:rPr>
          <w:sz w:val="18"/>
          <w:szCs w:val="18"/>
          <w:lang w:val="fr-CH"/>
        </w:rPr>
        <w:tab/>
      </w:r>
      <w:r w:rsidR="00574BCF">
        <w:rPr>
          <w:sz w:val="18"/>
          <w:szCs w:val="18"/>
          <w:lang w:val="fr-CH"/>
        </w:rPr>
        <w:t xml:space="preserve"> les coûts d’organisation des réunions </w:t>
      </w:r>
      <w:r w:rsidR="00010B7B">
        <w:rPr>
          <w:sz w:val="18"/>
          <w:szCs w:val="18"/>
          <w:lang w:val="fr-CH"/>
        </w:rPr>
        <w:t xml:space="preserve">si le secrétariat est </w:t>
      </w:r>
      <w:r w:rsidR="00B55202">
        <w:rPr>
          <w:sz w:val="18"/>
          <w:szCs w:val="18"/>
          <w:lang w:val="fr-CH"/>
        </w:rPr>
        <w:t>implant</w:t>
      </w:r>
      <w:r w:rsidR="00BF5C73">
        <w:rPr>
          <w:sz w:val="18"/>
          <w:szCs w:val="18"/>
          <w:lang w:val="fr-CH"/>
        </w:rPr>
        <w:t>é à Osaka ou</w:t>
      </w:r>
      <w:r w:rsidR="00010B7B">
        <w:rPr>
          <w:sz w:val="18"/>
          <w:szCs w:val="18"/>
          <w:lang w:val="fr-CH"/>
        </w:rPr>
        <w:t xml:space="preserve"> Washington s</w:t>
      </w:r>
      <w:r w:rsidR="00BF5C73">
        <w:rPr>
          <w:sz w:val="18"/>
          <w:szCs w:val="18"/>
          <w:lang w:val="fr-CH"/>
        </w:rPr>
        <w:t>e basent</w:t>
      </w:r>
      <w:r w:rsidR="00010B7B">
        <w:rPr>
          <w:sz w:val="18"/>
          <w:szCs w:val="18"/>
          <w:lang w:val="fr-CH"/>
        </w:rPr>
        <w:t xml:space="preserve"> sur des coûts estimatifs d’une réunion de la Conférence des Parties à Bangkok et </w:t>
      </w:r>
      <w:r w:rsidR="00BF5C73">
        <w:rPr>
          <w:sz w:val="18"/>
          <w:szCs w:val="18"/>
          <w:lang w:val="fr-CH"/>
        </w:rPr>
        <w:t xml:space="preserve">à </w:t>
      </w:r>
      <w:r w:rsidR="00010B7B">
        <w:rPr>
          <w:sz w:val="18"/>
          <w:szCs w:val="18"/>
          <w:lang w:val="fr-CH"/>
        </w:rPr>
        <w:t>Montréal</w:t>
      </w:r>
      <w:r w:rsidR="00BF5C73">
        <w:rPr>
          <w:sz w:val="18"/>
          <w:szCs w:val="18"/>
          <w:lang w:val="fr-CH"/>
        </w:rPr>
        <w:t>,</w:t>
      </w:r>
      <w:r w:rsidR="00010B7B">
        <w:rPr>
          <w:sz w:val="18"/>
          <w:szCs w:val="18"/>
          <w:lang w:val="fr-CH"/>
        </w:rPr>
        <w:t xml:space="preserve"> respectivement, ces villes </w:t>
      </w:r>
      <w:r w:rsidR="00BF5C73">
        <w:rPr>
          <w:sz w:val="18"/>
          <w:szCs w:val="18"/>
          <w:lang w:val="fr-CH"/>
        </w:rPr>
        <w:t xml:space="preserve">étant les plus proches </w:t>
      </w:r>
      <w:r w:rsidR="00A22D6E">
        <w:rPr>
          <w:sz w:val="18"/>
          <w:szCs w:val="18"/>
          <w:lang w:val="fr-CH"/>
        </w:rPr>
        <w:t>qui disposent</w:t>
      </w:r>
      <w:r w:rsidR="00B27563">
        <w:rPr>
          <w:sz w:val="18"/>
          <w:szCs w:val="18"/>
          <w:lang w:val="fr-CH"/>
        </w:rPr>
        <w:t xml:space="preserve"> d</w:t>
      </w:r>
      <w:r w:rsidR="00BF5C73">
        <w:rPr>
          <w:sz w:val="18"/>
          <w:szCs w:val="18"/>
          <w:lang w:val="fr-CH"/>
        </w:rPr>
        <w:t>’</w:t>
      </w:r>
      <w:r w:rsidR="00847B3A">
        <w:rPr>
          <w:sz w:val="18"/>
          <w:szCs w:val="18"/>
          <w:lang w:val="fr-CH"/>
        </w:rPr>
        <w:t xml:space="preserve">installations </w:t>
      </w:r>
      <w:r w:rsidR="00A22D6E">
        <w:rPr>
          <w:sz w:val="18"/>
          <w:szCs w:val="18"/>
          <w:lang w:val="fr-CH"/>
        </w:rPr>
        <w:t>de conférence des Nations Unies.</w:t>
      </w:r>
    </w:p>
    <w:p w14:paraId="665DF409" w14:textId="15586126" w:rsidR="00B27563" w:rsidRPr="00B27563" w:rsidRDefault="00696701" w:rsidP="00696701">
      <w:pPr>
        <w:pStyle w:val="Normal-pool"/>
        <w:tabs>
          <w:tab w:val="clear" w:pos="1247"/>
          <w:tab w:val="clear" w:pos="1814"/>
          <w:tab w:val="clear" w:pos="2381"/>
          <w:tab w:val="clear" w:pos="2948"/>
          <w:tab w:val="clear" w:pos="3515"/>
          <w:tab w:val="clear" w:pos="4082"/>
          <w:tab w:val="left" w:pos="624"/>
        </w:tabs>
        <w:spacing w:after="120"/>
        <w:ind w:left="1253"/>
        <w:rPr>
          <w:sz w:val="18"/>
          <w:szCs w:val="18"/>
          <w:lang w:val="fr-CH"/>
        </w:rPr>
      </w:pPr>
      <w:r>
        <w:rPr>
          <w:sz w:val="18"/>
          <w:szCs w:val="18"/>
          <w:lang w:val="fr-CH"/>
        </w:rPr>
        <w:t>6.</w:t>
      </w:r>
      <w:r w:rsidR="006D523F" w:rsidRPr="00B27563">
        <w:rPr>
          <w:sz w:val="18"/>
          <w:szCs w:val="18"/>
          <w:lang w:val="fr-CH"/>
        </w:rPr>
        <w:tab/>
      </w:r>
      <w:r w:rsidR="00B27563" w:rsidRPr="00B27563">
        <w:rPr>
          <w:sz w:val="18"/>
          <w:szCs w:val="18"/>
          <w:lang w:val="fr-CH"/>
        </w:rPr>
        <w:t xml:space="preserve">Les coûts opérationnels des bureaux à Osaka </w:t>
      </w:r>
      <w:r w:rsidR="00BD4C6E">
        <w:rPr>
          <w:sz w:val="18"/>
          <w:szCs w:val="18"/>
          <w:lang w:val="fr-CH"/>
        </w:rPr>
        <w:t xml:space="preserve">sont donnés à des fins de calculs uniquement et se basent sur les conditions actuelles du </w:t>
      </w:r>
      <w:r w:rsidR="00BD4C6E" w:rsidRPr="00BD4C6E">
        <w:rPr>
          <w:sz w:val="18"/>
          <w:szCs w:val="18"/>
          <w:lang w:val="fr-CH"/>
        </w:rPr>
        <w:t>Centre international d’écotechnologie</w:t>
      </w:r>
      <w:r w:rsidR="00BD4C6E">
        <w:rPr>
          <w:lang w:val="fr-CH"/>
        </w:rPr>
        <w:t xml:space="preserve"> </w:t>
      </w:r>
      <w:r w:rsidR="00BD4C6E">
        <w:rPr>
          <w:sz w:val="18"/>
          <w:szCs w:val="18"/>
          <w:lang w:val="fr-CH"/>
        </w:rPr>
        <w:t xml:space="preserve">implanté dans cette ville. </w:t>
      </w:r>
      <w:r w:rsidR="004450E4">
        <w:rPr>
          <w:sz w:val="18"/>
          <w:szCs w:val="18"/>
          <w:lang w:val="fr-CH"/>
        </w:rPr>
        <w:t xml:space="preserve">Cet organisme </w:t>
      </w:r>
      <w:r w:rsidR="00712BF1">
        <w:rPr>
          <w:sz w:val="18"/>
          <w:szCs w:val="18"/>
          <w:lang w:val="fr-CH"/>
        </w:rPr>
        <w:t>bénéficie d’</w:t>
      </w:r>
      <w:r w:rsidR="004450E4">
        <w:rPr>
          <w:sz w:val="18"/>
          <w:szCs w:val="18"/>
          <w:lang w:val="fr-CH"/>
        </w:rPr>
        <w:t xml:space="preserve">arrangements et </w:t>
      </w:r>
      <w:r w:rsidR="00712BF1">
        <w:rPr>
          <w:sz w:val="18"/>
          <w:szCs w:val="18"/>
          <w:lang w:val="fr-CH"/>
        </w:rPr>
        <w:t>d’</w:t>
      </w:r>
      <w:r w:rsidR="004450E4">
        <w:rPr>
          <w:sz w:val="18"/>
          <w:szCs w:val="18"/>
          <w:lang w:val="fr-CH"/>
        </w:rPr>
        <w:t xml:space="preserve">une contribution émanant du pays hôte. </w:t>
      </w:r>
    </w:p>
    <w:p w14:paraId="67D90788" w14:textId="77777777" w:rsidR="00BD4C6E" w:rsidRPr="004450E4" w:rsidRDefault="00BD4C6E" w:rsidP="006D523F">
      <w:pPr>
        <w:pStyle w:val="Normal-pool"/>
        <w:tabs>
          <w:tab w:val="clear" w:pos="1247"/>
          <w:tab w:val="clear" w:pos="1814"/>
          <w:tab w:val="clear" w:pos="2381"/>
          <w:tab w:val="clear" w:pos="2948"/>
          <w:tab w:val="clear" w:pos="3515"/>
          <w:tab w:val="clear" w:pos="4082"/>
          <w:tab w:val="left" w:pos="624"/>
        </w:tabs>
        <w:spacing w:after="40"/>
        <w:ind w:left="1247"/>
        <w:rPr>
          <w:sz w:val="18"/>
          <w:szCs w:val="18"/>
          <w:lang w:val="fr-CH"/>
        </w:rPr>
      </w:pPr>
    </w:p>
    <w:p w14:paraId="1B120F4F" w14:textId="77777777" w:rsidR="0041238C" w:rsidRPr="00712BF1" w:rsidRDefault="0041238C" w:rsidP="0041238C">
      <w:pPr>
        <w:tabs>
          <w:tab w:val="clear" w:pos="1247"/>
          <w:tab w:val="clear" w:pos="1814"/>
          <w:tab w:val="clear" w:pos="2381"/>
          <w:tab w:val="clear" w:pos="2948"/>
          <w:tab w:val="clear" w:pos="3515"/>
        </w:tabs>
        <w:rPr>
          <w:b/>
          <w:bCs/>
          <w:sz w:val="28"/>
          <w:szCs w:val="26"/>
          <w:lang w:val="fr-CH"/>
        </w:rPr>
      </w:pPr>
      <w:r w:rsidRPr="00712BF1">
        <w:rPr>
          <w:lang w:val="fr-CH"/>
        </w:rPr>
        <w:br w:type="page"/>
      </w:r>
    </w:p>
    <w:p w14:paraId="242EC271" w14:textId="47ECB67B" w:rsidR="00E964FF" w:rsidRPr="00BF1A22" w:rsidRDefault="0041238C" w:rsidP="00E964FF">
      <w:pPr>
        <w:pStyle w:val="ZZAnxheader"/>
        <w:outlineLvl w:val="0"/>
        <w:rPr>
          <w:lang w:val="fr-CH"/>
        </w:rPr>
      </w:pPr>
      <w:r w:rsidRPr="00BF1A22">
        <w:rPr>
          <w:lang w:val="fr-CH"/>
        </w:rPr>
        <w:lastRenderedPageBreak/>
        <w:t>A</w:t>
      </w:r>
      <w:r w:rsidR="00F72D50">
        <w:rPr>
          <w:lang w:val="fr-CH"/>
        </w:rPr>
        <w:t>ppendic</w:t>
      </w:r>
      <w:r w:rsidR="00420CE3" w:rsidRPr="00BF1A22">
        <w:rPr>
          <w:lang w:val="fr-CH"/>
        </w:rPr>
        <w:t>e</w:t>
      </w:r>
      <w:r w:rsidR="00AC4B79">
        <w:rPr>
          <w:lang w:val="fr-CH"/>
        </w:rPr>
        <w:t> </w:t>
      </w:r>
      <w:r w:rsidR="00E964FF" w:rsidRPr="00BF1A22">
        <w:rPr>
          <w:lang w:val="fr-CH"/>
        </w:rPr>
        <w:t>III</w:t>
      </w:r>
    </w:p>
    <w:p w14:paraId="5EBA7905" w14:textId="09A22A2A" w:rsidR="0041238C" w:rsidRPr="00E964FF" w:rsidRDefault="00E964FF" w:rsidP="0041238C">
      <w:pPr>
        <w:pStyle w:val="ZZAnxtitle"/>
        <w:rPr>
          <w:lang w:val="fr-CH"/>
        </w:rPr>
      </w:pPr>
      <w:r w:rsidRPr="00E964FF">
        <w:rPr>
          <w:lang w:val="fr-CH"/>
        </w:rPr>
        <w:t>Fusionnement avec le Secrétariat des conventions de B</w:t>
      </w:r>
      <w:r w:rsidR="00AC4B79">
        <w:rPr>
          <w:lang w:val="fr-CH"/>
        </w:rPr>
        <w:t>âle, de </w:t>
      </w:r>
      <w:r>
        <w:rPr>
          <w:lang w:val="fr-CH"/>
        </w:rPr>
        <w:t>Rotterdam et de Stockholm</w:t>
      </w:r>
    </w:p>
    <w:p w14:paraId="2470EFEE" w14:textId="5BBE3E7D" w:rsidR="00D153F8" w:rsidRPr="00D153F8" w:rsidRDefault="00D153F8"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lang w:val="fr-CH"/>
        </w:rPr>
      </w:pPr>
      <w:r>
        <w:rPr>
          <w:lang w:val="fr-CH"/>
        </w:rPr>
        <w:t>U</w:t>
      </w:r>
      <w:r w:rsidRPr="00D153F8">
        <w:rPr>
          <w:lang w:val="fr-CH"/>
        </w:rPr>
        <w:t>n</w:t>
      </w:r>
      <w:r w:rsidR="004F0BA3">
        <w:rPr>
          <w:lang w:val="fr-CH"/>
        </w:rPr>
        <w:t>e vue d’ensemble</w:t>
      </w:r>
      <w:r w:rsidRPr="00D153F8">
        <w:rPr>
          <w:lang w:val="fr-CH"/>
        </w:rPr>
        <w:t xml:space="preserve"> de la structure du </w:t>
      </w:r>
      <w:r>
        <w:rPr>
          <w:lang w:val="fr-CH"/>
        </w:rPr>
        <w:t>secré</w:t>
      </w:r>
      <w:r w:rsidRPr="00D153F8">
        <w:rPr>
          <w:lang w:val="fr-CH"/>
        </w:rPr>
        <w:t>tariat des conventions de B</w:t>
      </w:r>
      <w:r>
        <w:rPr>
          <w:lang w:val="fr-CH"/>
        </w:rPr>
        <w:t xml:space="preserve">âle, de Rotterdam et de Stockholm </w:t>
      </w:r>
      <w:r w:rsidR="00DC06BB">
        <w:rPr>
          <w:lang w:val="fr-CH"/>
        </w:rPr>
        <w:t>est fournie comme contexte d’analyse :</w:t>
      </w:r>
    </w:p>
    <w:p w14:paraId="37D11B70" w14:textId="3F406974" w:rsidR="0041238C" w:rsidRPr="00F3755A" w:rsidRDefault="00F3755A" w:rsidP="006D523F">
      <w:pPr>
        <w:pStyle w:val="Normal-pool"/>
        <w:numPr>
          <w:ilvl w:val="0"/>
          <w:numId w:val="140"/>
        </w:numPr>
        <w:tabs>
          <w:tab w:val="clear" w:pos="1247"/>
          <w:tab w:val="clear" w:pos="1814"/>
          <w:tab w:val="clear" w:pos="2381"/>
          <w:tab w:val="clear" w:pos="2948"/>
          <w:tab w:val="clear" w:pos="3515"/>
          <w:tab w:val="clear" w:pos="4082"/>
          <w:tab w:val="left" w:pos="624"/>
        </w:tabs>
        <w:spacing w:after="120"/>
        <w:ind w:left="1247" w:firstLine="624"/>
        <w:rPr>
          <w:lang w:val="fr-CH"/>
        </w:rPr>
      </w:pPr>
      <w:r w:rsidRPr="00F3755A">
        <w:rPr>
          <w:lang w:val="fr-CH"/>
        </w:rPr>
        <w:t xml:space="preserve">Option 1 </w:t>
      </w:r>
      <w:r w:rsidR="0041238C" w:rsidRPr="00F3755A">
        <w:rPr>
          <w:lang w:val="fr-CH"/>
        </w:rPr>
        <w:t>a)</w:t>
      </w:r>
      <w:r w:rsidR="003E3369" w:rsidRPr="00F3755A">
        <w:rPr>
          <w:lang w:val="fr-CH"/>
        </w:rPr>
        <w:t xml:space="preserve"> </w:t>
      </w:r>
      <w:r w:rsidR="001A2884" w:rsidRPr="00F3755A">
        <w:rPr>
          <w:lang w:val="fr-CH"/>
        </w:rPr>
        <w:t>(</w:t>
      </w:r>
      <w:r w:rsidRPr="00F3755A">
        <w:rPr>
          <w:lang w:val="fr-CH"/>
        </w:rPr>
        <w:t>fusionnement</w:t>
      </w:r>
      <w:r w:rsidR="001A2884" w:rsidRPr="00F3755A">
        <w:rPr>
          <w:lang w:val="fr-CH"/>
        </w:rPr>
        <w:t>)</w:t>
      </w:r>
      <w:r w:rsidR="0041238C" w:rsidRPr="00F3755A">
        <w:rPr>
          <w:lang w:val="fr-CH"/>
        </w:rPr>
        <w:t xml:space="preserve">: </w:t>
      </w:r>
      <w:r w:rsidRPr="00F3755A">
        <w:rPr>
          <w:lang w:val="fr-CH"/>
        </w:rPr>
        <w:t>Incorporation des fonctions du secrétariat de la Convention de Minamata dans la structure actuelle du Secrétariat des conventions de Bâle, de Rotterdam et de Stockholm (lieu d’implantation : Genève);</w:t>
      </w:r>
    </w:p>
    <w:p w14:paraId="60B52DF9" w14:textId="0F944CBE" w:rsidR="00E35E87" w:rsidRPr="0056639D" w:rsidRDefault="00E35E87" w:rsidP="00E35E87">
      <w:pPr>
        <w:pStyle w:val="Normal-pool"/>
        <w:numPr>
          <w:ilvl w:val="0"/>
          <w:numId w:val="140"/>
        </w:numPr>
        <w:tabs>
          <w:tab w:val="clear" w:pos="1247"/>
          <w:tab w:val="clear" w:pos="1814"/>
          <w:tab w:val="clear" w:pos="2381"/>
          <w:tab w:val="clear" w:pos="2948"/>
          <w:tab w:val="clear" w:pos="3515"/>
          <w:tab w:val="clear" w:pos="4082"/>
          <w:tab w:val="left" w:pos="624"/>
        </w:tabs>
        <w:spacing w:after="120"/>
        <w:ind w:left="1247" w:firstLine="624"/>
        <w:rPr>
          <w:lang w:val="fr-CH"/>
        </w:rPr>
      </w:pPr>
      <w:r w:rsidRPr="0056639D">
        <w:rPr>
          <w:lang w:val="fr-CH"/>
        </w:rPr>
        <w:t>Option 1 b) (intégration sous forme de Service)</w:t>
      </w:r>
      <w:r w:rsidR="00AC4B79">
        <w:rPr>
          <w:lang w:val="fr-CH"/>
        </w:rPr>
        <w:t> </w:t>
      </w:r>
      <w:r w:rsidRPr="0056639D">
        <w:rPr>
          <w:lang w:val="fr-CH"/>
        </w:rPr>
        <w:t>:</w:t>
      </w:r>
      <w:r w:rsidR="0056639D" w:rsidRPr="0056639D">
        <w:rPr>
          <w:lang w:val="fr-CH"/>
        </w:rPr>
        <w:t xml:space="preserve"> </w:t>
      </w:r>
      <w:r w:rsidR="00AC4B79">
        <w:rPr>
          <w:lang w:val="fr-CH"/>
        </w:rPr>
        <w:t xml:space="preserve">Fusionnement </w:t>
      </w:r>
      <w:r w:rsidR="0056639D" w:rsidRPr="0056639D">
        <w:rPr>
          <w:lang w:val="fr-CH"/>
        </w:rPr>
        <w:t xml:space="preserve">du </w:t>
      </w:r>
      <w:r w:rsidR="00E964FF">
        <w:rPr>
          <w:lang w:val="fr-CH"/>
        </w:rPr>
        <w:t>secré</w:t>
      </w:r>
      <w:r w:rsidR="0056639D" w:rsidRPr="0056639D">
        <w:rPr>
          <w:lang w:val="fr-CH"/>
        </w:rPr>
        <w:t xml:space="preserve">tariat de la Convention de Minamata </w:t>
      </w:r>
      <w:r w:rsidR="00AC4B79">
        <w:rPr>
          <w:lang w:val="fr-CH"/>
        </w:rPr>
        <w:t>avec le</w:t>
      </w:r>
      <w:r w:rsidR="0056639D" w:rsidRPr="0056639D">
        <w:rPr>
          <w:lang w:val="fr-CH"/>
        </w:rPr>
        <w:t xml:space="preserve"> Secrétariat des conventions de B</w:t>
      </w:r>
      <w:r w:rsidR="0056639D">
        <w:rPr>
          <w:lang w:val="fr-CH"/>
        </w:rPr>
        <w:t>âle, de Rotterdam et de Stockholm par la création, au cours de la période intérimaire, d’un Service de la Convention de Minamata au sein de celui</w:t>
      </w:r>
      <w:r w:rsidR="0056639D">
        <w:rPr>
          <w:lang w:val="fr-CH"/>
        </w:rPr>
        <w:noBreakHyphen/>
        <w:t>ci (lieu d’implantation : Genève).</w:t>
      </w:r>
    </w:p>
    <w:p w14:paraId="31FA51A4" w14:textId="5AE8FA43" w:rsidR="0041238C" w:rsidRPr="008A0EEC" w:rsidRDefault="008A0EEC" w:rsidP="00DC06BB">
      <w:pPr>
        <w:pStyle w:val="Normal-pool"/>
        <w:tabs>
          <w:tab w:val="clear" w:pos="1247"/>
          <w:tab w:val="clear" w:pos="1814"/>
          <w:tab w:val="clear" w:pos="2381"/>
          <w:tab w:val="clear" w:pos="2948"/>
          <w:tab w:val="clear" w:pos="3515"/>
          <w:tab w:val="clear" w:pos="4082"/>
          <w:tab w:val="left" w:pos="624"/>
          <w:tab w:val="left" w:pos="1276"/>
        </w:tabs>
        <w:spacing w:after="120"/>
        <w:ind w:left="1247"/>
        <w:rPr>
          <w:b/>
          <w:lang w:val="fr-CH"/>
        </w:rPr>
      </w:pPr>
      <w:r w:rsidRPr="008A0EEC">
        <w:rPr>
          <w:b/>
          <w:lang w:val="fr-CH"/>
        </w:rPr>
        <w:t>Synthèse de la structure du secré</w:t>
      </w:r>
      <w:r w:rsidR="0041238C" w:rsidRPr="008A0EEC">
        <w:rPr>
          <w:b/>
          <w:lang w:val="fr-CH"/>
        </w:rPr>
        <w:t xml:space="preserve">tariat </w:t>
      </w:r>
      <w:r w:rsidRPr="008A0EEC">
        <w:rPr>
          <w:b/>
          <w:lang w:val="fr-CH"/>
        </w:rPr>
        <w:t>des conventions de</w:t>
      </w:r>
      <w:r>
        <w:rPr>
          <w:b/>
          <w:lang w:val="fr-CH"/>
        </w:rPr>
        <w:t xml:space="preserve"> Bâle</w:t>
      </w:r>
      <w:r w:rsidR="0041238C" w:rsidRPr="008A0EEC">
        <w:rPr>
          <w:b/>
          <w:lang w:val="fr-CH"/>
        </w:rPr>
        <w:t xml:space="preserve">, </w:t>
      </w:r>
      <w:r>
        <w:rPr>
          <w:b/>
          <w:lang w:val="fr-CH"/>
        </w:rPr>
        <w:t>de Rotterdam et de</w:t>
      </w:r>
      <w:r w:rsidR="0041238C" w:rsidRPr="008A0EEC">
        <w:rPr>
          <w:b/>
          <w:lang w:val="fr-CH"/>
        </w:rPr>
        <w:t xml:space="preserve"> Stockholm </w:t>
      </w:r>
    </w:p>
    <w:p w14:paraId="646EA641" w14:textId="4C116908" w:rsidR="0014307B" w:rsidRDefault="001A0CFD"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sidRPr="001A0CFD">
        <w:rPr>
          <w:rFonts w:eastAsia="MS Mincho"/>
          <w:lang w:val="fr-CH"/>
        </w:rPr>
        <w:t>Le secré</w:t>
      </w:r>
      <w:r w:rsidR="0041238C" w:rsidRPr="001A0CFD">
        <w:rPr>
          <w:rFonts w:eastAsia="MS Mincho"/>
          <w:lang w:val="fr-CH"/>
        </w:rPr>
        <w:t xml:space="preserve">tariat </w:t>
      </w:r>
      <w:r w:rsidRPr="001A0CFD">
        <w:rPr>
          <w:rFonts w:eastAsia="MS Mincho"/>
          <w:lang w:val="fr-CH"/>
        </w:rPr>
        <w:t>des conventions de Bâle, de Rotterdam et de</w:t>
      </w:r>
      <w:r w:rsidR="0041238C" w:rsidRPr="001A0CFD">
        <w:rPr>
          <w:rFonts w:eastAsia="MS Mincho"/>
          <w:lang w:val="fr-CH"/>
        </w:rPr>
        <w:t xml:space="preserve"> Stockholm </w:t>
      </w:r>
      <w:r w:rsidRPr="001A0CFD">
        <w:rPr>
          <w:rFonts w:eastAsia="MS Mincho"/>
          <w:lang w:val="fr-CH"/>
        </w:rPr>
        <w:t xml:space="preserve">est dirigé par un Secrétaire exécutif assisté par un </w:t>
      </w:r>
      <w:r w:rsidR="0014307B">
        <w:rPr>
          <w:rFonts w:eastAsia="MS Mincho"/>
          <w:lang w:val="fr-CH"/>
        </w:rPr>
        <w:t>bureau exécutif et trois services : le Service des opérations des Conventions, le Service de l’assistance technique et le Service de l’appui scientifique.</w:t>
      </w:r>
    </w:p>
    <w:p w14:paraId="13B35BB9" w14:textId="53B60254" w:rsidR="00443ABC" w:rsidRDefault="00443ABC" w:rsidP="006D523F">
      <w:pPr>
        <w:pStyle w:val="Normal-pool"/>
        <w:numPr>
          <w:ilvl w:val="0"/>
          <w:numId w:val="139"/>
        </w:numPr>
        <w:tabs>
          <w:tab w:val="clear" w:pos="1247"/>
          <w:tab w:val="clear" w:pos="1814"/>
          <w:tab w:val="clear" w:pos="2381"/>
          <w:tab w:val="clear" w:pos="2948"/>
          <w:tab w:val="clear" w:pos="3515"/>
          <w:tab w:val="clear" w:pos="4082"/>
          <w:tab w:val="left" w:pos="624"/>
        </w:tabs>
        <w:spacing w:after="120"/>
        <w:ind w:left="1247" w:firstLine="0"/>
        <w:rPr>
          <w:rFonts w:eastAsia="MS Mincho"/>
          <w:lang w:val="fr-CH"/>
        </w:rPr>
      </w:pPr>
      <w:r>
        <w:rPr>
          <w:rFonts w:eastAsia="MS Mincho"/>
          <w:lang w:val="fr-CH"/>
        </w:rPr>
        <w:t>Le Bureau exécutif se charge des activités d’ensemble suivantes :</w:t>
      </w:r>
    </w:p>
    <w:p w14:paraId="4C5250CB" w14:textId="77777777" w:rsidR="00443ABC" w:rsidRPr="000858E6" w:rsidRDefault="00443ABC" w:rsidP="001C4991">
      <w:pPr>
        <w:pStyle w:val="NormalNonumber"/>
        <w:tabs>
          <w:tab w:val="clear" w:pos="1247"/>
          <w:tab w:val="clear" w:pos="1814"/>
          <w:tab w:val="left" w:pos="1843"/>
          <w:tab w:val="left" w:pos="4536"/>
        </w:tabs>
        <w:ind w:left="1843"/>
        <w:rPr>
          <w:lang w:val="fr-FR"/>
        </w:rPr>
      </w:pPr>
      <w:r w:rsidRPr="000858E6">
        <w:rPr>
          <w:rFonts w:eastAsia="MS Mincho"/>
          <w:lang w:val="fr-FR"/>
        </w:rPr>
        <w:t>a)</w:t>
      </w:r>
      <w:r w:rsidRPr="000858E6">
        <w:rPr>
          <w:rFonts w:eastAsia="MS Mincho"/>
          <w:lang w:val="fr-FR"/>
        </w:rPr>
        <w:tab/>
      </w:r>
      <w:r w:rsidRPr="000858E6">
        <w:rPr>
          <w:lang w:val="fr-FR"/>
        </w:rPr>
        <w:t>Encadrement et direction exécutive;</w:t>
      </w:r>
    </w:p>
    <w:p w14:paraId="0CF25750" w14:textId="77777777" w:rsidR="00443ABC" w:rsidRPr="000858E6" w:rsidRDefault="00443ABC" w:rsidP="001C4991">
      <w:pPr>
        <w:pStyle w:val="NormalNonumber"/>
        <w:tabs>
          <w:tab w:val="clear" w:pos="1247"/>
          <w:tab w:val="clear" w:pos="1814"/>
          <w:tab w:val="left" w:pos="1843"/>
          <w:tab w:val="left" w:pos="4536"/>
        </w:tabs>
        <w:ind w:left="1843"/>
        <w:rPr>
          <w:lang w:val="fr-FR"/>
        </w:rPr>
      </w:pPr>
      <w:r w:rsidRPr="000858E6">
        <w:rPr>
          <w:lang w:val="fr-FR"/>
        </w:rPr>
        <w:t>b)</w:t>
      </w:r>
      <w:r w:rsidRPr="000858E6">
        <w:rPr>
          <w:lang w:val="fr-FR"/>
        </w:rPr>
        <w:tab/>
        <w:t>Gestion, surveillance et suivi;</w:t>
      </w:r>
    </w:p>
    <w:p w14:paraId="480C4A30" w14:textId="77777777" w:rsidR="00443ABC" w:rsidRPr="000858E6" w:rsidRDefault="00443ABC" w:rsidP="001C4991">
      <w:pPr>
        <w:pStyle w:val="NormalNonumber"/>
        <w:tabs>
          <w:tab w:val="clear" w:pos="1247"/>
          <w:tab w:val="clear" w:pos="1814"/>
          <w:tab w:val="left" w:pos="1843"/>
          <w:tab w:val="left" w:pos="4536"/>
        </w:tabs>
        <w:ind w:left="1843"/>
        <w:rPr>
          <w:lang w:val="fr-FR"/>
        </w:rPr>
      </w:pPr>
      <w:r w:rsidRPr="000858E6">
        <w:rPr>
          <w:lang w:val="fr-FR"/>
        </w:rPr>
        <w:t>c)</w:t>
      </w:r>
      <w:r w:rsidRPr="000858E6">
        <w:rPr>
          <w:lang w:val="fr-FR"/>
        </w:rPr>
        <w:tab/>
        <w:t>Coordination des synergies;</w:t>
      </w:r>
    </w:p>
    <w:p w14:paraId="1A870123" w14:textId="77777777" w:rsidR="00443ABC" w:rsidRPr="000858E6" w:rsidRDefault="00443ABC" w:rsidP="001C4991">
      <w:pPr>
        <w:pStyle w:val="NormalNonumber"/>
        <w:tabs>
          <w:tab w:val="clear" w:pos="1247"/>
          <w:tab w:val="clear" w:pos="1814"/>
          <w:tab w:val="left" w:pos="1843"/>
          <w:tab w:val="left" w:pos="4536"/>
        </w:tabs>
        <w:ind w:left="1843"/>
        <w:rPr>
          <w:lang w:val="fr-FR"/>
        </w:rPr>
      </w:pPr>
      <w:r w:rsidRPr="000858E6">
        <w:rPr>
          <w:lang w:val="fr-FR"/>
        </w:rPr>
        <w:t>d)</w:t>
      </w:r>
      <w:r w:rsidRPr="000858E6">
        <w:rPr>
          <w:lang w:val="fr-FR"/>
        </w:rPr>
        <w:tab/>
        <w:t>Administration (finances, budget, ressources humaines);</w:t>
      </w:r>
    </w:p>
    <w:p w14:paraId="48434C31" w14:textId="77777777" w:rsidR="00443ABC" w:rsidRPr="000858E6" w:rsidRDefault="00443ABC" w:rsidP="001C4991">
      <w:pPr>
        <w:pStyle w:val="NormalNonumber"/>
        <w:tabs>
          <w:tab w:val="clear" w:pos="1247"/>
          <w:tab w:val="clear" w:pos="1814"/>
          <w:tab w:val="left" w:pos="1843"/>
          <w:tab w:val="left" w:pos="4536"/>
        </w:tabs>
        <w:ind w:left="1843"/>
        <w:rPr>
          <w:lang w:val="fr-FR"/>
        </w:rPr>
      </w:pPr>
      <w:r w:rsidRPr="000858E6">
        <w:rPr>
          <w:lang w:val="fr-FR"/>
        </w:rPr>
        <w:t>e)</w:t>
      </w:r>
      <w:r w:rsidRPr="000858E6">
        <w:rPr>
          <w:lang w:val="fr-FR"/>
        </w:rPr>
        <w:tab/>
        <w:t>Mobilisation des ressources;</w:t>
      </w:r>
    </w:p>
    <w:p w14:paraId="26BADE3F" w14:textId="69ECDAFF" w:rsidR="00882821" w:rsidRPr="001C4991" w:rsidRDefault="00443ABC" w:rsidP="00882821">
      <w:pPr>
        <w:pStyle w:val="NormalNonumber"/>
        <w:tabs>
          <w:tab w:val="clear" w:pos="1247"/>
          <w:tab w:val="clear" w:pos="1814"/>
          <w:tab w:val="left" w:pos="1843"/>
          <w:tab w:val="left" w:pos="4536"/>
        </w:tabs>
        <w:ind w:left="1843"/>
        <w:rPr>
          <w:lang w:val="fr-FR"/>
        </w:rPr>
      </w:pPr>
      <w:r w:rsidRPr="000858E6">
        <w:rPr>
          <w:lang w:val="fr-FR"/>
        </w:rPr>
        <w:t>f)</w:t>
      </w:r>
      <w:r w:rsidRPr="000858E6">
        <w:rPr>
          <w:lang w:val="fr-FR"/>
        </w:rPr>
        <w:tab/>
        <w:t>Coordination avec le mécanisme de financement de la Convention de Stockholm.</w:t>
      </w:r>
    </w:p>
    <w:p w14:paraId="1EC1C44F" w14:textId="18D8C0B7" w:rsidR="00882821" w:rsidRPr="000858E6" w:rsidRDefault="00882821" w:rsidP="0055688C">
      <w:pPr>
        <w:pStyle w:val="NormalNonumber"/>
        <w:numPr>
          <w:ilvl w:val="0"/>
          <w:numId w:val="139"/>
        </w:numPr>
        <w:tabs>
          <w:tab w:val="clear" w:pos="1814"/>
          <w:tab w:val="left" w:pos="1843"/>
        </w:tabs>
        <w:ind w:left="1843" w:hanging="567"/>
        <w:rPr>
          <w:rFonts w:eastAsia="MS Mincho"/>
          <w:lang w:val="fr-FR"/>
        </w:rPr>
      </w:pPr>
      <w:r w:rsidRPr="000858E6">
        <w:rPr>
          <w:rFonts w:eastAsia="MS Mincho"/>
          <w:lang w:val="fr-FR"/>
        </w:rPr>
        <w:t>Le Service des opérations des conventions est chargé de ce qui suit :</w:t>
      </w:r>
    </w:p>
    <w:p w14:paraId="0A94D9E7"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rFonts w:eastAsia="MS Mincho"/>
          <w:lang w:val="fr-FR"/>
        </w:rPr>
        <w:t>a)</w:t>
      </w:r>
      <w:r w:rsidRPr="000858E6">
        <w:rPr>
          <w:rFonts w:eastAsia="MS Mincho"/>
          <w:lang w:val="fr-FR"/>
        </w:rPr>
        <w:tab/>
      </w:r>
      <w:r w:rsidRPr="000858E6">
        <w:rPr>
          <w:lang w:val="fr-FR"/>
        </w:rPr>
        <w:t>Gestion des réunions des conférences des Parties et des organes subsidiaires;</w:t>
      </w:r>
    </w:p>
    <w:p w14:paraId="0B78262C" w14:textId="1F642C2E" w:rsidR="00882821" w:rsidRPr="000858E6" w:rsidRDefault="00AC4B79" w:rsidP="0051380D">
      <w:pPr>
        <w:pStyle w:val="NormalNonumber"/>
        <w:tabs>
          <w:tab w:val="clear" w:pos="1247"/>
          <w:tab w:val="clear" w:pos="1814"/>
          <w:tab w:val="left" w:pos="4678"/>
        </w:tabs>
        <w:ind w:left="1260" w:firstLine="583"/>
        <w:rPr>
          <w:lang w:val="fr-FR"/>
        </w:rPr>
      </w:pPr>
      <w:r>
        <w:rPr>
          <w:lang w:val="fr-FR"/>
        </w:rPr>
        <w:t>b)</w:t>
      </w:r>
      <w:r>
        <w:rPr>
          <w:lang w:val="fr-FR"/>
        </w:rPr>
        <w:tab/>
        <w:t xml:space="preserve">Questions juridiques </w:t>
      </w:r>
      <w:r w:rsidR="00882821" w:rsidRPr="000858E6">
        <w:rPr>
          <w:lang w:val="fr-FR"/>
        </w:rPr>
        <w:t>et gouvernance;</w:t>
      </w:r>
    </w:p>
    <w:p w14:paraId="1B5D22C1"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lang w:val="fr-FR"/>
        </w:rPr>
        <w:t>c)</w:t>
      </w:r>
      <w:r w:rsidRPr="000858E6">
        <w:rPr>
          <w:lang w:val="fr-FR"/>
        </w:rPr>
        <w:tab/>
        <w:t>Contrôle du respect;</w:t>
      </w:r>
    </w:p>
    <w:p w14:paraId="5F0B0580"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lang w:val="fr-FR"/>
        </w:rPr>
        <w:t>d)</w:t>
      </w:r>
      <w:r w:rsidRPr="000858E6">
        <w:rPr>
          <w:lang w:val="fr-FR"/>
        </w:rPr>
        <w:tab/>
        <w:t>Coopération internationale avec les accords multilatéraux sur l’environnement, les organisations intergouvernementales et non gouvernementales;</w:t>
      </w:r>
    </w:p>
    <w:p w14:paraId="44DEF2F7"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lang w:val="fr-FR"/>
        </w:rPr>
        <w:t>e)</w:t>
      </w:r>
      <w:r w:rsidRPr="000858E6">
        <w:rPr>
          <w:lang w:val="fr-FR"/>
        </w:rPr>
        <w:tab/>
        <w:t>Coopération entre le PNUE et l’Organisation des Nations Unies pour l’alimentation et l’agriculture aux fins de la Convention de Rotterdam;</w:t>
      </w:r>
    </w:p>
    <w:p w14:paraId="381BC40C"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lang w:val="fr-FR"/>
        </w:rPr>
        <w:t>f)</w:t>
      </w:r>
      <w:r w:rsidRPr="000858E6">
        <w:rPr>
          <w:lang w:val="fr-FR"/>
        </w:rPr>
        <w:tab/>
        <w:t>Services de conférence;</w:t>
      </w:r>
    </w:p>
    <w:p w14:paraId="1C3CE3CB"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lang w:val="fr-FR"/>
        </w:rPr>
        <w:t>g)</w:t>
      </w:r>
      <w:r w:rsidRPr="000858E6">
        <w:rPr>
          <w:lang w:val="fr-FR"/>
        </w:rPr>
        <w:tab/>
        <w:t>Gestion des connaissances/de l’information et sensibilisation du public;</w:t>
      </w:r>
    </w:p>
    <w:p w14:paraId="66FB97A5" w14:textId="77777777" w:rsidR="00882821" w:rsidRPr="000858E6" w:rsidRDefault="00882821" w:rsidP="0051380D">
      <w:pPr>
        <w:pStyle w:val="NormalNonumber"/>
        <w:tabs>
          <w:tab w:val="clear" w:pos="1247"/>
          <w:tab w:val="clear" w:pos="1814"/>
          <w:tab w:val="left" w:pos="4678"/>
        </w:tabs>
        <w:ind w:left="1260" w:firstLine="583"/>
        <w:rPr>
          <w:lang w:val="fr-FR"/>
        </w:rPr>
      </w:pPr>
      <w:r w:rsidRPr="000858E6">
        <w:rPr>
          <w:lang w:val="fr-FR"/>
        </w:rPr>
        <w:t>h)</w:t>
      </w:r>
      <w:r w:rsidRPr="000858E6">
        <w:rPr>
          <w:lang w:val="fr-FR"/>
        </w:rPr>
        <w:tab/>
        <w:t>Technologies de l’information.</w:t>
      </w:r>
    </w:p>
    <w:p w14:paraId="4B60DACE" w14:textId="4BB7512C" w:rsidR="001D7D1A" w:rsidRDefault="0055688C" w:rsidP="001D7D1A">
      <w:pPr>
        <w:pStyle w:val="NormalNonumber"/>
        <w:numPr>
          <w:ilvl w:val="0"/>
          <w:numId w:val="139"/>
        </w:numPr>
        <w:tabs>
          <w:tab w:val="clear" w:pos="1814"/>
          <w:tab w:val="left" w:pos="1843"/>
        </w:tabs>
        <w:ind w:firstLine="556"/>
        <w:rPr>
          <w:rFonts w:eastAsia="MS Mincho"/>
          <w:lang w:val="fr-FR"/>
        </w:rPr>
      </w:pPr>
      <w:r w:rsidRPr="000858E6">
        <w:rPr>
          <w:rFonts w:eastAsia="MS Mincho"/>
          <w:lang w:val="fr-FR"/>
        </w:rPr>
        <w:t>Le Service de l’assistance technique est chargé de ce qui suit :</w:t>
      </w:r>
    </w:p>
    <w:p w14:paraId="7ECDDF04" w14:textId="77777777" w:rsidR="001D7D1A" w:rsidRPr="000858E6" w:rsidRDefault="001D7D1A" w:rsidP="0051380D">
      <w:pPr>
        <w:pStyle w:val="NormalNonumber"/>
        <w:tabs>
          <w:tab w:val="clear" w:pos="1247"/>
          <w:tab w:val="clear" w:pos="1814"/>
          <w:tab w:val="left" w:pos="4678"/>
        </w:tabs>
        <w:ind w:left="1260" w:firstLine="583"/>
        <w:rPr>
          <w:lang w:val="fr-FR"/>
        </w:rPr>
      </w:pPr>
      <w:r w:rsidRPr="000858E6">
        <w:rPr>
          <w:rFonts w:eastAsia="MS Mincho"/>
          <w:lang w:val="fr-FR"/>
        </w:rPr>
        <w:t>a)</w:t>
      </w:r>
      <w:r w:rsidRPr="0051380D">
        <w:rPr>
          <w:lang w:val="fr-FR"/>
        </w:rPr>
        <w:tab/>
      </w:r>
      <w:r w:rsidRPr="000858E6">
        <w:rPr>
          <w:lang w:val="fr-FR"/>
        </w:rPr>
        <w:t>Élaboration et gestion du programme d’assistance technique pour les conventions;</w:t>
      </w:r>
    </w:p>
    <w:p w14:paraId="3AF19490" w14:textId="77777777" w:rsidR="001D7D1A" w:rsidRPr="000858E6" w:rsidRDefault="001D7D1A" w:rsidP="0051380D">
      <w:pPr>
        <w:pStyle w:val="NormalNonumber"/>
        <w:tabs>
          <w:tab w:val="clear" w:pos="1247"/>
          <w:tab w:val="clear" w:pos="1814"/>
          <w:tab w:val="left" w:pos="4678"/>
        </w:tabs>
        <w:ind w:left="1260" w:firstLine="583"/>
        <w:rPr>
          <w:lang w:val="fr-FR"/>
        </w:rPr>
      </w:pPr>
      <w:r w:rsidRPr="000858E6">
        <w:rPr>
          <w:lang w:val="fr-FR"/>
        </w:rPr>
        <w:t>b)</w:t>
      </w:r>
      <w:r w:rsidRPr="000858E6">
        <w:rPr>
          <w:lang w:val="fr-FR"/>
        </w:rPr>
        <w:tab/>
        <w:t>Évaluation des besoins (y compris les plans nationaux de mise en œuvre et les plans d’action nationaux, etc.);</w:t>
      </w:r>
    </w:p>
    <w:p w14:paraId="60DD38BE" w14:textId="77777777" w:rsidR="001D7D1A" w:rsidRPr="000858E6" w:rsidRDefault="001D7D1A" w:rsidP="0051380D">
      <w:pPr>
        <w:pStyle w:val="NormalNonumber"/>
        <w:tabs>
          <w:tab w:val="clear" w:pos="1247"/>
          <w:tab w:val="clear" w:pos="1814"/>
          <w:tab w:val="left" w:pos="4678"/>
        </w:tabs>
        <w:ind w:left="1260" w:firstLine="583"/>
        <w:rPr>
          <w:lang w:val="fr-FR"/>
        </w:rPr>
      </w:pPr>
      <w:r w:rsidRPr="000858E6">
        <w:rPr>
          <w:lang w:val="fr-FR"/>
        </w:rPr>
        <w:t>c)</w:t>
      </w:r>
      <w:r w:rsidRPr="000858E6">
        <w:rPr>
          <w:lang w:val="fr-FR"/>
        </w:rPr>
        <w:tab/>
        <w:t>Activités de renforcement des capacités et de formation (projets, ateliers, séminaires en ligne, formation en ligne, etc.);</w:t>
      </w:r>
    </w:p>
    <w:p w14:paraId="21D6C876" w14:textId="77777777" w:rsidR="001D7D1A" w:rsidRPr="000858E6" w:rsidRDefault="001D7D1A" w:rsidP="0051380D">
      <w:pPr>
        <w:pStyle w:val="NormalNonumber"/>
        <w:tabs>
          <w:tab w:val="clear" w:pos="1247"/>
          <w:tab w:val="clear" w:pos="1814"/>
          <w:tab w:val="left" w:pos="4678"/>
        </w:tabs>
        <w:ind w:left="1260" w:firstLine="583"/>
        <w:rPr>
          <w:lang w:val="fr-FR"/>
        </w:rPr>
      </w:pPr>
      <w:r w:rsidRPr="000858E6">
        <w:rPr>
          <w:lang w:val="fr-FR"/>
        </w:rPr>
        <w:t>d)</w:t>
      </w:r>
      <w:r w:rsidRPr="000858E6">
        <w:rPr>
          <w:lang w:val="fr-FR"/>
        </w:rPr>
        <w:tab/>
        <w:t>Partenariats;</w:t>
      </w:r>
    </w:p>
    <w:p w14:paraId="47D51EE0" w14:textId="77777777" w:rsidR="001D7D1A" w:rsidRPr="000858E6" w:rsidRDefault="001D7D1A" w:rsidP="001D7D1A">
      <w:pPr>
        <w:pStyle w:val="NormalNonumber"/>
        <w:tabs>
          <w:tab w:val="clear" w:pos="1247"/>
          <w:tab w:val="clear" w:pos="1814"/>
          <w:tab w:val="left" w:pos="1843"/>
          <w:tab w:val="left" w:pos="4678"/>
        </w:tabs>
        <w:ind w:left="1843"/>
        <w:rPr>
          <w:lang w:val="fr-FR"/>
        </w:rPr>
      </w:pPr>
      <w:r w:rsidRPr="000858E6">
        <w:rPr>
          <w:lang w:val="fr-FR"/>
        </w:rPr>
        <w:t>e)</w:t>
      </w:r>
      <w:r w:rsidRPr="000858E6">
        <w:rPr>
          <w:lang w:val="fr-FR"/>
        </w:rPr>
        <w:tab/>
        <w:t>Centres régionaux.</w:t>
      </w:r>
    </w:p>
    <w:p w14:paraId="7D45CE34" w14:textId="476CCA7E" w:rsidR="0041238C" w:rsidRDefault="007A4AEE" w:rsidP="00911861">
      <w:pPr>
        <w:pStyle w:val="Normal-pool"/>
        <w:keepNext/>
        <w:keepLines/>
        <w:numPr>
          <w:ilvl w:val="0"/>
          <w:numId w:val="139"/>
        </w:numPr>
        <w:tabs>
          <w:tab w:val="clear" w:pos="1247"/>
          <w:tab w:val="clear" w:pos="1814"/>
          <w:tab w:val="clear" w:pos="2381"/>
          <w:tab w:val="clear" w:pos="2948"/>
          <w:tab w:val="clear" w:pos="3515"/>
          <w:tab w:val="clear" w:pos="4082"/>
          <w:tab w:val="left" w:pos="624"/>
        </w:tabs>
        <w:spacing w:after="120"/>
        <w:ind w:left="1247" w:firstLine="0"/>
        <w:rPr>
          <w:lang w:val="fr-CH"/>
        </w:rPr>
      </w:pPr>
      <w:r w:rsidRPr="007A4AEE">
        <w:rPr>
          <w:lang w:val="fr-CH"/>
        </w:rPr>
        <w:t xml:space="preserve">Le Service de l’appui scientifique est chargé de ce qui suit </w:t>
      </w:r>
      <w:r w:rsidR="0041238C" w:rsidRPr="007A4AEE">
        <w:rPr>
          <w:lang w:val="fr-CH"/>
        </w:rPr>
        <w:t>:</w:t>
      </w:r>
    </w:p>
    <w:p w14:paraId="4988553F" w14:textId="77777777" w:rsidR="007A4AEE" w:rsidRPr="000858E6" w:rsidRDefault="007A4AEE" w:rsidP="00587B95">
      <w:pPr>
        <w:pStyle w:val="NormalNonumber"/>
        <w:tabs>
          <w:tab w:val="clear" w:pos="1247"/>
          <w:tab w:val="clear" w:pos="1814"/>
          <w:tab w:val="left" w:pos="4678"/>
        </w:tabs>
        <w:ind w:left="1260" w:firstLine="583"/>
        <w:rPr>
          <w:lang w:val="fr-FR"/>
        </w:rPr>
      </w:pPr>
      <w:r w:rsidRPr="000858E6">
        <w:rPr>
          <w:lang w:val="fr-FR"/>
        </w:rPr>
        <w:t>a)</w:t>
      </w:r>
      <w:r w:rsidRPr="000858E6">
        <w:rPr>
          <w:lang w:val="fr-FR"/>
        </w:rPr>
        <w:tab/>
        <w:t>Contribution technique et scientifique;</w:t>
      </w:r>
    </w:p>
    <w:p w14:paraId="0E3B2403" w14:textId="77777777" w:rsidR="007A4AEE" w:rsidRPr="000858E6" w:rsidRDefault="007A4AEE" w:rsidP="00587B95">
      <w:pPr>
        <w:pStyle w:val="NormalNonumber"/>
        <w:tabs>
          <w:tab w:val="clear" w:pos="1247"/>
          <w:tab w:val="clear" w:pos="1814"/>
          <w:tab w:val="left" w:pos="4678"/>
        </w:tabs>
        <w:ind w:left="1260" w:firstLine="583"/>
        <w:rPr>
          <w:lang w:val="fr-FR"/>
        </w:rPr>
      </w:pPr>
      <w:r w:rsidRPr="000858E6">
        <w:rPr>
          <w:lang w:val="fr-FR"/>
        </w:rPr>
        <w:lastRenderedPageBreak/>
        <w:t>b)</w:t>
      </w:r>
      <w:r w:rsidRPr="000858E6">
        <w:rPr>
          <w:lang w:val="fr-FR"/>
        </w:rPr>
        <w:tab/>
        <w:t>Appui aux travaux scientifiques des conférences de Parties et de leurs organes subsidiaires, notamment au cours des intersessions;</w:t>
      </w:r>
    </w:p>
    <w:p w14:paraId="0DE13D91" w14:textId="77777777" w:rsidR="007A4AEE" w:rsidRPr="000858E6" w:rsidRDefault="007A4AEE" w:rsidP="00587B95">
      <w:pPr>
        <w:pStyle w:val="NormalNonumber"/>
        <w:tabs>
          <w:tab w:val="clear" w:pos="1247"/>
          <w:tab w:val="clear" w:pos="1814"/>
          <w:tab w:val="left" w:pos="4678"/>
        </w:tabs>
        <w:ind w:left="1260" w:firstLine="583"/>
        <w:rPr>
          <w:lang w:val="fr-FR"/>
        </w:rPr>
      </w:pPr>
      <w:r w:rsidRPr="000858E6">
        <w:rPr>
          <w:lang w:val="fr-FR"/>
        </w:rPr>
        <w:t>c)</w:t>
      </w:r>
      <w:r w:rsidRPr="000858E6">
        <w:rPr>
          <w:lang w:val="fr-FR"/>
        </w:rPr>
        <w:tab/>
        <w:t>Élaboration de documents techniques, y compris des lignes directrices et des orientations;</w:t>
      </w:r>
    </w:p>
    <w:p w14:paraId="1503992D" w14:textId="77777777" w:rsidR="007A4AEE" w:rsidRPr="000858E6" w:rsidRDefault="007A4AEE" w:rsidP="00587B95">
      <w:pPr>
        <w:pStyle w:val="NormalNonumber"/>
        <w:tabs>
          <w:tab w:val="clear" w:pos="1247"/>
          <w:tab w:val="clear" w:pos="1814"/>
          <w:tab w:val="left" w:pos="4678"/>
        </w:tabs>
        <w:ind w:left="1260" w:firstLine="583"/>
        <w:rPr>
          <w:lang w:val="fr-FR"/>
        </w:rPr>
      </w:pPr>
      <w:r w:rsidRPr="000858E6">
        <w:rPr>
          <w:lang w:val="fr-FR"/>
        </w:rPr>
        <w:t>d)</w:t>
      </w:r>
      <w:r w:rsidRPr="000858E6">
        <w:rPr>
          <w:lang w:val="fr-FR"/>
        </w:rPr>
        <w:tab/>
        <w:t>Gestion de la collecte, de l’examen, de l’analyse et de l’évaluation des informations scientifiques et techniques;</w:t>
      </w:r>
    </w:p>
    <w:p w14:paraId="46182159" w14:textId="26C3CD93" w:rsidR="007A4AEE" w:rsidRPr="000858E6" w:rsidRDefault="007A4AEE" w:rsidP="007A4AEE">
      <w:pPr>
        <w:pStyle w:val="NormalNonumber"/>
        <w:tabs>
          <w:tab w:val="clear" w:pos="1247"/>
          <w:tab w:val="clear" w:pos="1814"/>
          <w:tab w:val="left" w:pos="1843"/>
          <w:tab w:val="left" w:pos="4536"/>
        </w:tabs>
        <w:ind w:left="1843"/>
        <w:rPr>
          <w:lang w:val="fr-FR"/>
        </w:rPr>
        <w:sectPr w:rsidR="007A4AEE" w:rsidRPr="000858E6" w:rsidSect="007A4AEE">
          <w:type w:val="continuous"/>
          <w:pgSz w:w="11906" w:h="16838" w:code="9"/>
          <w:pgMar w:top="907" w:right="992" w:bottom="1418" w:left="1418" w:header="539" w:footer="975" w:gutter="0"/>
          <w:cols w:space="708"/>
          <w:docGrid w:linePitch="360"/>
        </w:sectPr>
      </w:pPr>
      <w:r w:rsidRPr="000858E6">
        <w:rPr>
          <w:lang w:val="fr-FR"/>
        </w:rPr>
        <w:t>e)</w:t>
      </w:r>
      <w:r w:rsidRPr="000858E6">
        <w:rPr>
          <w:lang w:val="fr-FR"/>
        </w:rPr>
        <w:tab/>
        <w:t>Établissement des rapports nationaux, des n</w:t>
      </w:r>
      <w:r w:rsidR="00747583">
        <w:rPr>
          <w:lang w:val="fr-FR"/>
        </w:rPr>
        <w:t>otifications et des dérogations.</w:t>
      </w:r>
    </w:p>
    <w:p w14:paraId="0C2A9105" w14:textId="40B25765" w:rsidR="0041238C" w:rsidRPr="007E304A" w:rsidRDefault="00747583" w:rsidP="00747583">
      <w:pPr>
        <w:pStyle w:val="Normal-pool"/>
        <w:spacing w:before="240" w:after="120"/>
        <w:rPr>
          <w:b/>
        </w:rPr>
      </w:pPr>
      <w:r>
        <w:rPr>
          <w:lang w:val="fr-CH"/>
        </w:rPr>
        <w:tab/>
      </w:r>
      <w:r w:rsidR="0041238C" w:rsidRPr="006432A8">
        <w:t>Table</w:t>
      </w:r>
      <w:r w:rsidR="004B7FFA">
        <w:t>au</w:t>
      </w:r>
      <w:r w:rsidR="0041238C" w:rsidRPr="006432A8">
        <w:t xml:space="preserve"> </w:t>
      </w:r>
      <w:r w:rsidR="00CE19FB" w:rsidRPr="006432A8">
        <w:t>1</w:t>
      </w:r>
    </w:p>
    <w:tbl>
      <w:tblPr>
        <w:tblW w:w="8222" w:type="dxa"/>
        <w:tblInd w:w="1384" w:type="dxa"/>
        <w:tblCellMar>
          <w:left w:w="0" w:type="dxa"/>
          <w:right w:w="0" w:type="dxa"/>
        </w:tblCellMar>
        <w:tblLook w:val="0600" w:firstRow="0" w:lastRow="0" w:firstColumn="0" w:lastColumn="0" w:noHBand="1" w:noVBand="1"/>
      </w:tblPr>
      <w:tblGrid>
        <w:gridCol w:w="3190"/>
        <w:gridCol w:w="2481"/>
        <w:gridCol w:w="2551"/>
      </w:tblGrid>
      <w:tr w:rsidR="0041238C" w:rsidRPr="00A84D20" w14:paraId="1AB32A52" w14:textId="77777777" w:rsidTr="006432A8">
        <w:trPr>
          <w:trHeight w:val="515"/>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80A357F" w14:textId="128DCEC1" w:rsidR="00747583" w:rsidRPr="003825B6" w:rsidRDefault="00747583" w:rsidP="003B687C">
            <w:pPr>
              <w:spacing w:before="80" w:after="80"/>
              <w:rPr>
                <w:rFonts w:eastAsia="SimSun"/>
                <w:b/>
                <w:bCs/>
                <w:color w:val="000000" w:themeColor="text1"/>
                <w:kern w:val="24"/>
                <w:lang w:val="fr-CH"/>
              </w:rPr>
            </w:pPr>
            <w:r w:rsidRPr="003825B6">
              <w:rPr>
                <w:b/>
                <w:bCs/>
                <w:lang w:val="fr-CH"/>
              </w:rPr>
              <w:t xml:space="preserve">Option 1 </w:t>
            </w:r>
            <w:r w:rsidR="003E3369" w:rsidRPr="003825B6">
              <w:rPr>
                <w:b/>
                <w:bCs/>
                <w:lang w:val="fr-CH"/>
              </w:rPr>
              <w:t xml:space="preserve">a) </w:t>
            </w:r>
            <w:r w:rsidR="001A2884" w:rsidRPr="003825B6">
              <w:rPr>
                <w:b/>
                <w:bCs/>
                <w:lang w:val="fr-CH"/>
              </w:rPr>
              <w:t>(</w:t>
            </w:r>
            <w:r w:rsidRPr="003825B6">
              <w:rPr>
                <w:b/>
                <w:bCs/>
                <w:lang w:val="fr-CH"/>
              </w:rPr>
              <w:t>fusionnement)</w:t>
            </w:r>
            <w:r w:rsidR="006E4A56">
              <w:rPr>
                <w:b/>
                <w:bCs/>
                <w:lang w:val="fr-CH"/>
              </w:rPr>
              <w:t> </w:t>
            </w:r>
            <w:r w:rsidRPr="003825B6">
              <w:rPr>
                <w:b/>
                <w:bCs/>
                <w:lang w:val="fr-CH"/>
              </w:rPr>
              <w:t xml:space="preserve">: Incorporation des fonctions du </w:t>
            </w:r>
            <w:r w:rsidR="003B687C" w:rsidRPr="003825B6">
              <w:rPr>
                <w:b/>
                <w:bCs/>
                <w:lang w:val="fr-CH"/>
              </w:rPr>
              <w:t>secré</w:t>
            </w:r>
            <w:r w:rsidRPr="003825B6">
              <w:rPr>
                <w:b/>
                <w:bCs/>
                <w:lang w:val="fr-CH"/>
              </w:rPr>
              <w:t>tariat de la Convention de Minamata dans la structure actuelle du Secrétariat des conventions de Bâle, de Rotterdam et de Stockholm</w:t>
            </w:r>
            <w:r w:rsidR="003B687C" w:rsidRPr="003825B6">
              <w:rPr>
                <w:b/>
                <w:bCs/>
                <w:lang w:val="fr-CH"/>
              </w:rPr>
              <w:t xml:space="preserve"> (lieu d’implantation : Genève)</w:t>
            </w:r>
            <w:r w:rsidR="003E3369" w:rsidRPr="003825B6">
              <w:rPr>
                <w:b/>
                <w:bCs/>
                <w:lang w:val="fr-CH"/>
              </w:rPr>
              <w:t xml:space="preserve"> </w:t>
            </w:r>
          </w:p>
        </w:tc>
      </w:tr>
      <w:tr w:rsidR="0041238C" w:rsidRPr="007E304A" w14:paraId="3EC81E73" w14:textId="77777777" w:rsidTr="006432A8">
        <w:trPr>
          <w:trHeight w:val="268"/>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66B55D1" w14:textId="6327E77D" w:rsidR="0041238C" w:rsidRPr="003825B6" w:rsidRDefault="005E2B18" w:rsidP="00A151A9">
            <w:pPr>
              <w:tabs>
                <w:tab w:val="clear" w:pos="1247"/>
                <w:tab w:val="clear" w:pos="1814"/>
                <w:tab w:val="clear" w:pos="2381"/>
                <w:tab w:val="clear" w:pos="2948"/>
                <w:tab w:val="clear" w:pos="3515"/>
              </w:tabs>
              <w:spacing w:line="256" w:lineRule="auto"/>
              <w:textAlignment w:val="baseline"/>
              <w:rPr>
                <w:lang w:val="fr-CH"/>
              </w:rPr>
            </w:pPr>
            <w:r w:rsidRPr="003825B6">
              <w:rPr>
                <w:rFonts w:eastAsia="SimSun"/>
                <w:b/>
                <w:bCs/>
                <w:color w:val="000000" w:themeColor="text1"/>
                <w:kern w:val="24"/>
                <w:lang w:val="fr-CH"/>
              </w:rPr>
              <w:t xml:space="preserve">Services </w:t>
            </w:r>
            <w:r w:rsidR="00A151A9">
              <w:rPr>
                <w:rFonts w:eastAsia="SimSun"/>
                <w:b/>
                <w:bCs/>
                <w:color w:val="000000" w:themeColor="text1"/>
                <w:kern w:val="24"/>
                <w:lang w:val="fr-CH"/>
              </w:rPr>
              <w:t>exécutifs</w:t>
            </w:r>
          </w:p>
        </w:tc>
      </w:tr>
      <w:tr w:rsidR="0041238C" w:rsidRPr="007E304A" w14:paraId="19F48B49" w14:textId="77777777" w:rsidTr="006432A8">
        <w:trPr>
          <w:trHeight w:val="303"/>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1E44EE5B" w14:textId="5578B98B" w:rsidR="0041238C" w:rsidRPr="003825B6" w:rsidRDefault="005E2B18"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Secrétaire exécutif</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5578E4F6" w14:textId="0E763E37" w:rsidR="0041238C" w:rsidRPr="007E304A" w:rsidRDefault="003354DA" w:rsidP="003354DA">
            <w:pPr>
              <w:tabs>
                <w:tab w:val="clear" w:pos="1247"/>
                <w:tab w:val="clear" w:pos="1814"/>
                <w:tab w:val="clear" w:pos="2381"/>
                <w:tab w:val="clear" w:pos="2948"/>
                <w:tab w:val="clear" w:pos="3515"/>
              </w:tabs>
              <w:spacing w:line="256" w:lineRule="auto"/>
              <w:jc w:val="center"/>
              <w:textAlignment w:val="baseline"/>
            </w:pPr>
            <w:r>
              <w:rPr>
                <w:rFonts w:eastAsia="SimSun"/>
                <w:color w:val="000000" w:themeColor="text1"/>
                <w:kern w:val="24"/>
              </w:rPr>
              <w:t xml:space="preserve">20% de </w:t>
            </w:r>
            <w:r w:rsidR="0041238C" w:rsidRPr="007E304A">
              <w:rPr>
                <w:rFonts w:eastAsia="SimSun"/>
                <w:color w:val="000000" w:themeColor="text1"/>
                <w:kern w:val="24"/>
              </w:rPr>
              <w:t>D-2</w:t>
            </w:r>
          </w:p>
        </w:tc>
      </w:tr>
      <w:tr w:rsidR="0041238C" w:rsidRPr="007E304A" w14:paraId="20B0ABD7" w14:textId="77777777" w:rsidTr="006432A8">
        <w:trPr>
          <w:trHeight w:val="210"/>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559021CC" w14:textId="6D03EDF9" w:rsidR="0041238C" w:rsidRPr="003825B6" w:rsidRDefault="005E2B18"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Secrétaire exécutif adjoint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156D6461" w14:textId="4E63B7AB" w:rsidR="0041238C" w:rsidRPr="007E304A" w:rsidRDefault="003354DA" w:rsidP="0041238C">
            <w:pPr>
              <w:tabs>
                <w:tab w:val="clear" w:pos="1247"/>
                <w:tab w:val="clear" w:pos="1814"/>
                <w:tab w:val="clear" w:pos="2381"/>
                <w:tab w:val="clear" w:pos="2948"/>
                <w:tab w:val="clear" w:pos="3515"/>
              </w:tabs>
              <w:spacing w:line="256" w:lineRule="auto"/>
              <w:jc w:val="center"/>
              <w:textAlignment w:val="baseline"/>
            </w:pPr>
            <w:r>
              <w:rPr>
                <w:rFonts w:eastAsia="SimSun"/>
                <w:color w:val="000000" w:themeColor="text1"/>
                <w:kern w:val="24"/>
              </w:rPr>
              <w:t>20% de</w:t>
            </w:r>
            <w:r w:rsidR="0041238C" w:rsidRPr="007E304A">
              <w:rPr>
                <w:rFonts w:eastAsia="SimSun"/>
                <w:color w:val="000000" w:themeColor="text1"/>
                <w:kern w:val="24"/>
              </w:rPr>
              <w:t xml:space="preserve"> D-1</w:t>
            </w:r>
          </w:p>
        </w:tc>
      </w:tr>
      <w:tr w:rsidR="0041238C" w:rsidRPr="007E304A" w14:paraId="6F6D7093" w14:textId="77777777" w:rsidTr="006432A8">
        <w:trPr>
          <w:trHeight w:val="284"/>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34BD1F56" w14:textId="09893D10" w:rsidR="0041238C" w:rsidRPr="003825B6" w:rsidRDefault="005E2B18" w:rsidP="003354DA">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 xml:space="preserve">Autres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hideMark/>
          </w:tcPr>
          <w:p w14:paraId="566803FA" w14:textId="62000D9B" w:rsidR="0041238C" w:rsidRPr="007E304A" w:rsidRDefault="0041238C" w:rsidP="003354DA">
            <w:pPr>
              <w:tabs>
                <w:tab w:val="clear" w:pos="1247"/>
                <w:tab w:val="clear" w:pos="1814"/>
                <w:tab w:val="clear" w:pos="2381"/>
                <w:tab w:val="clear" w:pos="2948"/>
                <w:tab w:val="clear" w:pos="3515"/>
              </w:tabs>
              <w:spacing w:line="256" w:lineRule="auto"/>
              <w:jc w:val="center"/>
              <w:textAlignment w:val="baseline"/>
            </w:pPr>
            <w:r w:rsidRPr="007E304A">
              <w:rPr>
                <w:rFonts w:eastAsia="SimSun"/>
                <w:color w:val="000000" w:themeColor="text1"/>
                <w:kern w:val="24"/>
              </w:rPr>
              <w:t>2xP-5, P-4, 2x</w:t>
            </w:r>
            <w:r w:rsidR="003354DA">
              <w:rPr>
                <w:rFonts w:eastAsia="SimSun"/>
                <w:color w:val="000000" w:themeColor="text1"/>
                <w:kern w:val="24"/>
              </w:rPr>
              <w:t>SG</w:t>
            </w:r>
            <w:r w:rsidRPr="007E304A">
              <w:rPr>
                <w:rFonts w:eastAsia="SimSun"/>
                <w:color w:val="000000" w:themeColor="text1"/>
                <w:kern w:val="24"/>
              </w:rPr>
              <w:t xml:space="preserve"> </w:t>
            </w:r>
          </w:p>
        </w:tc>
      </w:tr>
      <w:tr w:rsidR="0041238C" w:rsidRPr="007E304A" w14:paraId="35CEA180" w14:textId="77777777" w:rsidTr="006432A8">
        <w:trPr>
          <w:trHeight w:val="33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5484A0AD" w14:textId="5F4754B3" w:rsidR="0041238C" w:rsidRPr="003825B6" w:rsidRDefault="0041342C" w:rsidP="0041238C">
            <w:pPr>
              <w:tabs>
                <w:tab w:val="clear" w:pos="1247"/>
                <w:tab w:val="clear" w:pos="1814"/>
                <w:tab w:val="clear" w:pos="2381"/>
                <w:tab w:val="clear" w:pos="2948"/>
                <w:tab w:val="clear" w:pos="3515"/>
              </w:tabs>
              <w:spacing w:line="256" w:lineRule="auto"/>
              <w:textAlignment w:val="baseline"/>
              <w:rPr>
                <w:rFonts w:eastAsia="SimSun"/>
                <w:b/>
                <w:color w:val="000000" w:themeColor="text1"/>
                <w:kern w:val="24"/>
                <w:lang w:val="fr-CH"/>
              </w:rPr>
            </w:pPr>
            <w:r w:rsidRPr="003825B6">
              <w:rPr>
                <w:rFonts w:eastAsia="SimSun"/>
                <w:b/>
                <w:color w:val="000000" w:themeColor="text1"/>
                <w:kern w:val="24"/>
                <w:lang w:val="fr-CH"/>
              </w:rPr>
              <w:t>Postes</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7F14EEA0" w14:textId="00F55B26" w:rsidR="0041238C" w:rsidRPr="003825B6" w:rsidRDefault="0041342C" w:rsidP="0041238C">
            <w:pPr>
              <w:tabs>
                <w:tab w:val="clear" w:pos="1247"/>
                <w:tab w:val="clear" w:pos="1814"/>
                <w:tab w:val="clear" w:pos="2381"/>
                <w:tab w:val="clear" w:pos="2948"/>
                <w:tab w:val="clear" w:pos="3515"/>
              </w:tabs>
              <w:jc w:val="center"/>
              <w:textAlignment w:val="baseline"/>
              <w:rPr>
                <w:lang w:val="fr-CH"/>
              </w:rPr>
            </w:pPr>
            <w:r w:rsidRPr="003825B6">
              <w:rPr>
                <w:rFonts w:eastAsia="SimSun"/>
                <w:b/>
                <w:bCs/>
                <w:color w:val="000000" w:themeColor="text1"/>
                <w:kern w:val="24"/>
                <w:lang w:val="fr-CH"/>
              </w:rPr>
              <w:t>Personnel actuel du secrétariat des conventions de Bâle</w:t>
            </w:r>
            <w:r w:rsidR="00B25EB5" w:rsidRPr="003825B6">
              <w:rPr>
                <w:rFonts w:eastAsia="SimSun"/>
                <w:b/>
                <w:bCs/>
                <w:color w:val="000000" w:themeColor="text1"/>
                <w:kern w:val="24"/>
                <w:lang w:val="fr-CH"/>
              </w:rPr>
              <w:t xml:space="preserve">, </w:t>
            </w:r>
            <w:r w:rsidRPr="003825B6">
              <w:rPr>
                <w:rFonts w:eastAsia="SimSun"/>
                <w:b/>
                <w:bCs/>
                <w:color w:val="000000" w:themeColor="text1"/>
                <w:kern w:val="24"/>
                <w:lang w:val="fr-CH"/>
              </w:rPr>
              <w:t xml:space="preserve">de </w:t>
            </w:r>
            <w:r w:rsidR="00B25EB5" w:rsidRPr="003825B6">
              <w:rPr>
                <w:rFonts w:eastAsia="SimSun"/>
                <w:b/>
                <w:bCs/>
                <w:color w:val="000000" w:themeColor="text1"/>
                <w:kern w:val="24"/>
                <w:lang w:val="fr-CH"/>
              </w:rPr>
              <w:t xml:space="preserve">Rotterdam </w:t>
            </w:r>
            <w:r w:rsidRPr="003825B6">
              <w:rPr>
                <w:rFonts w:eastAsia="SimSun"/>
                <w:b/>
                <w:bCs/>
                <w:color w:val="000000" w:themeColor="text1"/>
                <w:kern w:val="24"/>
                <w:lang w:val="fr-CH"/>
              </w:rPr>
              <w:t xml:space="preserve">et de </w:t>
            </w:r>
            <w:r w:rsidR="00B25EB5" w:rsidRPr="003825B6">
              <w:rPr>
                <w:rFonts w:eastAsia="SimSun"/>
                <w:b/>
                <w:bCs/>
                <w:color w:val="000000" w:themeColor="text1"/>
                <w:kern w:val="24"/>
                <w:lang w:val="fr-CH"/>
              </w:rPr>
              <w:t>Stockholm</w:t>
            </w:r>
            <w:r w:rsidR="0041238C" w:rsidRPr="003825B6">
              <w:rPr>
                <w:rFonts w:eastAsia="SimSun"/>
                <w:b/>
                <w:bCs/>
                <w:color w:val="000000" w:themeColor="text1"/>
                <w:kern w:val="24"/>
                <w:lang w:val="fr-CH"/>
              </w:rPr>
              <w:t xml:space="preserve"> </w:t>
            </w:r>
          </w:p>
          <w:p w14:paraId="42057579" w14:textId="59333C85" w:rsidR="0041238C" w:rsidRPr="003825B6" w:rsidRDefault="0041238C" w:rsidP="006A49F4">
            <w:pPr>
              <w:tabs>
                <w:tab w:val="clear" w:pos="1247"/>
                <w:tab w:val="clear" w:pos="1814"/>
                <w:tab w:val="clear" w:pos="2381"/>
                <w:tab w:val="clear" w:pos="2948"/>
                <w:tab w:val="clear" w:pos="3515"/>
              </w:tabs>
              <w:spacing w:line="256" w:lineRule="auto"/>
              <w:jc w:val="center"/>
              <w:textAlignment w:val="baseline"/>
              <w:rPr>
                <w:rFonts w:eastAsia="SimSun"/>
                <w:b/>
                <w:bCs/>
                <w:color w:val="000000" w:themeColor="text1"/>
                <w:kern w:val="24"/>
                <w:sz w:val="18"/>
                <w:szCs w:val="18"/>
                <w:lang w:val="fr-CH"/>
              </w:rPr>
            </w:pPr>
            <w:r w:rsidRPr="003825B6">
              <w:rPr>
                <w:rFonts w:eastAsia="SimSun"/>
                <w:b/>
                <w:bCs/>
                <w:color w:val="000000" w:themeColor="text1"/>
                <w:kern w:val="24"/>
                <w:sz w:val="18"/>
                <w:szCs w:val="18"/>
                <w:lang w:val="fr-CH"/>
              </w:rPr>
              <w:t>(</w:t>
            </w:r>
            <w:r w:rsidR="00060565" w:rsidRPr="003825B6">
              <w:rPr>
                <w:rFonts w:eastAsia="SimSun"/>
                <w:b/>
                <w:bCs/>
                <w:color w:val="000000" w:themeColor="text1"/>
                <w:kern w:val="24"/>
                <w:sz w:val="18"/>
                <w:szCs w:val="18"/>
                <w:lang w:val="fr-CH"/>
              </w:rPr>
              <w:t>moyenne approximative de 20</w:t>
            </w:r>
            <w:r w:rsidR="006A49F4" w:rsidRPr="003825B6">
              <w:rPr>
                <w:rFonts w:eastAsia="SimSun"/>
                <w:b/>
                <w:bCs/>
                <w:color w:val="000000" w:themeColor="text1"/>
                <w:kern w:val="24"/>
                <w:sz w:val="18"/>
                <w:szCs w:val="18"/>
                <w:lang w:val="fr-CH"/>
              </w:rPr>
              <w:t> % du temps accordé à la Convention de Minamata)</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vAlign w:val="center"/>
          </w:tcPr>
          <w:p w14:paraId="66787287" w14:textId="43C0B8BD" w:rsidR="0041238C" w:rsidRPr="007E304A" w:rsidRDefault="00060565" w:rsidP="0041238C">
            <w:pPr>
              <w:tabs>
                <w:tab w:val="clear" w:pos="1247"/>
                <w:tab w:val="clear" w:pos="1814"/>
                <w:tab w:val="clear" w:pos="2381"/>
                <w:tab w:val="clear" w:pos="2948"/>
                <w:tab w:val="clear" w:pos="3515"/>
              </w:tabs>
              <w:jc w:val="center"/>
              <w:rPr>
                <w:rFonts w:eastAsia="SimSun"/>
                <w:color w:val="000000" w:themeColor="text1"/>
                <w:kern w:val="24"/>
              </w:rPr>
            </w:pPr>
            <w:r>
              <w:rPr>
                <w:rFonts w:eastAsia="SimSun"/>
                <w:b/>
                <w:bCs/>
                <w:color w:val="000000" w:themeColor="text1"/>
                <w:kern w:val="24"/>
              </w:rPr>
              <w:t>Personnel supplémentaire</w:t>
            </w:r>
          </w:p>
        </w:tc>
      </w:tr>
      <w:tr w:rsidR="0041238C" w:rsidRPr="007E304A" w14:paraId="167B7FAF" w14:textId="77777777" w:rsidTr="006432A8">
        <w:trPr>
          <w:trHeight w:val="33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53167A06" w14:textId="56BFDFF0" w:rsidR="0041238C" w:rsidRPr="003825B6" w:rsidRDefault="00060565"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lang w:val="fr-CH"/>
              </w:rPr>
            </w:pPr>
            <w:r w:rsidRPr="003825B6">
              <w:rPr>
                <w:rFonts w:eastAsia="SimSun"/>
                <w:color w:val="000000" w:themeColor="text1"/>
                <w:kern w:val="24"/>
                <w:lang w:val="fr-CH"/>
              </w:rPr>
              <w:t>Appui scientifique</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20541FCF" w14:textId="2A94DDD2" w:rsidR="0041238C" w:rsidRPr="003825B6" w:rsidRDefault="001522F7"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lang w:val="fr-CH"/>
              </w:rPr>
            </w:pPr>
            <w:r w:rsidRPr="003825B6">
              <w:rPr>
                <w:rFonts w:eastAsia="SimSun"/>
                <w:color w:val="000000" w:themeColor="text1"/>
                <w:kern w:val="24"/>
                <w:lang w:val="fr-CH"/>
              </w:rPr>
              <w:t>P-5, 2,</w:t>
            </w:r>
            <w:r w:rsidR="0041238C" w:rsidRPr="003825B6">
              <w:rPr>
                <w:rFonts w:eastAsia="SimSun"/>
                <w:color w:val="000000" w:themeColor="text1"/>
                <w:kern w:val="24"/>
                <w:lang w:val="fr-CH"/>
              </w:rPr>
              <w:t xml:space="preserve">5xP-4, 4xP-3, P2,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565503B1" w14:textId="77777777" w:rsidR="0041238C" w:rsidRPr="007E304A" w:rsidRDefault="0041238C" w:rsidP="0041238C">
            <w:pPr>
              <w:tabs>
                <w:tab w:val="clear" w:pos="1247"/>
                <w:tab w:val="clear" w:pos="1814"/>
                <w:tab w:val="clear" w:pos="2381"/>
                <w:tab w:val="clear" w:pos="2948"/>
                <w:tab w:val="clear" w:pos="3515"/>
              </w:tabs>
              <w:rPr>
                <w:color w:val="000000" w:themeColor="text1"/>
                <w:kern w:val="24"/>
              </w:rPr>
            </w:pPr>
            <w:r w:rsidRPr="007E304A">
              <w:rPr>
                <w:rFonts w:eastAsia="SimSun"/>
                <w:color w:val="000000" w:themeColor="text1"/>
                <w:kern w:val="24"/>
              </w:rPr>
              <w:t>P-4, P-3</w:t>
            </w:r>
          </w:p>
        </w:tc>
      </w:tr>
      <w:tr w:rsidR="0041238C" w:rsidRPr="007E304A" w14:paraId="722FF727" w14:textId="77777777" w:rsidTr="006432A8">
        <w:trPr>
          <w:trHeight w:val="480"/>
        </w:trPr>
        <w:tc>
          <w:tcPr>
            <w:tcW w:w="3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1ADE2302" w14:textId="7568063C" w:rsidR="0041238C" w:rsidRPr="003825B6" w:rsidDel="005315C2" w:rsidRDefault="006A49F4"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lang w:val="fr-CH"/>
              </w:rPr>
            </w:pPr>
            <w:r w:rsidRPr="003825B6">
              <w:rPr>
                <w:rFonts w:eastAsia="SimSun"/>
                <w:color w:val="000000" w:themeColor="text1"/>
                <w:kern w:val="24"/>
                <w:lang w:val="fr-CH"/>
              </w:rPr>
              <w:t>Renforcement des capacités et assistance technique</w:t>
            </w:r>
            <w:r w:rsidR="0041238C" w:rsidRPr="003825B6">
              <w:rPr>
                <w:rFonts w:eastAsia="SimSun"/>
                <w:color w:val="000000" w:themeColor="text1"/>
                <w:kern w:val="24"/>
                <w:lang w:val="fr-CH"/>
              </w:rPr>
              <w:t xml:space="preserve"> </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56F1D3AD" w14:textId="77777777" w:rsidR="0041238C" w:rsidRPr="003825B6" w:rsidRDefault="0041238C"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lang w:val="fr-CH"/>
              </w:rPr>
            </w:pPr>
            <w:r w:rsidRPr="003825B6">
              <w:rPr>
                <w:rFonts w:eastAsia="SimSun"/>
                <w:color w:val="000000" w:themeColor="text1"/>
                <w:kern w:val="24"/>
                <w:lang w:val="fr-CH"/>
              </w:rPr>
              <w:t>2xP-5, 2xP-4, 3xP-3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7" w:type="dxa"/>
              <w:left w:w="108" w:type="dxa"/>
              <w:bottom w:w="0" w:type="dxa"/>
              <w:right w:w="108" w:type="dxa"/>
            </w:tcMar>
          </w:tcPr>
          <w:p w14:paraId="1652666C" w14:textId="77777777" w:rsidR="0041238C" w:rsidRPr="007E304A" w:rsidDel="00600D0B" w:rsidRDefault="0041238C" w:rsidP="0041238C">
            <w:pPr>
              <w:tabs>
                <w:tab w:val="clear" w:pos="1247"/>
                <w:tab w:val="clear" w:pos="1814"/>
                <w:tab w:val="clear" w:pos="2381"/>
                <w:tab w:val="clear" w:pos="2948"/>
                <w:tab w:val="clear" w:pos="3515"/>
              </w:tabs>
              <w:rPr>
                <w:color w:val="000000" w:themeColor="text1"/>
                <w:kern w:val="24"/>
              </w:rPr>
            </w:pPr>
            <w:r w:rsidRPr="007E304A">
              <w:rPr>
                <w:color w:val="000000" w:themeColor="text1"/>
                <w:kern w:val="24"/>
              </w:rPr>
              <w:t xml:space="preserve">P-4, </w:t>
            </w:r>
            <w:r w:rsidRPr="007E304A">
              <w:rPr>
                <w:rFonts w:eastAsia="SimSun"/>
                <w:color w:val="000000" w:themeColor="text1"/>
                <w:kern w:val="24"/>
              </w:rPr>
              <w:t>P-3</w:t>
            </w:r>
          </w:p>
        </w:tc>
      </w:tr>
      <w:tr w:rsidR="0041238C" w:rsidRPr="007E304A" w14:paraId="5F196704" w14:textId="77777777" w:rsidTr="006432A8">
        <w:trPr>
          <w:trHeight w:val="332"/>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35297CAB" w14:textId="2AF30207" w:rsidR="0041238C" w:rsidRPr="003825B6" w:rsidRDefault="006A49F4"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Confé</w:t>
            </w:r>
            <w:r w:rsidR="0041238C" w:rsidRPr="003825B6">
              <w:rPr>
                <w:rFonts w:eastAsia="SimSun"/>
                <w:color w:val="000000" w:themeColor="text1"/>
                <w:kern w:val="24"/>
                <w:lang w:val="fr-CH"/>
              </w:rPr>
              <w:t>rence</w:t>
            </w:r>
            <w:r w:rsidR="00EC79C0">
              <w:rPr>
                <w:rFonts w:eastAsia="SimSun"/>
                <w:color w:val="000000" w:themeColor="text1"/>
                <w:kern w:val="24"/>
                <w:lang w:val="fr-CH"/>
              </w:rPr>
              <w:t>s</w:t>
            </w:r>
            <w:r w:rsidR="0041238C" w:rsidRPr="003825B6">
              <w:rPr>
                <w:rFonts w:eastAsia="SimSun"/>
                <w:color w:val="000000" w:themeColor="text1"/>
                <w:kern w:val="24"/>
                <w:lang w:val="fr-CH"/>
              </w:rPr>
              <w:t xml:space="preserve">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13A07C5F" w14:textId="506996CC" w:rsidR="0041238C" w:rsidRPr="003825B6" w:rsidRDefault="001522F7"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P-5, 0,</w:t>
            </w:r>
            <w:r w:rsidR="0041238C" w:rsidRPr="003825B6">
              <w:rPr>
                <w:rFonts w:eastAsia="SimSun"/>
                <w:color w:val="000000" w:themeColor="text1"/>
                <w:kern w:val="24"/>
                <w:lang w:val="fr-CH"/>
              </w:rPr>
              <w:t>5xP-4, 5xP</w:t>
            </w:r>
            <w:r w:rsidR="00AC4B79">
              <w:rPr>
                <w:rFonts w:eastAsia="SimSun"/>
                <w:color w:val="000000" w:themeColor="text1"/>
                <w:kern w:val="24"/>
                <w:lang w:val="fr-CH"/>
              </w:rPr>
              <w:t>-</w:t>
            </w:r>
            <w:r w:rsidR="0041238C" w:rsidRPr="003825B6">
              <w:rPr>
                <w:rFonts w:eastAsia="SimSun"/>
                <w:color w:val="000000" w:themeColor="text1"/>
                <w:kern w:val="24"/>
                <w:lang w:val="fr-CH"/>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0ED01099" w14:textId="77777777" w:rsidR="0041238C" w:rsidRPr="007E304A" w:rsidRDefault="0041238C" w:rsidP="0041238C">
            <w:pPr>
              <w:tabs>
                <w:tab w:val="clear" w:pos="1247"/>
                <w:tab w:val="clear" w:pos="1814"/>
                <w:tab w:val="clear" w:pos="2381"/>
                <w:tab w:val="clear" w:pos="2948"/>
                <w:tab w:val="clear" w:pos="3515"/>
              </w:tabs>
            </w:pPr>
            <w:r w:rsidRPr="007E304A">
              <w:rPr>
                <w:color w:val="000000" w:themeColor="text1"/>
                <w:kern w:val="24"/>
              </w:rPr>
              <w:t>P-3</w:t>
            </w:r>
          </w:p>
        </w:tc>
      </w:tr>
      <w:tr w:rsidR="0041238C" w:rsidRPr="007E304A" w14:paraId="19C8C95F" w14:textId="77777777" w:rsidTr="006432A8">
        <w:trPr>
          <w:trHeight w:val="210"/>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6C91EF73" w14:textId="62346109" w:rsidR="0041238C" w:rsidRPr="003825B6" w:rsidRDefault="006A49F4"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Appui juridique</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359BF74E" w14:textId="77777777" w:rsidR="0041238C" w:rsidRPr="003825B6" w:rsidRDefault="0041238C"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P-4, 2xP-3</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3B6B2DCC" w14:textId="5E6F4F2B" w:rsidR="0041238C" w:rsidRPr="007E304A" w:rsidRDefault="001522F7" w:rsidP="0041238C">
            <w:pPr>
              <w:tabs>
                <w:tab w:val="clear" w:pos="1247"/>
                <w:tab w:val="clear" w:pos="1814"/>
                <w:tab w:val="clear" w:pos="2381"/>
                <w:tab w:val="clear" w:pos="2948"/>
                <w:tab w:val="clear" w:pos="3515"/>
              </w:tabs>
              <w:spacing w:line="256" w:lineRule="auto"/>
              <w:textAlignment w:val="baseline"/>
            </w:pPr>
            <w:r>
              <w:rPr>
                <w:rFonts w:eastAsia="SimSun"/>
                <w:color w:val="000000" w:themeColor="text1"/>
                <w:kern w:val="24"/>
              </w:rPr>
              <w:t>0,</w:t>
            </w:r>
            <w:r w:rsidR="0041238C" w:rsidRPr="007E304A">
              <w:rPr>
                <w:rFonts w:eastAsia="SimSun"/>
                <w:color w:val="000000" w:themeColor="text1"/>
                <w:kern w:val="24"/>
              </w:rPr>
              <w:t>5x P-3</w:t>
            </w:r>
          </w:p>
        </w:tc>
      </w:tr>
      <w:tr w:rsidR="0041238C" w:rsidRPr="007E304A" w14:paraId="5B6C80DB" w14:textId="77777777" w:rsidTr="006432A8">
        <w:trPr>
          <w:trHeight w:val="504"/>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46E20852" w14:textId="245C1DDE" w:rsidR="0041238C" w:rsidRPr="003825B6" w:rsidRDefault="001522F7" w:rsidP="003354DA">
            <w:pPr>
              <w:tabs>
                <w:tab w:val="clear" w:pos="1247"/>
                <w:tab w:val="clear" w:pos="1814"/>
                <w:tab w:val="clear" w:pos="2381"/>
                <w:tab w:val="clear" w:pos="2948"/>
                <w:tab w:val="clear" w:pos="3515"/>
              </w:tabs>
              <w:spacing w:line="256" w:lineRule="auto"/>
              <w:textAlignment w:val="baseline"/>
              <w:rPr>
                <w:lang w:val="fr-CH"/>
              </w:rPr>
            </w:pPr>
            <w:r w:rsidRPr="003825B6">
              <w:rPr>
                <w:rFonts w:asciiTheme="majorBidi" w:hAnsiTheme="majorBidi" w:cstheme="majorBidi"/>
                <w:lang w:val="fr-CH"/>
              </w:rPr>
              <w:t xml:space="preserve">Gestion des connaissances, </w:t>
            </w:r>
            <w:r w:rsidR="00AC4B79">
              <w:rPr>
                <w:rFonts w:asciiTheme="majorBidi" w:hAnsiTheme="majorBidi" w:cstheme="majorBidi"/>
                <w:lang w:val="fr-CH"/>
              </w:rPr>
              <w:t xml:space="preserve">communication </w:t>
            </w:r>
            <w:r w:rsidRPr="003825B6">
              <w:rPr>
                <w:rFonts w:asciiTheme="majorBidi" w:hAnsiTheme="majorBidi" w:cstheme="majorBidi"/>
                <w:lang w:val="fr-CH"/>
              </w:rPr>
              <w:t xml:space="preserve">et </w:t>
            </w:r>
            <w:r w:rsidR="003354DA">
              <w:rPr>
                <w:rFonts w:asciiTheme="majorBidi" w:hAnsiTheme="majorBidi" w:cstheme="majorBidi"/>
                <w:lang w:val="fr-CH"/>
              </w:rPr>
              <w:t>technologies de l’information</w:t>
            </w:r>
            <w:r w:rsidR="0041238C" w:rsidRPr="003825B6">
              <w:rPr>
                <w:rFonts w:asciiTheme="majorBidi" w:hAnsiTheme="majorBidi" w:cstheme="majorBidi"/>
                <w:lang w:val="fr-CH"/>
              </w:rPr>
              <w:t xml:space="preserve"> </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6865FE37" w14:textId="77777777" w:rsidR="0041238C" w:rsidRPr="003825B6" w:rsidRDefault="0041238C" w:rsidP="0041238C">
            <w:pPr>
              <w:tabs>
                <w:tab w:val="clear" w:pos="1247"/>
                <w:tab w:val="clear" w:pos="1814"/>
                <w:tab w:val="clear" w:pos="2381"/>
                <w:tab w:val="clear" w:pos="2948"/>
                <w:tab w:val="clear" w:pos="3515"/>
              </w:tabs>
              <w:spacing w:line="256" w:lineRule="auto"/>
              <w:textAlignment w:val="baseline"/>
              <w:rPr>
                <w:lang w:val="fr-CH"/>
              </w:rPr>
            </w:pPr>
            <w:r w:rsidRPr="003825B6">
              <w:rPr>
                <w:rFonts w:eastAsia="SimSun"/>
                <w:color w:val="000000" w:themeColor="text1"/>
                <w:kern w:val="24"/>
                <w:lang w:val="fr-CH"/>
              </w:rPr>
              <w:t>P-5, 2xP-3, P-2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hideMark/>
          </w:tcPr>
          <w:p w14:paraId="2BD66850" w14:textId="77777777" w:rsidR="0041238C" w:rsidRPr="007E304A" w:rsidRDefault="0041238C" w:rsidP="0041238C">
            <w:pPr>
              <w:tabs>
                <w:tab w:val="clear" w:pos="1247"/>
                <w:tab w:val="clear" w:pos="1814"/>
                <w:tab w:val="clear" w:pos="2381"/>
                <w:tab w:val="clear" w:pos="2948"/>
                <w:tab w:val="clear" w:pos="3515"/>
              </w:tabs>
              <w:spacing w:line="256" w:lineRule="auto"/>
              <w:textAlignment w:val="baseline"/>
            </w:pPr>
            <w:r w:rsidRPr="007E304A">
              <w:rPr>
                <w:rFonts w:eastAsia="SimSun"/>
                <w:color w:val="000000" w:themeColor="text1"/>
                <w:kern w:val="24"/>
              </w:rPr>
              <w:t>P-3</w:t>
            </w:r>
          </w:p>
        </w:tc>
      </w:tr>
      <w:tr w:rsidR="0041238C" w:rsidRPr="007E304A" w14:paraId="0E5F9F53" w14:textId="77777777" w:rsidTr="006432A8">
        <w:trPr>
          <w:trHeight w:val="166"/>
        </w:trPr>
        <w:tc>
          <w:tcPr>
            <w:tcW w:w="3190"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6C982972" w14:textId="65518942" w:rsidR="0041238C" w:rsidRPr="003825B6" w:rsidRDefault="00A141B7" w:rsidP="0041238C">
            <w:pPr>
              <w:tabs>
                <w:tab w:val="clear" w:pos="1247"/>
                <w:tab w:val="clear" w:pos="1814"/>
                <w:tab w:val="clear" w:pos="2381"/>
                <w:tab w:val="clear" w:pos="2948"/>
                <w:tab w:val="clear" w:pos="3515"/>
              </w:tabs>
              <w:spacing w:line="256" w:lineRule="auto"/>
              <w:textAlignment w:val="baseline"/>
              <w:rPr>
                <w:rFonts w:asciiTheme="majorBidi" w:hAnsiTheme="majorBidi" w:cstheme="majorBidi"/>
                <w:lang w:val="fr-CH"/>
              </w:rPr>
            </w:pPr>
            <w:r w:rsidRPr="003825B6">
              <w:rPr>
                <w:rFonts w:asciiTheme="majorBidi" w:hAnsiTheme="majorBidi" w:cstheme="majorBidi"/>
                <w:lang w:val="fr-CH"/>
              </w:rPr>
              <w:t>Autre</w:t>
            </w:r>
            <w:r w:rsidR="001522F7" w:rsidRPr="003825B6">
              <w:rPr>
                <w:rFonts w:asciiTheme="majorBidi" w:hAnsiTheme="majorBidi" w:cstheme="majorBidi"/>
                <w:lang w:val="fr-CH"/>
              </w:rPr>
              <w:t>s</w:t>
            </w:r>
          </w:p>
        </w:tc>
        <w:tc>
          <w:tcPr>
            <w:tcW w:w="248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247AFD17" w14:textId="54A79B08" w:rsidR="0041238C" w:rsidRPr="003825B6" w:rsidRDefault="003354DA"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lang w:val="fr-CH"/>
              </w:rPr>
            </w:pPr>
            <w:r>
              <w:rPr>
                <w:rFonts w:eastAsia="SimSun"/>
                <w:color w:val="000000" w:themeColor="text1"/>
                <w:kern w:val="24"/>
                <w:lang w:val="fr-CH"/>
              </w:rPr>
              <w:t>10x</w:t>
            </w:r>
            <w:r w:rsidR="0041238C" w:rsidRPr="003825B6">
              <w:rPr>
                <w:rFonts w:eastAsia="SimSun"/>
                <w:color w:val="000000" w:themeColor="text1"/>
                <w:kern w:val="24"/>
                <w:lang w:val="fr-CH"/>
              </w:rPr>
              <w:t>S</w:t>
            </w:r>
            <w:r>
              <w:rPr>
                <w:rFonts w:eastAsia="SimSun"/>
                <w:color w:val="000000" w:themeColor="text1"/>
                <w:kern w:val="24"/>
                <w:lang w:val="fr-CH"/>
              </w:rPr>
              <w:t>G</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1D4C2CCE" w14:textId="336B8E5B" w:rsidR="0041238C" w:rsidRPr="007E304A" w:rsidRDefault="003354DA"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rPr>
            </w:pPr>
            <w:r>
              <w:rPr>
                <w:rFonts w:eastAsia="SimSun"/>
                <w:color w:val="000000" w:themeColor="text1"/>
                <w:kern w:val="24"/>
              </w:rPr>
              <w:t xml:space="preserve">4x </w:t>
            </w:r>
            <w:r w:rsidR="0041238C" w:rsidRPr="007E304A">
              <w:rPr>
                <w:rFonts w:eastAsia="SimSun"/>
                <w:color w:val="000000" w:themeColor="text1"/>
                <w:kern w:val="24"/>
              </w:rPr>
              <w:t>S</w:t>
            </w:r>
            <w:r>
              <w:rPr>
                <w:rFonts w:eastAsia="SimSun"/>
                <w:color w:val="000000" w:themeColor="text1"/>
                <w:kern w:val="24"/>
              </w:rPr>
              <w:t>G</w:t>
            </w:r>
          </w:p>
        </w:tc>
      </w:tr>
      <w:tr w:rsidR="0041238C" w:rsidRPr="007E304A" w14:paraId="0B97DF84" w14:textId="77777777" w:rsidTr="006432A8">
        <w:trPr>
          <w:trHeight w:val="166"/>
        </w:trPr>
        <w:tc>
          <w:tcPr>
            <w:tcW w:w="567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6F3D1F6D" w14:textId="4556BF0E" w:rsidR="001522F7" w:rsidRPr="003825B6" w:rsidRDefault="001522F7" w:rsidP="0041238C">
            <w:pPr>
              <w:rPr>
                <w:rFonts w:asciiTheme="majorBidi" w:hAnsiTheme="majorBidi" w:cstheme="majorBidi"/>
                <w:b/>
                <w:bCs/>
                <w:lang w:val="fr-CH"/>
              </w:rPr>
            </w:pPr>
            <w:r w:rsidRPr="003825B6">
              <w:rPr>
                <w:rFonts w:asciiTheme="majorBidi" w:hAnsiTheme="majorBidi" w:cstheme="majorBidi"/>
                <w:b/>
                <w:bCs/>
                <w:lang w:val="fr-CH"/>
              </w:rPr>
              <w:t xml:space="preserve">Appui administratif </w:t>
            </w:r>
            <w:r w:rsidR="004969AF" w:rsidRPr="003825B6">
              <w:rPr>
                <w:rFonts w:asciiTheme="majorBidi" w:hAnsiTheme="majorBidi" w:cstheme="majorBidi"/>
                <w:b/>
                <w:bCs/>
                <w:lang w:val="fr-CH"/>
              </w:rPr>
              <w:t>financé par des prélèvements sur les</w:t>
            </w:r>
            <w:r w:rsidRPr="003825B6">
              <w:rPr>
                <w:rFonts w:asciiTheme="majorBidi" w:hAnsiTheme="majorBidi" w:cstheme="majorBidi"/>
                <w:b/>
                <w:bCs/>
                <w:lang w:val="fr-CH"/>
              </w:rPr>
              <w:t xml:space="preserve"> dépenses</w:t>
            </w:r>
            <w:r w:rsidR="004969AF" w:rsidRPr="003825B6">
              <w:rPr>
                <w:rFonts w:asciiTheme="majorBidi" w:hAnsiTheme="majorBidi" w:cstheme="majorBidi"/>
                <w:b/>
                <w:bCs/>
                <w:lang w:val="fr-CH"/>
              </w:rPr>
              <w:t xml:space="preserve"> d’appui au programme</w:t>
            </w:r>
            <w:r w:rsidR="00EC2392" w:rsidRPr="003825B6">
              <w:rPr>
                <w:rFonts w:asciiTheme="majorBidi" w:hAnsiTheme="majorBidi" w:cstheme="majorBidi"/>
                <w:b/>
                <w:bCs/>
                <w:lang w:val="fr-CH"/>
              </w:rPr>
              <w:t> :</w:t>
            </w:r>
          </w:p>
          <w:p w14:paraId="7A6DAA85" w14:textId="46A67D6F" w:rsidR="001D3DBB" w:rsidRPr="003825B6" w:rsidRDefault="00577B67" w:rsidP="00577B67">
            <w:pPr>
              <w:tabs>
                <w:tab w:val="clear" w:pos="1247"/>
                <w:tab w:val="clear" w:pos="1814"/>
                <w:tab w:val="clear" w:pos="2381"/>
                <w:tab w:val="clear" w:pos="2948"/>
                <w:tab w:val="clear" w:pos="3515"/>
              </w:tabs>
              <w:spacing w:line="256" w:lineRule="auto"/>
              <w:textAlignment w:val="baseline"/>
              <w:rPr>
                <w:rFonts w:eastAsia="MS Mincho"/>
                <w:lang w:val="fr-CH"/>
              </w:rPr>
            </w:pPr>
            <w:r w:rsidRPr="003825B6">
              <w:rPr>
                <w:rFonts w:eastAsia="MS Mincho"/>
                <w:lang w:val="fr-CH"/>
              </w:rPr>
              <w:t xml:space="preserve">Fonctionnaire </w:t>
            </w:r>
            <w:r w:rsidR="009C590F" w:rsidRPr="003825B6">
              <w:rPr>
                <w:rFonts w:eastAsia="MS Mincho"/>
                <w:lang w:val="fr-CH"/>
              </w:rPr>
              <w:t>d’</w:t>
            </w:r>
            <w:r w:rsidRPr="003825B6">
              <w:rPr>
                <w:rFonts w:eastAsia="MS Mincho"/>
                <w:lang w:val="fr-CH"/>
              </w:rPr>
              <w:t>administration</w:t>
            </w:r>
            <w:r w:rsidR="009C590F" w:rsidRPr="003825B6">
              <w:rPr>
                <w:rFonts w:eastAsia="MS Mincho"/>
                <w:lang w:val="fr-CH"/>
              </w:rPr>
              <w:t xml:space="preserve"> et de </w:t>
            </w:r>
            <w:r w:rsidRPr="003825B6">
              <w:rPr>
                <w:rFonts w:eastAsia="MS Mincho"/>
                <w:lang w:val="fr-CH"/>
              </w:rPr>
              <w:t xml:space="preserve">gestion des fonds (P-3) </w:t>
            </w:r>
          </w:p>
          <w:p w14:paraId="3DD4A131" w14:textId="5C33A534" w:rsidR="0041238C" w:rsidRPr="003825B6" w:rsidRDefault="0041238C" w:rsidP="00577B67">
            <w:pPr>
              <w:tabs>
                <w:tab w:val="clear" w:pos="1247"/>
                <w:tab w:val="clear" w:pos="1814"/>
                <w:tab w:val="clear" w:pos="2381"/>
                <w:tab w:val="clear" w:pos="2948"/>
                <w:tab w:val="clear" w:pos="3515"/>
              </w:tabs>
              <w:spacing w:line="256" w:lineRule="auto"/>
              <w:textAlignment w:val="baseline"/>
              <w:rPr>
                <w:rFonts w:eastAsia="SimSun"/>
                <w:color w:val="000000" w:themeColor="text1"/>
                <w:kern w:val="24"/>
                <w:lang w:val="fr-CH"/>
              </w:rPr>
            </w:pPr>
            <w:r w:rsidRPr="003825B6">
              <w:rPr>
                <w:rFonts w:asciiTheme="majorBidi" w:hAnsiTheme="majorBidi" w:cstheme="majorBidi"/>
                <w:lang w:val="fr-CH"/>
              </w:rPr>
              <w:t xml:space="preserve">1x </w:t>
            </w:r>
            <w:r w:rsidR="00EC2392" w:rsidRPr="003825B6">
              <w:rPr>
                <w:rFonts w:asciiTheme="majorBidi" w:hAnsiTheme="majorBidi" w:cstheme="majorBidi"/>
                <w:lang w:val="fr-CH"/>
              </w:rPr>
              <w:t>agent des services généraux</w:t>
            </w:r>
            <w:r w:rsidR="00541C22" w:rsidRPr="003825B6">
              <w:rPr>
                <w:rFonts w:asciiTheme="majorBidi" w:hAnsiTheme="majorBidi" w:cstheme="majorBidi"/>
                <w:lang w:val="fr-CH"/>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57" w:type="dxa"/>
              <w:left w:w="108" w:type="dxa"/>
              <w:bottom w:w="0" w:type="dxa"/>
              <w:right w:w="108" w:type="dxa"/>
            </w:tcMar>
          </w:tcPr>
          <w:p w14:paraId="2138A6C6" w14:textId="77777777" w:rsidR="0041238C" w:rsidRPr="00C92893" w:rsidRDefault="0041238C" w:rsidP="0041238C">
            <w:pPr>
              <w:rPr>
                <w:rFonts w:asciiTheme="majorBidi" w:hAnsiTheme="majorBidi" w:cstheme="majorBidi"/>
                <w:lang w:val="fr-CH"/>
              </w:rPr>
            </w:pPr>
          </w:p>
          <w:p w14:paraId="1562C8D5" w14:textId="77777777" w:rsidR="0041238C" w:rsidRPr="007E304A" w:rsidRDefault="0041238C" w:rsidP="0041238C">
            <w:pPr>
              <w:rPr>
                <w:rFonts w:asciiTheme="majorBidi" w:hAnsiTheme="majorBidi" w:cstheme="majorBidi"/>
              </w:rPr>
            </w:pPr>
            <w:r w:rsidRPr="007E304A">
              <w:rPr>
                <w:rFonts w:asciiTheme="majorBidi" w:hAnsiTheme="majorBidi" w:cstheme="majorBidi"/>
              </w:rPr>
              <w:t>P-3</w:t>
            </w:r>
          </w:p>
          <w:p w14:paraId="09BF5120" w14:textId="753ADFFD" w:rsidR="0041238C" w:rsidRPr="007E304A" w:rsidRDefault="003354DA" w:rsidP="0041238C">
            <w:pPr>
              <w:tabs>
                <w:tab w:val="clear" w:pos="1247"/>
                <w:tab w:val="clear" w:pos="1814"/>
                <w:tab w:val="clear" w:pos="2381"/>
                <w:tab w:val="clear" w:pos="2948"/>
                <w:tab w:val="clear" w:pos="3515"/>
              </w:tabs>
              <w:spacing w:line="256" w:lineRule="auto"/>
              <w:textAlignment w:val="baseline"/>
              <w:rPr>
                <w:rFonts w:eastAsia="SimSun"/>
                <w:color w:val="000000" w:themeColor="text1"/>
                <w:kern w:val="24"/>
              </w:rPr>
            </w:pPr>
            <w:r>
              <w:rPr>
                <w:rFonts w:asciiTheme="majorBidi" w:hAnsiTheme="majorBidi" w:cstheme="majorBidi"/>
              </w:rPr>
              <w:t>1x</w:t>
            </w:r>
            <w:r w:rsidR="0041238C" w:rsidRPr="007E304A">
              <w:rPr>
                <w:rFonts w:asciiTheme="majorBidi" w:hAnsiTheme="majorBidi" w:cstheme="majorBidi"/>
              </w:rPr>
              <w:t>S</w:t>
            </w:r>
            <w:r>
              <w:rPr>
                <w:rFonts w:asciiTheme="majorBidi" w:hAnsiTheme="majorBidi" w:cstheme="majorBidi"/>
              </w:rPr>
              <w:t>G</w:t>
            </w:r>
          </w:p>
        </w:tc>
      </w:tr>
    </w:tbl>
    <w:p w14:paraId="46A62EDC" w14:textId="598ACFB4" w:rsidR="0041238C" w:rsidRPr="00A70FB7" w:rsidRDefault="0041238C" w:rsidP="006432A8">
      <w:pPr>
        <w:pStyle w:val="Normal-pool"/>
        <w:keepNext/>
        <w:keepLines/>
        <w:spacing w:before="240" w:after="120"/>
        <w:ind w:left="1247"/>
        <w:rPr>
          <w:b/>
          <w:lang w:val="fr-CH"/>
        </w:rPr>
      </w:pPr>
      <w:r w:rsidRPr="006432A8">
        <w:lastRenderedPageBreak/>
        <w:t>Table</w:t>
      </w:r>
      <w:r w:rsidR="000E3FE8">
        <w:t>au</w:t>
      </w:r>
      <w:r w:rsidRPr="00A70FB7">
        <w:rPr>
          <w:lang w:val="fr-CH"/>
        </w:rPr>
        <w:t xml:space="preserve"> </w:t>
      </w:r>
      <w:r w:rsidR="00F01920" w:rsidRPr="00A70FB7">
        <w:rPr>
          <w:lang w:val="fr-CH"/>
        </w:rPr>
        <w:t>2</w:t>
      </w:r>
    </w:p>
    <w:tbl>
      <w:tblPr>
        <w:tblStyle w:val="TableGrid"/>
        <w:tblW w:w="0" w:type="auto"/>
        <w:tblInd w:w="1385" w:type="dxa"/>
        <w:tblLook w:val="04A0" w:firstRow="1" w:lastRow="0" w:firstColumn="1" w:lastColumn="0" w:noHBand="0" w:noVBand="1"/>
      </w:tblPr>
      <w:tblGrid>
        <w:gridCol w:w="5585"/>
        <w:gridCol w:w="2516"/>
      </w:tblGrid>
      <w:tr w:rsidR="0041238C" w:rsidRPr="00A84D20" w14:paraId="264A0D8B" w14:textId="77777777" w:rsidTr="00BE71F1">
        <w:tc>
          <w:tcPr>
            <w:tcW w:w="8221" w:type="dxa"/>
            <w:gridSpan w:val="2"/>
            <w:shd w:val="clear" w:color="auto" w:fill="auto"/>
          </w:tcPr>
          <w:p w14:paraId="2AD41C2F" w14:textId="79768D96" w:rsidR="003825B6" w:rsidRPr="00A70FB7" w:rsidRDefault="003825B6" w:rsidP="003D2F30">
            <w:pPr>
              <w:keepNext/>
              <w:keepLines/>
              <w:spacing w:before="80" w:after="80"/>
              <w:rPr>
                <w:b/>
                <w:lang w:val="fr-CH"/>
              </w:rPr>
            </w:pPr>
            <w:r w:rsidRPr="00A70FB7">
              <w:rPr>
                <w:b/>
                <w:lang w:val="fr-CH"/>
              </w:rPr>
              <w:t xml:space="preserve">Option 1 </w:t>
            </w:r>
            <w:r w:rsidR="003E3369" w:rsidRPr="00A70FB7">
              <w:rPr>
                <w:b/>
                <w:lang w:val="fr-CH"/>
              </w:rPr>
              <w:t xml:space="preserve">b) </w:t>
            </w:r>
            <w:r w:rsidR="001A2884" w:rsidRPr="00A70FB7">
              <w:rPr>
                <w:b/>
                <w:lang w:val="fr-CH"/>
              </w:rPr>
              <w:t>(</w:t>
            </w:r>
            <w:r w:rsidR="00523E89" w:rsidRPr="00A70FB7">
              <w:rPr>
                <w:b/>
                <w:lang w:val="fr-CH"/>
              </w:rPr>
              <w:t>inté</w:t>
            </w:r>
            <w:r w:rsidRPr="00A70FB7">
              <w:rPr>
                <w:b/>
                <w:lang w:val="fr-CH"/>
              </w:rPr>
              <w:t>gration sous forme de Service)</w:t>
            </w:r>
            <w:r w:rsidR="006E4A56">
              <w:rPr>
                <w:b/>
                <w:lang w:val="fr-CH"/>
              </w:rPr>
              <w:t> </w:t>
            </w:r>
            <w:r w:rsidRPr="00A70FB7">
              <w:rPr>
                <w:b/>
                <w:lang w:val="fr-CH"/>
              </w:rPr>
              <w:t xml:space="preserve">: </w:t>
            </w:r>
            <w:r w:rsidR="006E4A56">
              <w:rPr>
                <w:b/>
                <w:lang w:val="fr-CH"/>
              </w:rPr>
              <w:t xml:space="preserve">Fusionnement </w:t>
            </w:r>
            <w:r w:rsidRPr="00A70FB7">
              <w:rPr>
                <w:b/>
                <w:lang w:val="fr-CH"/>
              </w:rPr>
              <w:t xml:space="preserve">du </w:t>
            </w:r>
            <w:r w:rsidR="00523E89" w:rsidRPr="00A70FB7">
              <w:rPr>
                <w:b/>
                <w:lang w:val="fr-CH"/>
              </w:rPr>
              <w:t>secré</w:t>
            </w:r>
            <w:r w:rsidRPr="00A70FB7">
              <w:rPr>
                <w:b/>
                <w:lang w:val="fr-CH"/>
              </w:rPr>
              <w:t xml:space="preserve">tariat de la Convention de Minamata </w:t>
            </w:r>
            <w:r w:rsidR="006E4A56">
              <w:rPr>
                <w:b/>
                <w:lang w:val="fr-CH"/>
              </w:rPr>
              <w:t>avec le</w:t>
            </w:r>
            <w:r w:rsidRPr="00A70FB7">
              <w:rPr>
                <w:b/>
                <w:lang w:val="fr-CH"/>
              </w:rPr>
              <w:t xml:space="preserve"> Secrétariat des conventions de Bâle, de Rotterdam et de Stockholm par la </w:t>
            </w:r>
            <w:r w:rsidR="00523E89" w:rsidRPr="00A70FB7">
              <w:rPr>
                <w:b/>
                <w:lang w:val="fr-CH"/>
              </w:rPr>
              <w:t>cré</w:t>
            </w:r>
            <w:r w:rsidRPr="00A70FB7">
              <w:rPr>
                <w:b/>
                <w:lang w:val="fr-CH"/>
              </w:rPr>
              <w:t xml:space="preserve">ation, au cours de la période intérimaire, d’un Service de la Convention de </w:t>
            </w:r>
            <w:r w:rsidR="003E3369" w:rsidRPr="00A70FB7">
              <w:rPr>
                <w:b/>
                <w:lang w:val="fr-CH"/>
              </w:rPr>
              <w:t xml:space="preserve">Minamata </w:t>
            </w:r>
            <w:r w:rsidRPr="00A70FB7">
              <w:rPr>
                <w:b/>
                <w:lang w:val="fr-CH"/>
              </w:rPr>
              <w:t>au sein de celui</w:t>
            </w:r>
            <w:r w:rsidRPr="00A70FB7">
              <w:rPr>
                <w:b/>
                <w:lang w:val="fr-CH"/>
              </w:rPr>
              <w:noBreakHyphen/>
              <w:t xml:space="preserve">ci </w:t>
            </w:r>
            <w:r w:rsidR="006E4A56">
              <w:rPr>
                <w:b/>
                <w:lang w:val="fr-CH"/>
              </w:rPr>
              <w:t>(lieu d’implantation </w:t>
            </w:r>
            <w:r w:rsidR="003D2F30" w:rsidRPr="00A70FB7">
              <w:rPr>
                <w:b/>
                <w:lang w:val="fr-CH"/>
              </w:rPr>
              <w:t>: Genève)</w:t>
            </w:r>
          </w:p>
        </w:tc>
      </w:tr>
      <w:tr w:rsidR="0041238C" w:rsidRPr="00A70FB7" w14:paraId="62ADF985" w14:textId="77777777" w:rsidTr="00BE71F1">
        <w:tc>
          <w:tcPr>
            <w:tcW w:w="8221" w:type="dxa"/>
            <w:gridSpan w:val="2"/>
          </w:tcPr>
          <w:p w14:paraId="01F65881" w14:textId="7B5C998A" w:rsidR="0041238C" w:rsidRPr="00A70FB7" w:rsidRDefault="00A151A9" w:rsidP="00A151A9">
            <w:pPr>
              <w:keepNext/>
              <w:keepLines/>
              <w:spacing w:before="40"/>
              <w:rPr>
                <w:rFonts w:asciiTheme="majorBidi" w:hAnsiTheme="majorBidi" w:cstheme="majorBidi"/>
                <w:b/>
                <w:bCs/>
                <w:lang w:val="fr-CH" w:eastAsia="zh-TW"/>
              </w:rPr>
            </w:pPr>
            <w:r w:rsidRPr="00A70FB7">
              <w:rPr>
                <w:rFonts w:asciiTheme="majorBidi" w:hAnsiTheme="majorBidi" w:cstheme="majorBidi"/>
                <w:b/>
                <w:bCs/>
                <w:lang w:val="fr-CH" w:eastAsia="zh-TW"/>
              </w:rPr>
              <w:t>Services exécutifs</w:t>
            </w:r>
          </w:p>
        </w:tc>
      </w:tr>
      <w:tr w:rsidR="0041238C" w:rsidRPr="00A70FB7" w14:paraId="66DE2B24" w14:textId="77777777" w:rsidTr="00BE71F1">
        <w:tc>
          <w:tcPr>
            <w:tcW w:w="5670" w:type="dxa"/>
            <w:tcBorders>
              <w:right w:val="single" w:sz="4" w:space="0" w:color="auto"/>
            </w:tcBorders>
          </w:tcPr>
          <w:p w14:paraId="474A470C" w14:textId="5F0174B2" w:rsidR="0041238C" w:rsidRPr="00A70FB7" w:rsidRDefault="003D2F30" w:rsidP="00884409">
            <w:pPr>
              <w:keepNext/>
              <w:keepLines/>
              <w:spacing w:before="40"/>
              <w:rPr>
                <w:rFonts w:asciiTheme="majorBidi" w:hAnsiTheme="majorBidi" w:cstheme="majorBidi"/>
                <w:lang w:val="fr-CH"/>
              </w:rPr>
            </w:pPr>
            <w:r w:rsidRPr="00A70FB7">
              <w:rPr>
                <w:rFonts w:asciiTheme="majorBidi" w:hAnsiTheme="majorBidi" w:cstheme="majorBidi"/>
                <w:lang w:val="fr-CH"/>
              </w:rPr>
              <w:t>Secrétaire exécutif</w:t>
            </w:r>
            <w:r w:rsidR="0041238C" w:rsidRPr="00A70FB7">
              <w:rPr>
                <w:rFonts w:asciiTheme="majorBidi" w:hAnsiTheme="majorBidi" w:cstheme="majorBidi"/>
                <w:lang w:val="fr-CH"/>
              </w:rPr>
              <w:t xml:space="preserve"> </w:t>
            </w:r>
          </w:p>
        </w:tc>
        <w:tc>
          <w:tcPr>
            <w:tcW w:w="2551" w:type="dxa"/>
            <w:tcBorders>
              <w:top w:val="nil"/>
              <w:left w:val="single" w:sz="4" w:space="0" w:color="auto"/>
              <w:bottom w:val="nil"/>
              <w:right w:val="single" w:sz="4" w:space="0" w:color="auto"/>
            </w:tcBorders>
            <w:shd w:val="clear" w:color="auto" w:fill="auto"/>
          </w:tcPr>
          <w:p w14:paraId="07947F24" w14:textId="233E26B8" w:rsidR="0041238C" w:rsidRPr="00A70FB7" w:rsidRDefault="00A727B6"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40</w:t>
            </w:r>
            <w:r w:rsidR="00B165E5">
              <w:rPr>
                <w:rFonts w:asciiTheme="majorBidi" w:hAnsiTheme="majorBidi" w:cstheme="majorBidi"/>
                <w:lang w:val="fr-CH"/>
              </w:rPr>
              <w:t> </w:t>
            </w:r>
            <w:r w:rsidRPr="00A70FB7">
              <w:rPr>
                <w:rFonts w:asciiTheme="majorBidi" w:hAnsiTheme="majorBidi" w:cstheme="majorBidi"/>
                <w:lang w:val="fr-CH"/>
              </w:rPr>
              <w:t xml:space="preserve">% de </w:t>
            </w:r>
            <w:r w:rsidR="0041238C" w:rsidRPr="00A70FB7">
              <w:rPr>
                <w:rFonts w:asciiTheme="majorBidi" w:hAnsiTheme="majorBidi" w:cstheme="majorBidi"/>
                <w:lang w:val="fr-CH"/>
              </w:rPr>
              <w:t>D-2</w:t>
            </w:r>
          </w:p>
        </w:tc>
      </w:tr>
      <w:tr w:rsidR="0041238C" w:rsidRPr="00A70FB7" w14:paraId="62CCB91E" w14:textId="77777777" w:rsidTr="00BE71F1">
        <w:tc>
          <w:tcPr>
            <w:tcW w:w="5670" w:type="dxa"/>
          </w:tcPr>
          <w:p w14:paraId="742A0494" w14:textId="0F6F6E49" w:rsidR="0041238C" w:rsidRPr="00A70FB7" w:rsidRDefault="003D2F30" w:rsidP="00884409">
            <w:pPr>
              <w:keepNext/>
              <w:keepLines/>
              <w:spacing w:before="40"/>
              <w:rPr>
                <w:rFonts w:asciiTheme="majorBidi" w:hAnsiTheme="majorBidi" w:cstheme="majorBidi"/>
                <w:lang w:val="fr-CH"/>
              </w:rPr>
            </w:pPr>
            <w:r w:rsidRPr="00A70FB7">
              <w:rPr>
                <w:rFonts w:asciiTheme="majorBidi" w:hAnsiTheme="majorBidi" w:cstheme="majorBidi"/>
                <w:lang w:val="fr-CH"/>
              </w:rPr>
              <w:t>Secrétaire exécutif adjoint</w:t>
            </w:r>
          </w:p>
        </w:tc>
        <w:tc>
          <w:tcPr>
            <w:tcW w:w="2551" w:type="dxa"/>
          </w:tcPr>
          <w:p w14:paraId="0AFE8F50" w14:textId="6DB5FF23" w:rsidR="0041238C" w:rsidRPr="00A70FB7" w:rsidRDefault="00A727B6"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20</w:t>
            </w:r>
            <w:r w:rsidR="00B165E5">
              <w:rPr>
                <w:rFonts w:asciiTheme="majorBidi" w:hAnsiTheme="majorBidi" w:cstheme="majorBidi"/>
                <w:lang w:val="fr-CH"/>
              </w:rPr>
              <w:t> </w:t>
            </w:r>
            <w:r w:rsidRPr="00A70FB7">
              <w:rPr>
                <w:rFonts w:asciiTheme="majorBidi" w:hAnsiTheme="majorBidi" w:cstheme="majorBidi"/>
                <w:lang w:val="fr-CH"/>
              </w:rPr>
              <w:t xml:space="preserve">% de </w:t>
            </w:r>
            <w:r w:rsidR="0041238C" w:rsidRPr="00A70FB7">
              <w:rPr>
                <w:rFonts w:asciiTheme="majorBidi" w:hAnsiTheme="majorBidi" w:cstheme="majorBidi"/>
                <w:lang w:val="fr-CH"/>
              </w:rPr>
              <w:t>D-1</w:t>
            </w:r>
          </w:p>
        </w:tc>
      </w:tr>
      <w:tr w:rsidR="0041238C" w:rsidRPr="00A84D20" w14:paraId="3A64A2A2" w14:textId="77777777" w:rsidTr="00BE71F1">
        <w:tc>
          <w:tcPr>
            <w:tcW w:w="8221" w:type="dxa"/>
            <w:gridSpan w:val="2"/>
            <w:shd w:val="clear" w:color="auto" w:fill="auto"/>
          </w:tcPr>
          <w:p w14:paraId="1C8877B2" w14:textId="1AEE6C29" w:rsidR="0041238C" w:rsidRPr="00A70FB7" w:rsidRDefault="00523E89" w:rsidP="00884409">
            <w:pPr>
              <w:keepNext/>
              <w:keepLines/>
              <w:spacing w:before="80" w:after="80"/>
              <w:jc w:val="center"/>
              <w:rPr>
                <w:rFonts w:asciiTheme="majorBidi" w:hAnsiTheme="majorBidi" w:cstheme="majorBidi"/>
                <w:b/>
                <w:bCs/>
                <w:lang w:val="fr-CH"/>
              </w:rPr>
            </w:pPr>
            <w:r w:rsidRPr="00A70FB7">
              <w:rPr>
                <w:rFonts w:eastAsia="SimSun"/>
                <w:b/>
                <w:bCs/>
                <w:color w:val="000000" w:themeColor="text1"/>
                <w:kern w:val="24"/>
                <w:lang w:val="fr-CH"/>
              </w:rPr>
              <w:t>Service de la Convention de Minamata</w:t>
            </w:r>
            <w:r w:rsidR="0041238C" w:rsidRPr="00A70FB7">
              <w:rPr>
                <w:rFonts w:eastAsia="SimSun"/>
                <w:b/>
                <w:bCs/>
                <w:color w:val="000000" w:themeColor="text1"/>
                <w:kern w:val="24"/>
                <w:lang w:val="fr-CH"/>
              </w:rPr>
              <w:t xml:space="preserve"> </w:t>
            </w:r>
          </w:p>
        </w:tc>
      </w:tr>
      <w:tr w:rsidR="0041238C" w:rsidRPr="00A70FB7" w14:paraId="6BD3B794" w14:textId="77777777" w:rsidTr="00BE71F1">
        <w:tc>
          <w:tcPr>
            <w:tcW w:w="5670" w:type="dxa"/>
          </w:tcPr>
          <w:p w14:paraId="41BFF8D1" w14:textId="12946791" w:rsidR="0041238C" w:rsidRPr="00A70FB7" w:rsidRDefault="00650FFD" w:rsidP="00884409">
            <w:pPr>
              <w:keepNext/>
              <w:keepLines/>
              <w:spacing w:before="40"/>
              <w:rPr>
                <w:rFonts w:asciiTheme="majorBidi" w:hAnsiTheme="majorBidi" w:cstheme="majorBidi"/>
                <w:lang w:val="fr-CH"/>
              </w:rPr>
            </w:pPr>
            <w:r w:rsidRPr="00A70FB7">
              <w:rPr>
                <w:rFonts w:asciiTheme="majorBidi" w:hAnsiTheme="majorBidi" w:cstheme="majorBidi"/>
                <w:lang w:val="fr-CH"/>
              </w:rPr>
              <w:t xml:space="preserve">Chef de service </w:t>
            </w:r>
          </w:p>
        </w:tc>
        <w:tc>
          <w:tcPr>
            <w:tcW w:w="2551" w:type="dxa"/>
          </w:tcPr>
          <w:p w14:paraId="7CB94D34" w14:textId="77777777" w:rsidR="0041238C" w:rsidRPr="00A70FB7" w:rsidRDefault="0041238C"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D-1</w:t>
            </w:r>
          </w:p>
        </w:tc>
      </w:tr>
      <w:tr w:rsidR="0041238C" w:rsidRPr="00A70FB7" w14:paraId="7B855E13" w14:textId="77777777" w:rsidTr="00BE71F1">
        <w:tc>
          <w:tcPr>
            <w:tcW w:w="5670" w:type="dxa"/>
          </w:tcPr>
          <w:p w14:paraId="343693FD" w14:textId="100B6433" w:rsidR="0041238C" w:rsidRPr="00A70FB7" w:rsidRDefault="00650FFD" w:rsidP="00884409">
            <w:pPr>
              <w:keepNext/>
              <w:keepLines/>
              <w:spacing w:before="40"/>
              <w:rPr>
                <w:rFonts w:asciiTheme="majorBidi" w:hAnsiTheme="majorBidi" w:cstheme="majorBidi"/>
                <w:lang w:val="fr-CH"/>
              </w:rPr>
            </w:pPr>
            <w:r w:rsidRPr="00A70FB7">
              <w:rPr>
                <w:rFonts w:asciiTheme="majorBidi" w:hAnsiTheme="majorBidi" w:cstheme="majorBidi"/>
                <w:lang w:val="fr-CH"/>
              </w:rPr>
              <w:t>Sciences</w:t>
            </w:r>
          </w:p>
        </w:tc>
        <w:tc>
          <w:tcPr>
            <w:tcW w:w="2551" w:type="dxa"/>
          </w:tcPr>
          <w:p w14:paraId="2CD8280E" w14:textId="77777777" w:rsidR="0041238C" w:rsidRPr="00A70FB7" w:rsidRDefault="0041238C"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P-4</w:t>
            </w:r>
          </w:p>
        </w:tc>
      </w:tr>
      <w:tr w:rsidR="0041238C" w:rsidRPr="00A70FB7" w14:paraId="7F670C08" w14:textId="77777777" w:rsidTr="00BE71F1">
        <w:tc>
          <w:tcPr>
            <w:tcW w:w="5670" w:type="dxa"/>
          </w:tcPr>
          <w:p w14:paraId="4676F98F" w14:textId="14DA29E4" w:rsidR="0041238C" w:rsidRPr="00A70FB7" w:rsidRDefault="00E20CCD" w:rsidP="00884409">
            <w:pPr>
              <w:keepNext/>
              <w:keepLines/>
              <w:spacing w:before="40"/>
              <w:rPr>
                <w:rFonts w:asciiTheme="majorBidi" w:hAnsiTheme="majorBidi" w:cstheme="majorBidi"/>
                <w:lang w:val="fr-CH"/>
              </w:rPr>
            </w:pPr>
            <w:r w:rsidRPr="00A70FB7">
              <w:rPr>
                <w:rFonts w:asciiTheme="majorBidi" w:hAnsiTheme="majorBidi" w:cstheme="majorBidi"/>
                <w:lang w:val="fr-CH"/>
              </w:rPr>
              <w:t>Appui technique et scientifique</w:t>
            </w:r>
            <w:r w:rsidR="0041238C" w:rsidRPr="00A70FB7">
              <w:rPr>
                <w:rFonts w:asciiTheme="majorBidi" w:hAnsiTheme="majorBidi" w:cstheme="majorBidi"/>
                <w:lang w:val="fr-CH"/>
              </w:rPr>
              <w:t xml:space="preserve"> </w:t>
            </w:r>
          </w:p>
        </w:tc>
        <w:tc>
          <w:tcPr>
            <w:tcW w:w="2551" w:type="dxa"/>
          </w:tcPr>
          <w:p w14:paraId="5D50CA20" w14:textId="77777777" w:rsidR="0041238C" w:rsidRPr="00A70FB7" w:rsidRDefault="0041238C"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P-3</w:t>
            </w:r>
          </w:p>
        </w:tc>
      </w:tr>
      <w:tr w:rsidR="0041238C" w:rsidRPr="00A70FB7" w14:paraId="554C552A" w14:textId="77777777" w:rsidTr="00BE71F1">
        <w:tc>
          <w:tcPr>
            <w:tcW w:w="5670" w:type="dxa"/>
          </w:tcPr>
          <w:p w14:paraId="2F458A04" w14:textId="34CAA0AA" w:rsidR="0041238C" w:rsidRPr="00A70FB7" w:rsidRDefault="00DD1752" w:rsidP="00DD1752">
            <w:pPr>
              <w:keepNext/>
              <w:keepLines/>
              <w:spacing w:before="40"/>
              <w:rPr>
                <w:rFonts w:asciiTheme="majorBidi" w:hAnsiTheme="majorBidi" w:cstheme="majorBidi"/>
                <w:lang w:val="fr-CH"/>
              </w:rPr>
            </w:pPr>
            <w:r w:rsidRPr="00A70FB7">
              <w:rPr>
                <w:rFonts w:asciiTheme="majorBidi" w:hAnsiTheme="majorBidi" w:cstheme="majorBidi"/>
                <w:lang w:val="fr-CH"/>
              </w:rPr>
              <w:t>Assistance technique et renforcement des capacités</w:t>
            </w:r>
            <w:r w:rsidR="00E67A13" w:rsidRPr="00A70FB7">
              <w:rPr>
                <w:rFonts w:asciiTheme="majorBidi" w:hAnsiTheme="majorBidi" w:cstheme="majorBidi"/>
                <w:lang w:val="fr-CH"/>
              </w:rPr>
              <w:t xml:space="preserve"> </w:t>
            </w:r>
          </w:p>
        </w:tc>
        <w:tc>
          <w:tcPr>
            <w:tcW w:w="2551" w:type="dxa"/>
          </w:tcPr>
          <w:p w14:paraId="19CC7FB7" w14:textId="77777777" w:rsidR="0041238C" w:rsidRPr="00A70FB7" w:rsidRDefault="0041238C"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P-3</w:t>
            </w:r>
          </w:p>
        </w:tc>
      </w:tr>
      <w:tr w:rsidR="0041238C" w:rsidRPr="00A70FB7" w14:paraId="625913A8" w14:textId="77777777" w:rsidTr="00BE71F1">
        <w:tc>
          <w:tcPr>
            <w:tcW w:w="5670" w:type="dxa"/>
          </w:tcPr>
          <w:p w14:paraId="6C6C033F" w14:textId="02A877A9" w:rsidR="0041238C" w:rsidRPr="00A70FB7" w:rsidRDefault="00E20CCD" w:rsidP="00884409">
            <w:pPr>
              <w:keepNext/>
              <w:keepLines/>
              <w:spacing w:before="40"/>
              <w:rPr>
                <w:rFonts w:asciiTheme="majorBidi" w:hAnsiTheme="majorBidi" w:cstheme="majorBidi"/>
                <w:lang w:val="fr-CH"/>
              </w:rPr>
            </w:pPr>
            <w:r w:rsidRPr="00A70FB7">
              <w:rPr>
                <w:rFonts w:asciiTheme="majorBidi" w:hAnsiTheme="majorBidi" w:cstheme="majorBidi"/>
                <w:lang w:val="fr-CH"/>
              </w:rPr>
              <w:t>Gestion des connaissances</w:t>
            </w:r>
            <w:r w:rsidR="0041238C" w:rsidRPr="00A70FB7">
              <w:rPr>
                <w:rFonts w:asciiTheme="majorBidi" w:hAnsiTheme="majorBidi" w:cstheme="majorBidi"/>
                <w:lang w:val="fr-CH"/>
              </w:rPr>
              <w:t xml:space="preserve"> </w:t>
            </w:r>
            <w:r w:rsidRPr="00A70FB7">
              <w:rPr>
                <w:rFonts w:asciiTheme="majorBidi" w:hAnsiTheme="majorBidi" w:cstheme="majorBidi"/>
                <w:lang w:val="fr-CH"/>
              </w:rPr>
              <w:t>et communication des données</w:t>
            </w:r>
          </w:p>
        </w:tc>
        <w:tc>
          <w:tcPr>
            <w:tcW w:w="2551" w:type="dxa"/>
          </w:tcPr>
          <w:p w14:paraId="06C583AC" w14:textId="77777777" w:rsidR="0041238C" w:rsidRPr="00A70FB7" w:rsidRDefault="0041238C"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P-3</w:t>
            </w:r>
          </w:p>
        </w:tc>
      </w:tr>
      <w:tr w:rsidR="0041238C" w:rsidRPr="00A70FB7" w14:paraId="50A807B4" w14:textId="77777777" w:rsidTr="00BE71F1">
        <w:tc>
          <w:tcPr>
            <w:tcW w:w="5670" w:type="dxa"/>
          </w:tcPr>
          <w:p w14:paraId="0E53FA63" w14:textId="10214E38" w:rsidR="0041238C" w:rsidRPr="00A70FB7" w:rsidRDefault="00DD1752" w:rsidP="00884409">
            <w:pPr>
              <w:keepNext/>
              <w:keepLines/>
              <w:spacing w:before="40"/>
              <w:rPr>
                <w:rFonts w:asciiTheme="majorBidi" w:hAnsiTheme="majorBidi" w:cstheme="majorBidi"/>
                <w:lang w:val="fr-CH"/>
              </w:rPr>
            </w:pPr>
            <w:r w:rsidRPr="00A70FB7">
              <w:rPr>
                <w:rFonts w:asciiTheme="majorBidi" w:hAnsiTheme="majorBidi" w:cstheme="majorBidi"/>
                <w:lang w:val="fr-CH"/>
              </w:rPr>
              <w:t>Autres</w:t>
            </w:r>
          </w:p>
        </w:tc>
        <w:tc>
          <w:tcPr>
            <w:tcW w:w="2551" w:type="dxa"/>
          </w:tcPr>
          <w:p w14:paraId="46B96016" w14:textId="0E104BDA" w:rsidR="0041238C" w:rsidRPr="00A70FB7" w:rsidRDefault="00750087" w:rsidP="00884409">
            <w:pPr>
              <w:keepNext/>
              <w:keepLines/>
              <w:spacing w:before="40"/>
              <w:jc w:val="right"/>
              <w:rPr>
                <w:rFonts w:asciiTheme="majorBidi" w:hAnsiTheme="majorBidi" w:cstheme="majorBidi"/>
                <w:lang w:val="fr-CH"/>
              </w:rPr>
            </w:pPr>
            <w:r>
              <w:rPr>
                <w:rFonts w:asciiTheme="majorBidi" w:hAnsiTheme="majorBidi" w:cstheme="majorBidi"/>
                <w:lang w:val="fr-CH"/>
              </w:rPr>
              <w:t>4xSG</w:t>
            </w:r>
          </w:p>
        </w:tc>
      </w:tr>
      <w:tr w:rsidR="0041238C" w:rsidRPr="00A70FB7" w14:paraId="47EED7CC" w14:textId="77777777" w:rsidTr="00BE71F1">
        <w:tc>
          <w:tcPr>
            <w:tcW w:w="5670" w:type="dxa"/>
          </w:tcPr>
          <w:p w14:paraId="593C6AD1" w14:textId="2E17C765" w:rsidR="0041238C" w:rsidRPr="00A70FB7" w:rsidRDefault="005C411E" w:rsidP="00884409">
            <w:pPr>
              <w:keepNext/>
              <w:keepLines/>
              <w:spacing w:before="40"/>
              <w:rPr>
                <w:rFonts w:asciiTheme="majorBidi" w:hAnsiTheme="majorBidi" w:cstheme="majorBidi"/>
                <w:b/>
                <w:bCs/>
                <w:lang w:val="fr-CH"/>
              </w:rPr>
            </w:pPr>
            <w:r w:rsidRPr="00A70FB7">
              <w:rPr>
                <w:rFonts w:asciiTheme="majorBidi" w:hAnsiTheme="majorBidi" w:cstheme="majorBidi"/>
                <w:b/>
                <w:bCs/>
                <w:lang w:val="fr-CH"/>
              </w:rPr>
              <w:t>N</w:t>
            </w:r>
            <w:r w:rsidR="00E20CCD" w:rsidRPr="00A70FB7">
              <w:rPr>
                <w:rFonts w:asciiTheme="majorBidi" w:hAnsiTheme="majorBidi" w:cstheme="majorBidi"/>
                <w:b/>
                <w:bCs/>
                <w:lang w:val="fr-CH"/>
              </w:rPr>
              <w:t>ouveaux postes</w:t>
            </w:r>
            <w:r w:rsidRPr="00A70FB7">
              <w:rPr>
                <w:rFonts w:asciiTheme="majorBidi" w:hAnsiTheme="majorBidi" w:cstheme="majorBidi"/>
                <w:b/>
                <w:bCs/>
                <w:lang w:val="fr-CH"/>
              </w:rPr>
              <w:t xml:space="preserve"> prévus</w:t>
            </w:r>
            <w:r w:rsidR="00E20CCD" w:rsidRPr="00A70FB7">
              <w:rPr>
                <w:rFonts w:asciiTheme="majorBidi" w:hAnsiTheme="majorBidi" w:cstheme="majorBidi"/>
                <w:b/>
                <w:bCs/>
                <w:lang w:val="fr-CH"/>
              </w:rPr>
              <w:t xml:space="preserve"> </w:t>
            </w:r>
            <w:r w:rsidR="0041238C" w:rsidRPr="00A70FB7">
              <w:rPr>
                <w:rFonts w:asciiTheme="majorBidi" w:hAnsiTheme="majorBidi" w:cstheme="majorBidi"/>
                <w:b/>
                <w:bCs/>
                <w:lang w:val="fr-CH"/>
              </w:rPr>
              <w:t>:</w:t>
            </w:r>
          </w:p>
          <w:p w14:paraId="7DDAB960" w14:textId="1417B546" w:rsidR="0041238C" w:rsidRPr="00A70FB7" w:rsidRDefault="00D530E5" w:rsidP="00A727B6">
            <w:pPr>
              <w:keepNext/>
              <w:keepLines/>
              <w:spacing w:before="40"/>
              <w:rPr>
                <w:rFonts w:asciiTheme="majorBidi" w:hAnsiTheme="majorBidi" w:cstheme="majorBidi"/>
                <w:lang w:val="fr-CH"/>
              </w:rPr>
            </w:pPr>
            <w:r w:rsidRPr="00A70FB7">
              <w:rPr>
                <w:rFonts w:asciiTheme="majorBidi" w:hAnsiTheme="majorBidi" w:cstheme="majorBidi"/>
                <w:lang w:val="fr-CH"/>
              </w:rPr>
              <w:t>C</w:t>
            </w:r>
            <w:r w:rsidRPr="00A70FB7">
              <w:rPr>
                <w:lang w:val="fr-CH"/>
              </w:rPr>
              <w:t>ommunication et sensibilisation du public, gestion de l’information et technologie</w:t>
            </w:r>
            <w:r w:rsidR="00750087">
              <w:rPr>
                <w:lang w:val="fr-CH"/>
              </w:rPr>
              <w:t>s de l’information</w:t>
            </w:r>
            <w:r w:rsidR="006D523F" w:rsidRPr="00A70FB7">
              <w:rPr>
                <w:rFonts w:asciiTheme="majorBidi" w:hAnsiTheme="majorBidi" w:cstheme="majorBidi"/>
                <w:lang w:val="fr-CH"/>
              </w:rPr>
              <w:br/>
            </w:r>
            <w:r w:rsidR="00A727B6" w:rsidRPr="00A70FB7">
              <w:rPr>
                <w:rFonts w:asciiTheme="majorBidi" w:hAnsiTheme="majorBidi" w:cstheme="majorBidi"/>
                <w:lang w:val="fr-CH"/>
              </w:rPr>
              <w:t>Juriste</w:t>
            </w:r>
            <w:r w:rsidR="00E67A13" w:rsidRPr="00A70FB7">
              <w:rPr>
                <w:rFonts w:asciiTheme="majorBidi" w:hAnsiTheme="majorBidi" w:cstheme="majorBidi"/>
                <w:lang w:val="fr-CH"/>
              </w:rPr>
              <w:t xml:space="preserve"> </w:t>
            </w:r>
            <w:r w:rsidR="0041238C" w:rsidRPr="00A70FB7">
              <w:rPr>
                <w:rFonts w:asciiTheme="majorBidi" w:hAnsiTheme="majorBidi" w:cstheme="majorBidi"/>
                <w:lang w:val="fr-CH"/>
              </w:rPr>
              <w:t xml:space="preserve"> </w:t>
            </w:r>
          </w:p>
        </w:tc>
        <w:tc>
          <w:tcPr>
            <w:tcW w:w="2551" w:type="dxa"/>
          </w:tcPr>
          <w:p w14:paraId="4B0695D4" w14:textId="77777777" w:rsidR="0041238C" w:rsidRPr="00A70FB7" w:rsidRDefault="0041238C" w:rsidP="00884409">
            <w:pPr>
              <w:keepNext/>
              <w:keepLines/>
              <w:spacing w:before="40"/>
              <w:jc w:val="right"/>
              <w:rPr>
                <w:rFonts w:asciiTheme="majorBidi" w:hAnsiTheme="majorBidi" w:cstheme="majorBidi"/>
                <w:lang w:val="fr-CH"/>
              </w:rPr>
            </w:pPr>
          </w:p>
          <w:p w14:paraId="56AECCE4" w14:textId="7ED47292" w:rsidR="0041238C" w:rsidRPr="00A70FB7" w:rsidRDefault="00A727B6"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 xml:space="preserve"> 2x50</w:t>
            </w:r>
            <w:r w:rsidR="00B165E5">
              <w:rPr>
                <w:rFonts w:asciiTheme="majorBidi" w:hAnsiTheme="majorBidi" w:cstheme="majorBidi"/>
                <w:lang w:val="fr-CH"/>
              </w:rPr>
              <w:t> </w:t>
            </w:r>
            <w:r w:rsidRPr="00A70FB7">
              <w:rPr>
                <w:rFonts w:asciiTheme="majorBidi" w:hAnsiTheme="majorBidi" w:cstheme="majorBidi"/>
                <w:lang w:val="fr-CH"/>
              </w:rPr>
              <w:t>% de</w:t>
            </w:r>
            <w:r w:rsidR="0041238C" w:rsidRPr="00A70FB7">
              <w:rPr>
                <w:rFonts w:asciiTheme="majorBidi" w:hAnsiTheme="majorBidi" w:cstheme="majorBidi"/>
                <w:lang w:val="fr-CH"/>
              </w:rPr>
              <w:t xml:space="preserve"> P-3</w:t>
            </w:r>
          </w:p>
          <w:p w14:paraId="0AF72FBB" w14:textId="0D352DAD" w:rsidR="0041238C" w:rsidRPr="00A70FB7" w:rsidRDefault="00A727B6"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50</w:t>
            </w:r>
            <w:r w:rsidR="00B165E5">
              <w:rPr>
                <w:rFonts w:asciiTheme="majorBidi" w:hAnsiTheme="majorBidi" w:cstheme="majorBidi"/>
                <w:lang w:val="fr-CH"/>
              </w:rPr>
              <w:t> </w:t>
            </w:r>
            <w:r w:rsidRPr="00A70FB7">
              <w:rPr>
                <w:rFonts w:asciiTheme="majorBidi" w:hAnsiTheme="majorBidi" w:cstheme="majorBidi"/>
                <w:lang w:val="fr-CH"/>
              </w:rPr>
              <w:t>% de</w:t>
            </w:r>
            <w:r w:rsidR="0041238C" w:rsidRPr="00A70FB7">
              <w:rPr>
                <w:rFonts w:asciiTheme="majorBidi" w:hAnsiTheme="majorBidi" w:cstheme="majorBidi"/>
                <w:lang w:val="fr-CH"/>
              </w:rPr>
              <w:t xml:space="preserve"> P-3</w:t>
            </w:r>
          </w:p>
        </w:tc>
      </w:tr>
      <w:tr w:rsidR="0041238C" w:rsidRPr="00A70FB7" w14:paraId="68A207FD" w14:textId="77777777" w:rsidTr="00BE71F1">
        <w:tc>
          <w:tcPr>
            <w:tcW w:w="5670" w:type="dxa"/>
          </w:tcPr>
          <w:p w14:paraId="30D99629" w14:textId="537ADBE1" w:rsidR="0041238C" w:rsidRPr="00A70FB7" w:rsidRDefault="005C411E" w:rsidP="00884409">
            <w:pPr>
              <w:keepNext/>
              <w:keepLines/>
              <w:spacing w:before="40"/>
              <w:rPr>
                <w:rFonts w:asciiTheme="majorBidi" w:hAnsiTheme="majorBidi" w:cstheme="majorBidi"/>
                <w:b/>
                <w:bCs/>
                <w:lang w:val="fr-CH"/>
              </w:rPr>
            </w:pPr>
            <w:r w:rsidRPr="00A70FB7">
              <w:rPr>
                <w:rFonts w:asciiTheme="majorBidi" w:hAnsiTheme="majorBidi" w:cstheme="majorBidi"/>
                <w:b/>
                <w:bCs/>
                <w:lang w:val="fr-CH"/>
              </w:rPr>
              <w:t xml:space="preserve">Nouveaux postes prévus et cofinancés </w:t>
            </w:r>
            <w:r w:rsidR="0041238C" w:rsidRPr="00A70FB7">
              <w:rPr>
                <w:rFonts w:asciiTheme="majorBidi" w:hAnsiTheme="majorBidi" w:cstheme="majorBidi"/>
                <w:b/>
                <w:bCs/>
                <w:lang w:val="fr-CH"/>
              </w:rPr>
              <w:t>:</w:t>
            </w:r>
          </w:p>
          <w:p w14:paraId="26626FB3" w14:textId="2B070676" w:rsidR="0041238C" w:rsidRPr="00A70FB7" w:rsidRDefault="00750087" w:rsidP="00884409">
            <w:pPr>
              <w:keepNext/>
              <w:keepLines/>
              <w:spacing w:before="40"/>
              <w:rPr>
                <w:rFonts w:asciiTheme="majorBidi" w:hAnsiTheme="majorBidi" w:cstheme="majorBidi"/>
                <w:lang w:val="fr-CH"/>
              </w:rPr>
            </w:pPr>
            <w:r>
              <w:rPr>
                <w:rFonts w:asciiTheme="majorBidi" w:hAnsiTheme="majorBidi" w:cstheme="majorBidi"/>
                <w:lang w:val="fr-CH"/>
              </w:rPr>
              <w:t>Chef du</w:t>
            </w:r>
            <w:r w:rsidR="0054065C" w:rsidRPr="00A70FB7">
              <w:rPr>
                <w:rFonts w:asciiTheme="majorBidi" w:hAnsiTheme="majorBidi" w:cstheme="majorBidi"/>
                <w:lang w:val="fr-CH"/>
              </w:rPr>
              <w:t xml:space="preserve"> service des opérations</w:t>
            </w:r>
          </w:p>
        </w:tc>
        <w:tc>
          <w:tcPr>
            <w:tcW w:w="2551" w:type="dxa"/>
          </w:tcPr>
          <w:p w14:paraId="2963E079" w14:textId="77777777" w:rsidR="0041238C" w:rsidRPr="00A70FB7" w:rsidRDefault="0041238C" w:rsidP="00884409">
            <w:pPr>
              <w:keepNext/>
              <w:keepLines/>
              <w:spacing w:before="40"/>
              <w:jc w:val="right"/>
              <w:rPr>
                <w:rFonts w:asciiTheme="majorBidi" w:hAnsiTheme="majorBidi" w:cstheme="majorBidi"/>
                <w:lang w:val="fr-CH"/>
              </w:rPr>
            </w:pPr>
          </w:p>
          <w:p w14:paraId="77A74F81" w14:textId="29256420" w:rsidR="0041238C" w:rsidRPr="00A70FB7" w:rsidRDefault="00A727B6"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40</w:t>
            </w:r>
            <w:r w:rsidR="00B165E5">
              <w:rPr>
                <w:rFonts w:asciiTheme="majorBidi" w:hAnsiTheme="majorBidi" w:cstheme="majorBidi"/>
                <w:lang w:val="fr-CH"/>
              </w:rPr>
              <w:t> </w:t>
            </w:r>
            <w:r w:rsidRPr="00A70FB7">
              <w:rPr>
                <w:rFonts w:asciiTheme="majorBidi" w:hAnsiTheme="majorBidi" w:cstheme="majorBidi"/>
                <w:lang w:val="fr-CH"/>
              </w:rPr>
              <w:t>% de</w:t>
            </w:r>
            <w:r w:rsidR="0041238C" w:rsidRPr="00A70FB7">
              <w:rPr>
                <w:rFonts w:asciiTheme="majorBidi" w:hAnsiTheme="majorBidi" w:cstheme="majorBidi"/>
                <w:lang w:val="fr-CH"/>
              </w:rPr>
              <w:t xml:space="preserve"> P-5</w:t>
            </w:r>
          </w:p>
        </w:tc>
      </w:tr>
      <w:tr w:rsidR="0041238C" w:rsidRPr="00A70FB7" w14:paraId="5C51E92F" w14:textId="77777777" w:rsidTr="00BE71F1">
        <w:tc>
          <w:tcPr>
            <w:tcW w:w="5670" w:type="dxa"/>
          </w:tcPr>
          <w:p w14:paraId="34AF7EC0" w14:textId="77777777" w:rsidR="00A727B6" w:rsidRPr="00A70FB7" w:rsidRDefault="00A727B6" w:rsidP="00A727B6">
            <w:pPr>
              <w:rPr>
                <w:rFonts w:asciiTheme="majorBidi" w:hAnsiTheme="majorBidi" w:cstheme="majorBidi"/>
                <w:b/>
                <w:bCs/>
                <w:lang w:val="fr-CH"/>
              </w:rPr>
            </w:pPr>
            <w:r w:rsidRPr="00A70FB7">
              <w:rPr>
                <w:rFonts w:asciiTheme="majorBidi" w:hAnsiTheme="majorBidi" w:cstheme="majorBidi"/>
                <w:b/>
                <w:bCs/>
                <w:lang w:val="fr-CH"/>
              </w:rPr>
              <w:t>Appui administratif financé par des prélèvements sur les dépenses d’appui au programme :</w:t>
            </w:r>
          </w:p>
          <w:p w14:paraId="2313EFE6" w14:textId="77777777" w:rsidR="0054065C" w:rsidRPr="00A70FB7" w:rsidRDefault="0054065C" w:rsidP="0054065C">
            <w:pPr>
              <w:tabs>
                <w:tab w:val="clear" w:pos="1247"/>
                <w:tab w:val="clear" w:pos="1814"/>
                <w:tab w:val="clear" w:pos="2381"/>
                <w:tab w:val="clear" w:pos="2948"/>
                <w:tab w:val="clear" w:pos="3515"/>
              </w:tabs>
              <w:spacing w:line="256" w:lineRule="auto"/>
              <w:textAlignment w:val="baseline"/>
              <w:rPr>
                <w:rFonts w:eastAsia="MS Mincho"/>
                <w:lang w:val="fr-CH"/>
              </w:rPr>
            </w:pPr>
            <w:r w:rsidRPr="00A70FB7">
              <w:rPr>
                <w:rFonts w:eastAsia="MS Mincho"/>
                <w:lang w:val="fr-CH"/>
              </w:rPr>
              <w:t>Fonctionnaire d’administration et de gestion des fonds</w:t>
            </w:r>
          </w:p>
          <w:p w14:paraId="42E82F83" w14:textId="14CDB4B8" w:rsidR="00D530E5" w:rsidRPr="00A70FB7" w:rsidRDefault="0041238C" w:rsidP="0054065C">
            <w:pPr>
              <w:tabs>
                <w:tab w:val="clear" w:pos="1247"/>
                <w:tab w:val="clear" w:pos="1814"/>
                <w:tab w:val="clear" w:pos="2381"/>
                <w:tab w:val="clear" w:pos="2948"/>
                <w:tab w:val="clear" w:pos="3515"/>
              </w:tabs>
              <w:spacing w:line="256" w:lineRule="auto"/>
              <w:textAlignment w:val="baseline"/>
              <w:rPr>
                <w:rFonts w:asciiTheme="majorBidi" w:hAnsiTheme="majorBidi" w:cstheme="majorBidi"/>
                <w:lang w:val="fr-CH"/>
              </w:rPr>
            </w:pPr>
            <w:r w:rsidRPr="00A70FB7">
              <w:rPr>
                <w:rFonts w:asciiTheme="majorBidi" w:hAnsiTheme="majorBidi" w:cstheme="majorBidi"/>
                <w:lang w:val="fr-CH"/>
              </w:rPr>
              <w:t xml:space="preserve">1x </w:t>
            </w:r>
            <w:r w:rsidR="0054065C" w:rsidRPr="00A70FB7">
              <w:rPr>
                <w:rFonts w:asciiTheme="majorBidi" w:hAnsiTheme="majorBidi" w:cstheme="majorBidi"/>
                <w:lang w:val="fr-CH"/>
              </w:rPr>
              <w:t>agent des services généraux</w:t>
            </w:r>
            <w:r w:rsidR="00E67A13" w:rsidRPr="00A70FB7">
              <w:rPr>
                <w:rFonts w:asciiTheme="majorBidi" w:hAnsiTheme="majorBidi" w:cstheme="majorBidi"/>
                <w:lang w:val="fr-CH"/>
              </w:rPr>
              <w:t xml:space="preserve"> </w:t>
            </w:r>
          </w:p>
        </w:tc>
        <w:tc>
          <w:tcPr>
            <w:tcW w:w="2551" w:type="dxa"/>
          </w:tcPr>
          <w:p w14:paraId="6073849D" w14:textId="77777777" w:rsidR="0041238C" w:rsidRPr="00A70FB7" w:rsidRDefault="0041238C" w:rsidP="00884409">
            <w:pPr>
              <w:keepNext/>
              <w:keepLines/>
              <w:spacing w:before="40"/>
              <w:jc w:val="right"/>
              <w:rPr>
                <w:rFonts w:asciiTheme="majorBidi" w:hAnsiTheme="majorBidi" w:cstheme="majorBidi"/>
                <w:lang w:val="fr-CH"/>
              </w:rPr>
            </w:pPr>
          </w:p>
          <w:p w14:paraId="4AB35493" w14:textId="77777777" w:rsidR="0041238C" w:rsidRPr="00A70FB7" w:rsidRDefault="0041238C" w:rsidP="00884409">
            <w:pPr>
              <w:keepNext/>
              <w:keepLines/>
              <w:spacing w:before="40"/>
              <w:jc w:val="right"/>
              <w:rPr>
                <w:rFonts w:asciiTheme="majorBidi" w:hAnsiTheme="majorBidi" w:cstheme="majorBidi"/>
                <w:lang w:val="fr-CH"/>
              </w:rPr>
            </w:pPr>
            <w:r w:rsidRPr="00A70FB7">
              <w:rPr>
                <w:rFonts w:asciiTheme="majorBidi" w:hAnsiTheme="majorBidi" w:cstheme="majorBidi"/>
                <w:lang w:val="fr-CH"/>
              </w:rPr>
              <w:t>P-3</w:t>
            </w:r>
          </w:p>
          <w:p w14:paraId="5CC06790" w14:textId="421F560A" w:rsidR="0041238C" w:rsidRPr="00A70FB7" w:rsidRDefault="00750087" w:rsidP="00884409">
            <w:pPr>
              <w:keepNext/>
              <w:keepLines/>
              <w:spacing w:before="40"/>
              <w:jc w:val="right"/>
              <w:rPr>
                <w:rFonts w:asciiTheme="majorBidi" w:hAnsiTheme="majorBidi" w:cstheme="majorBidi"/>
                <w:lang w:val="fr-CH"/>
              </w:rPr>
            </w:pPr>
            <w:r>
              <w:rPr>
                <w:rFonts w:asciiTheme="majorBidi" w:hAnsiTheme="majorBidi" w:cstheme="majorBidi"/>
                <w:lang w:val="fr-CH"/>
              </w:rPr>
              <w:t>1x</w:t>
            </w:r>
            <w:r w:rsidR="0041238C" w:rsidRPr="00A70FB7">
              <w:rPr>
                <w:rFonts w:asciiTheme="majorBidi" w:hAnsiTheme="majorBidi" w:cstheme="majorBidi"/>
                <w:lang w:val="fr-CH"/>
              </w:rPr>
              <w:t>S</w:t>
            </w:r>
            <w:r>
              <w:rPr>
                <w:rFonts w:asciiTheme="majorBidi" w:hAnsiTheme="majorBidi" w:cstheme="majorBidi"/>
                <w:lang w:val="fr-CH"/>
              </w:rPr>
              <w:t>G</w:t>
            </w:r>
          </w:p>
        </w:tc>
      </w:tr>
    </w:tbl>
    <w:p w14:paraId="0BBB157E" w14:textId="233448D5" w:rsidR="00911861" w:rsidRPr="00D530E5" w:rsidRDefault="00911861">
      <w:pPr>
        <w:tabs>
          <w:tab w:val="clear" w:pos="1247"/>
          <w:tab w:val="clear" w:pos="1814"/>
          <w:tab w:val="clear" w:pos="2381"/>
          <w:tab w:val="clear" w:pos="2948"/>
          <w:tab w:val="clear" w:pos="3515"/>
        </w:tabs>
        <w:rPr>
          <w:lang w:val="fr-CH"/>
        </w:rPr>
      </w:pPr>
      <w:r w:rsidRPr="00D530E5">
        <w:rPr>
          <w:lang w:val="fr-CH"/>
        </w:rPr>
        <w:br w:type="page"/>
      </w:r>
    </w:p>
    <w:p w14:paraId="265CFCC1" w14:textId="46907BD7" w:rsidR="0041238C" w:rsidRPr="00186A32" w:rsidRDefault="0041238C" w:rsidP="00161024">
      <w:pPr>
        <w:pStyle w:val="ZZAnxheader"/>
        <w:outlineLvl w:val="0"/>
        <w:rPr>
          <w:lang w:val="fr-CH"/>
        </w:rPr>
      </w:pPr>
      <w:r w:rsidRPr="000A0D62">
        <w:rPr>
          <w:lang w:val="fr-CH"/>
        </w:rPr>
        <w:lastRenderedPageBreak/>
        <w:t>A</w:t>
      </w:r>
      <w:r w:rsidR="00423175">
        <w:rPr>
          <w:lang w:val="fr-CH"/>
        </w:rPr>
        <w:t>ppendic</w:t>
      </w:r>
      <w:r w:rsidR="003825B6" w:rsidRPr="00186A32">
        <w:rPr>
          <w:lang w:val="fr-CH"/>
        </w:rPr>
        <w:t>e</w:t>
      </w:r>
      <w:r w:rsidRPr="00186A32">
        <w:rPr>
          <w:lang w:val="fr-CH"/>
        </w:rPr>
        <w:t xml:space="preserve"> IV</w:t>
      </w:r>
    </w:p>
    <w:p w14:paraId="7F1D4C73" w14:textId="51BF61A5" w:rsidR="0041238C" w:rsidRPr="00186A32" w:rsidRDefault="000A0D62" w:rsidP="006432A8">
      <w:pPr>
        <w:pStyle w:val="ZZAnxtitle"/>
        <w:rPr>
          <w:lang w:val="fr-CH"/>
        </w:rPr>
      </w:pPr>
      <w:r w:rsidRPr="00186A32">
        <w:rPr>
          <w:lang w:val="fr-CH"/>
        </w:rPr>
        <w:t xml:space="preserve">Création d’un secrétariat </w:t>
      </w:r>
      <w:r w:rsidR="00DB1470">
        <w:rPr>
          <w:lang w:val="fr-CH"/>
        </w:rPr>
        <w:t>autonome</w:t>
      </w:r>
      <w:r w:rsidR="00CB5681">
        <w:rPr>
          <w:lang w:val="fr-CH"/>
        </w:rPr>
        <w:t xml:space="preserve"> de la Convention de </w:t>
      </w:r>
      <w:r w:rsidRPr="00186A32">
        <w:rPr>
          <w:lang w:val="fr-CH"/>
        </w:rPr>
        <w:t>Minamata</w:t>
      </w:r>
    </w:p>
    <w:tbl>
      <w:tblPr>
        <w:tblStyle w:val="TableGrid"/>
        <w:tblW w:w="0" w:type="auto"/>
        <w:tblInd w:w="1385" w:type="dxa"/>
        <w:tblLook w:val="04A0" w:firstRow="1" w:lastRow="0" w:firstColumn="1" w:lastColumn="0" w:noHBand="0" w:noVBand="1"/>
      </w:tblPr>
      <w:tblGrid>
        <w:gridCol w:w="2500"/>
        <w:gridCol w:w="928"/>
        <w:gridCol w:w="3277"/>
        <w:gridCol w:w="1396"/>
      </w:tblGrid>
      <w:tr w:rsidR="0041238C" w:rsidRPr="00A84D20" w14:paraId="28831C53" w14:textId="77777777" w:rsidTr="006432A8">
        <w:tc>
          <w:tcPr>
            <w:tcW w:w="8221" w:type="dxa"/>
            <w:gridSpan w:val="4"/>
          </w:tcPr>
          <w:p w14:paraId="51E3BAD3" w14:textId="694DA5E6" w:rsidR="00A70FB7" w:rsidRPr="00186A32" w:rsidRDefault="003E3369">
            <w:pPr>
              <w:pStyle w:val="Normal-pool"/>
              <w:spacing w:before="80" w:after="80"/>
              <w:rPr>
                <w:b/>
                <w:lang w:val="fr-CH"/>
              </w:rPr>
            </w:pPr>
            <w:r w:rsidRPr="00186A32">
              <w:rPr>
                <w:b/>
                <w:lang w:val="fr-CH"/>
              </w:rPr>
              <w:t xml:space="preserve">Option 2 </w:t>
            </w:r>
            <w:r w:rsidR="001A2884" w:rsidRPr="00186A32">
              <w:rPr>
                <w:b/>
                <w:lang w:val="fr-CH"/>
              </w:rPr>
              <w:t>(</w:t>
            </w:r>
            <w:r w:rsidR="000A0D62" w:rsidRPr="00186A32">
              <w:rPr>
                <w:b/>
                <w:lang w:val="fr-CH"/>
              </w:rPr>
              <w:t>autonomie</w:t>
            </w:r>
            <w:r w:rsidR="001A2884" w:rsidRPr="00186A32">
              <w:rPr>
                <w:b/>
                <w:lang w:val="fr-CH"/>
              </w:rPr>
              <w:t>)</w:t>
            </w:r>
            <w:r w:rsidR="00BF13C7">
              <w:rPr>
                <w:b/>
                <w:lang w:val="fr-CH"/>
              </w:rPr>
              <w:t> </w:t>
            </w:r>
            <w:r w:rsidRPr="00186A32">
              <w:rPr>
                <w:b/>
                <w:lang w:val="fr-CH"/>
              </w:rPr>
              <w:t xml:space="preserve">: </w:t>
            </w:r>
            <w:r w:rsidR="000A0D62" w:rsidRPr="00186A32">
              <w:rPr>
                <w:b/>
                <w:lang w:val="fr-CH"/>
              </w:rPr>
              <w:t xml:space="preserve">Création d’un secrétariat </w:t>
            </w:r>
            <w:r w:rsidR="00DB1470">
              <w:rPr>
                <w:b/>
                <w:lang w:val="fr-CH"/>
              </w:rPr>
              <w:t xml:space="preserve">autonome </w:t>
            </w:r>
            <w:r w:rsidR="00BF13C7">
              <w:rPr>
                <w:b/>
                <w:lang w:val="fr-CH"/>
              </w:rPr>
              <w:t>de la Convention de </w:t>
            </w:r>
            <w:r w:rsidR="000A0D62" w:rsidRPr="00186A32">
              <w:rPr>
                <w:b/>
                <w:lang w:val="fr-CH"/>
              </w:rPr>
              <w:t>Minamata</w:t>
            </w:r>
          </w:p>
        </w:tc>
      </w:tr>
      <w:tr w:rsidR="0041238C" w:rsidRPr="00186A32" w14:paraId="74D0CB62" w14:textId="77777777" w:rsidTr="006432A8">
        <w:tc>
          <w:tcPr>
            <w:tcW w:w="8221" w:type="dxa"/>
            <w:gridSpan w:val="4"/>
          </w:tcPr>
          <w:p w14:paraId="1FBB7052" w14:textId="0505A87F" w:rsidR="0041238C" w:rsidRPr="00186A32" w:rsidRDefault="00A70FB7" w:rsidP="00BE71F1">
            <w:pPr>
              <w:spacing w:before="80" w:after="80"/>
              <w:jc w:val="center"/>
              <w:rPr>
                <w:rFonts w:asciiTheme="majorBidi" w:hAnsiTheme="majorBidi" w:cstheme="majorBidi"/>
                <w:lang w:val="fr-CH"/>
              </w:rPr>
            </w:pPr>
            <w:r w:rsidRPr="00186A32">
              <w:rPr>
                <w:rFonts w:asciiTheme="majorBidi" w:hAnsiTheme="majorBidi" w:cstheme="majorBidi"/>
                <w:b/>
                <w:bCs/>
                <w:lang w:val="fr-CH" w:eastAsia="zh-TW"/>
              </w:rPr>
              <w:t>Services exécutifs</w:t>
            </w:r>
          </w:p>
        </w:tc>
      </w:tr>
      <w:tr w:rsidR="0041238C" w:rsidRPr="00186A32" w14:paraId="527FAF71" w14:textId="77777777" w:rsidTr="006432A8">
        <w:tc>
          <w:tcPr>
            <w:tcW w:w="6803" w:type="dxa"/>
            <w:gridSpan w:val="3"/>
            <w:tcBorders>
              <w:right w:val="single" w:sz="4" w:space="0" w:color="auto"/>
            </w:tcBorders>
          </w:tcPr>
          <w:p w14:paraId="09176764" w14:textId="20F79A71" w:rsidR="0041238C" w:rsidRPr="00186A32" w:rsidRDefault="00A70FB7" w:rsidP="0041238C">
            <w:pPr>
              <w:rPr>
                <w:rFonts w:asciiTheme="majorBidi" w:hAnsiTheme="majorBidi" w:cstheme="majorBidi"/>
                <w:lang w:val="fr-CH"/>
              </w:rPr>
            </w:pPr>
            <w:r w:rsidRPr="00186A32">
              <w:rPr>
                <w:rFonts w:asciiTheme="majorBidi" w:hAnsiTheme="majorBidi" w:cstheme="majorBidi"/>
                <w:lang w:val="fr-CH"/>
              </w:rPr>
              <w:t>Secrétaire exécutif</w:t>
            </w:r>
          </w:p>
        </w:tc>
        <w:tc>
          <w:tcPr>
            <w:tcW w:w="1418" w:type="dxa"/>
            <w:tcBorders>
              <w:top w:val="nil"/>
              <w:left w:val="single" w:sz="4" w:space="0" w:color="auto"/>
              <w:bottom w:val="nil"/>
              <w:right w:val="single" w:sz="4" w:space="0" w:color="auto"/>
            </w:tcBorders>
            <w:shd w:val="clear" w:color="auto" w:fill="auto"/>
          </w:tcPr>
          <w:p w14:paraId="61E6134F"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D-1</w:t>
            </w:r>
          </w:p>
        </w:tc>
      </w:tr>
      <w:tr w:rsidR="0041238C" w:rsidRPr="00186A32" w14:paraId="1BE4F1FB" w14:textId="77777777" w:rsidTr="006432A8">
        <w:tc>
          <w:tcPr>
            <w:tcW w:w="6803" w:type="dxa"/>
            <w:gridSpan w:val="3"/>
          </w:tcPr>
          <w:p w14:paraId="077A518E" w14:textId="74AE028B" w:rsidR="0041238C" w:rsidRPr="00186A32" w:rsidRDefault="00A70FB7" w:rsidP="0041238C">
            <w:pPr>
              <w:rPr>
                <w:rFonts w:asciiTheme="majorBidi" w:hAnsiTheme="majorBidi" w:cstheme="majorBidi"/>
                <w:lang w:val="fr-CH"/>
              </w:rPr>
            </w:pPr>
            <w:r w:rsidRPr="00186A32">
              <w:rPr>
                <w:rFonts w:asciiTheme="majorBidi" w:hAnsiTheme="majorBidi" w:cstheme="majorBidi"/>
                <w:lang w:val="fr-CH"/>
              </w:rPr>
              <w:t>Autre</w:t>
            </w:r>
            <w:r w:rsidR="006E4A56">
              <w:rPr>
                <w:rFonts w:asciiTheme="majorBidi" w:hAnsiTheme="majorBidi" w:cstheme="majorBidi"/>
                <w:lang w:val="fr-CH"/>
              </w:rPr>
              <w:t>s</w:t>
            </w:r>
          </w:p>
        </w:tc>
        <w:tc>
          <w:tcPr>
            <w:tcW w:w="1418" w:type="dxa"/>
          </w:tcPr>
          <w:p w14:paraId="7A975D58" w14:textId="749E285E" w:rsidR="0041238C" w:rsidRPr="00186A32" w:rsidRDefault="00750087" w:rsidP="0041238C">
            <w:pPr>
              <w:rPr>
                <w:rFonts w:asciiTheme="majorBidi" w:hAnsiTheme="majorBidi" w:cstheme="majorBidi"/>
                <w:lang w:val="fr-CH"/>
              </w:rPr>
            </w:pPr>
            <w:r>
              <w:rPr>
                <w:rFonts w:asciiTheme="majorBidi" w:hAnsiTheme="majorBidi" w:cstheme="majorBidi"/>
                <w:lang w:val="fr-CH"/>
              </w:rPr>
              <w:t xml:space="preserve">1x </w:t>
            </w:r>
            <w:r w:rsidR="0041238C" w:rsidRPr="00186A32">
              <w:rPr>
                <w:rFonts w:asciiTheme="majorBidi" w:hAnsiTheme="majorBidi" w:cstheme="majorBidi"/>
                <w:lang w:val="fr-CH"/>
              </w:rPr>
              <w:t>S</w:t>
            </w:r>
            <w:r>
              <w:rPr>
                <w:rFonts w:asciiTheme="majorBidi" w:hAnsiTheme="majorBidi" w:cstheme="majorBidi"/>
                <w:lang w:val="fr-CH"/>
              </w:rPr>
              <w:t>G</w:t>
            </w:r>
          </w:p>
        </w:tc>
      </w:tr>
      <w:tr w:rsidR="0041238C" w:rsidRPr="00186A32" w14:paraId="141D51A0" w14:textId="77777777" w:rsidTr="006432A8">
        <w:tc>
          <w:tcPr>
            <w:tcW w:w="3471" w:type="dxa"/>
            <w:gridSpan w:val="2"/>
          </w:tcPr>
          <w:p w14:paraId="653CCFE2" w14:textId="6ADE693A" w:rsidR="0041238C" w:rsidRPr="00186A32" w:rsidRDefault="00034621" w:rsidP="00BE71F1">
            <w:pPr>
              <w:spacing w:before="80" w:after="80"/>
              <w:jc w:val="center"/>
              <w:rPr>
                <w:rFonts w:asciiTheme="majorBidi" w:hAnsiTheme="majorBidi" w:cstheme="majorBidi"/>
                <w:b/>
                <w:bCs/>
                <w:lang w:val="fr-CH"/>
              </w:rPr>
            </w:pPr>
            <w:r w:rsidRPr="00186A32">
              <w:rPr>
                <w:rFonts w:asciiTheme="majorBidi" w:hAnsiTheme="majorBidi" w:cstheme="majorBidi"/>
                <w:b/>
                <w:bCs/>
                <w:lang w:val="fr-CH"/>
              </w:rPr>
              <w:t>Service de politique générale</w:t>
            </w:r>
          </w:p>
        </w:tc>
        <w:tc>
          <w:tcPr>
            <w:tcW w:w="4750" w:type="dxa"/>
            <w:gridSpan w:val="2"/>
          </w:tcPr>
          <w:p w14:paraId="3F82B317" w14:textId="46BFE056" w:rsidR="0041238C" w:rsidRPr="00186A32" w:rsidRDefault="00EC79C0" w:rsidP="00BE71F1">
            <w:pPr>
              <w:spacing w:before="80" w:after="80"/>
              <w:jc w:val="center"/>
              <w:rPr>
                <w:rFonts w:asciiTheme="majorBidi" w:hAnsiTheme="majorBidi" w:cstheme="majorBidi"/>
                <w:b/>
                <w:bCs/>
                <w:lang w:val="fr-CH"/>
              </w:rPr>
            </w:pPr>
            <w:r w:rsidRPr="00186A32">
              <w:rPr>
                <w:rFonts w:asciiTheme="majorBidi" w:hAnsiTheme="majorBidi" w:cstheme="majorBidi"/>
                <w:b/>
                <w:bCs/>
                <w:lang w:val="fr-CH"/>
              </w:rPr>
              <w:t>S</w:t>
            </w:r>
            <w:r w:rsidR="00750087">
              <w:rPr>
                <w:rFonts w:asciiTheme="majorBidi" w:hAnsiTheme="majorBidi" w:cstheme="majorBidi"/>
                <w:b/>
                <w:bCs/>
                <w:lang w:val="fr-CH"/>
              </w:rPr>
              <w:t>ervice technique</w:t>
            </w:r>
          </w:p>
        </w:tc>
      </w:tr>
      <w:tr w:rsidR="0041238C" w:rsidRPr="00186A32" w14:paraId="53333542" w14:textId="77777777" w:rsidTr="006432A8">
        <w:tc>
          <w:tcPr>
            <w:tcW w:w="2529" w:type="dxa"/>
          </w:tcPr>
          <w:p w14:paraId="43D1198D" w14:textId="0F7C830C" w:rsidR="0041238C" w:rsidRPr="00186A32" w:rsidRDefault="00034621" w:rsidP="0041238C">
            <w:pPr>
              <w:rPr>
                <w:rFonts w:asciiTheme="majorBidi" w:hAnsiTheme="majorBidi" w:cstheme="majorBidi"/>
                <w:lang w:val="fr-CH"/>
              </w:rPr>
            </w:pPr>
            <w:r w:rsidRPr="00186A32">
              <w:rPr>
                <w:rFonts w:asciiTheme="majorBidi" w:hAnsiTheme="majorBidi" w:cstheme="majorBidi"/>
                <w:lang w:val="fr-CH"/>
              </w:rPr>
              <w:t>Chef du Service de politique générale</w:t>
            </w:r>
          </w:p>
        </w:tc>
        <w:tc>
          <w:tcPr>
            <w:tcW w:w="942" w:type="dxa"/>
          </w:tcPr>
          <w:p w14:paraId="47CE196D"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P-5</w:t>
            </w:r>
          </w:p>
        </w:tc>
        <w:tc>
          <w:tcPr>
            <w:tcW w:w="3332" w:type="dxa"/>
          </w:tcPr>
          <w:p w14:paraId="48B25752" w14:textId="70327FA9" w:rsidR="0041238C" w:rsidRPr="00186A32" w:rsidRDefault="00750087" w:rsidP="0041238C">
            <w:pPr>
              <w:rPr>
                <w:rFonts w:asciiTheme="majorBidi" w:hAnsiTheme="majorBidi" w:cstheme="majorBidi"/>
                <w:lang w:val="fr-CH"/>
              </w:rPr>
            </w:pPr>
            <w:r>
              <w:rPr>
                <w:rFonts w:asciiTheme="majorBidi" w:hAnsiTheme="majorBidi" w:cstheme="majorBidi"/>
                <w:lang w:val="fr-CH"/>
              </w:rPr>
              <w:t>Chef du service technique</w:t>
            </w:r>
          </w:p>
        </w:tc>
        <w:tc>
          <w:tcPr>
            <w:tcW w:w="1418" w:type="dxa"/>
          </w:tcPr>
          <w:p w14:paraId="7CCCADC4"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P-5</w:t>
            </w:r>
          </w:p>
        </w:tc>
      </w:tr>
      <w:tr w:rsidR="0041238C" w:rsidRPr="00186A32" w14:paraId="65C04A74" w14:textId="77777777" w:rsidTr="006432A8">
        <w:tc>
          <w:tcPr>
            <w:tcW w:w="2529" w:type="dxa"/>
          </w:tcPr>
          <w:p w14:paraId="6E8F04F5" w14:textId="125BE9EC" w:rsidR="0041238C" w:rsidRPr="00186A32" w:rsidRDefault="00034621" w:rsidP="0041238C">
            <w:pPr>
              <w:rPr>
                <w:rFonts w:asciiTheme="majorBidi" w:hAnsiTheme="majorBidi" w:cstheme="majorBidi"/>
                <w:lang w:val="fr-CH"/>
              </w:rPr>
            </w:pPr>
            <w:r w:rsidRPr="00186A32">
              <w:rPr>
                <w:rFonts w:asciiTheme="majorBidi" w:hAnsiTheme="majorBidi" w:cstheme="majorBidi"/>
                <w:lang w:val="fr-CH"/>
              </w:rPr>
              <w:t>Interface science-politique</w:t>
            </w:r>
            <w:r w:rsidR="0041238C" w:rsidRPr="00186A32">
              <w:rPr>
                <w:rFonts w:asciiTheme="majorBidi" w:hAnsiTheme="majorBidi" w:cstheme="majorBidi"/>
                <w:lang w:val="fr-CH"/>
              </w:rPr>
              <w:t xml:space="preserve"> </w:t>
            </w:r>
          </w:p>
        </w:tc>
        <w:tc>
          <w:tcPr>
            <w:tcW w:w="942" w:type="dxa"/>
          </w:tcPr>
          <w:p w14:paraId="7FBE1EFD"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P-4</w:t>
            </w:r>
          </w:p>
        </w:tc>
        <w:tc>
          <w:tcPr>
            <w:tcW w:w="3332" w:type="dxa"/>
          </w:tcPr>
          <w:p w14:paraId="3BB7D702" w14:textId="3292EAF9" w:rsidR="0041238C" w:rsidRPr="00186A32" w:rsidRDefault="00EC79C0" w:rsidP="0041238C">
            <w:pPr>
              <w:rPr>
                <w:rFonts w:asciiTheme="majorBidi" w:hAnsiTheme="majorBidi" w:cstheme="majorBidi"/>
                <w:lang w:val="fr-CH"/>
              </w:rPr>
            </w:pPr>
            <w:r w:rsidRPr="00186A32">
              <w:rPr>
                <w:rFonts w:asciiTheme="majorBidi" w:hAnsiTheme="majorBidi" w:cstheme="majorBidi"/>
                <w:lang w:val="fr-CH"/>
              </w:rPr>
              <w:t>Renforcement des capacités et assistance technique</w:t>
            </w:r>
          </w:p>
        </w:tc>
        <w:tc>
          <w:tcPr>
            <w:tcW w:w="1418" w:type="dxa"/>
          </w:tcPr>
          <w:p w14:paraId="16C02E63"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P-4</w:t>
            </w:r>
          </w:p>
        </w:tc>
      </w:tr>
      <w:tr w:rsidR="0041238C" w:rsidRPr="00186A32" w14:paraId="21741804" w14:textId="77777777" w:rsidTr="006432A8">
        <w:tc>
          <w:tcPr>
            <w:tcW w:w="2529" w:type="dxa"/>
          </w:tcPr>
          <w:p w14:paraId="1CF530B7" w14:textId="1DE37F0F" w:rsidR="0041238C" w:rsidRPr="00186A32" w:rsidRDefault="00DD6089" w:rsidP="0041238C">
            <w:pPr>
              <w:rPr>
                <w:rFonts w:asciiTheme="majorBidi" w:hAnsiTheme="majorBidi" w:cstheme="majorBidi"/>
                <w:lang w:val="fr-CH"/>
              </w:rPr>
            </w:pPr>
            <w:r w:rsidRPr="00186A32">
              <w:rPr>
                <w:lang w:val="fr-CH"/>
              </w:rPr>
              <w:t>Communication en matière de politique scientifique</w:t>
            </w:r>
          </w:p>
        </w:tc>
        <w:tc>
          <w:tcPr>
            <w:tcW w:w="942" w:type="dxa"/>
          </w:tcPr>
          <w:p w14:paraId="055A9787"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P-3</w:t>
            </w:r>
          </w:p>
        </w:tc>
        <w:tc>
          <w:tcPr>
            <w:tcW w:w="3332" w:type="dxa"/>
          </w:tcPr>
          <w:p w14:paraId="7F73CE9C" w14:textId="3598AC79" w:rsidR="0041238C" w:rsidRPr="00186A32" w:rsidRDefault="00186A32" w:rsidP="00423175">
            <w:pPr>
              <w:rPr>
                <w:rFonts w:asciiTheme="majorBidi" w:hAnsiTheme="majorBidi" w:cstheme="majorBidi"/>
                <w:lang w:val="fr-CH"/>
              </w:rPr>
            </w:pPr>
            <w:r w:rsidRPr="00186A32">
              <w:rPr>
                <w:rFonts w:asciiTheme="majorBidi" w:hAnsiTheme="majorBidi" w:cstheme="majorBidi"/>
                <w:lang w:val="fr-CH"/>
              </w:rPr>
              <w:t xml:space="preserve">Gestion des connaissances, </w:t>
            </w:r>
            <w:r w:rsidR="006E4A56">
              <w:rPr>
                <w:rFonts w:asciiTheme="majorBidi" w:hAnsiTheme="majorBidi" w:cstheme="majorBidi"/>
                <w:lang w:val="fr-CH"/>
              </w:rPr>
              <w:t>communication</w:t>
            </w:r>
            <w:r w:rsidRPr="00186A32">
              <w:rPr>
                <w:rFonts w:asciiTheme="majorBidi" w:hAnsiTheme="majorBidi" w:cstheme="majorBidi"/>
                <w:lang w:val="fr-CH"/>
              </w:rPr>
              <w:t xml:space="preserve"> et </w:t>
            </w:r>
            <w:r w:rsidR="00423175">
              <w:rPr>
                <w:rFonts w:asciiTheme="majorBidi" w:hAnsiTheme="majorBidi" w:cstheme="majorBidi"/>
                <w:lang w:val="fr-CH"/>
              </w:rPr>
              <w:t>technologies de l’information</w:t>
            </w:r>
          </w:p>
        </w:tc>
        <w:tc>
          <w:tcPr>
            <w:tcW w:w="1418" w:type="dxa"/>
          </w:tcPr>
          <w:p w14:paraId="18CA3C32"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P-3</w:t>
            </w:r>
          </w:p>
        </w:tc>
      </w:tr>
      <w:tr w:rsidR="0041238C" w:rsidRPr="00186A32" w14:paraId="085C9ECB" w14:textId="77777777" w:rsidTr="006432A8">
        <w:tc>
          <w:tcPr>
            <w:tcW w:w="2529" w:type="dxa"/>
          </w:tcPr>
          <w:p w14:paraId="7DCA20B9" w14:textId="5783F8E5" w:rsidR="0041238C" w:rsidRPr="00186A32" w:rsidRDefault="00DD6089" w:rsidP="0041238C">
            <w:pPr>
              <w:rPr>
                <w:rFonts w:asciiTheme="majorBidi" w:hAnsiTheme="majorBidi" w:cstheme="majorBidi"/>
                <w:lang w:val="fr-CH"/>
              </w:rPr>
            </w:pPr>
            <w:r w:rsidRPr="00186A32">
              <w:rPr>
                <w:rFonts w:asciiTheme="majorBidi" w:hAnsiTheme="majorBidi" w:cstheme="majorBidi"/>
                <w:lang w:val="fr-CH"/>
              </w:rPr>
              <w:t>Appui juridique</w:t>
            </w:r>
          </w:p>
        </w:tc>
        <w:tc>
          <w:tcPr>
            <w:tcW w:w="942" w:type="dxa"/>
          </w:tcPr>
          <w:p w14:paraId="4E566027"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P-3</w:t>
            </w:r>
          </w:p>
        </w:tc>
        <w:tc>
          <w:tcPr>
            <w:tcW w:w="3332" w:type="dxa"/>
          </w:tcPr>
          <w:p w14:paraId="62B39740" w14:textId="77777777" w:rsidR="0041238C" w:rsidRPr="00186A32" w:rsidRDefault="0041238C" w:rsidP="0041238C">
            <w:pPr>
              <w:rPr>
                <w:rFonts w:asciiTheme="majorBidi" w:hAnsiTheme="majorBidi" w:cstheme="majorBidi"/>
                <w:lang w:val="fr-CH"/>
              </w:rPr>
            </w:pPr>
          </w:p>
        </w:tc>
        <w:tc>
          <w:tcPr>
            <w:tcW w:w="1418" w:type="dxa"/>
          </w:tcPr>
          <w:p w14:paraId="1EBE5F59" w14:textId="77777777" w:rsidR="0041238C" w:rsidRPr="00186A32" w:rsidRDefault="0041238C" w:rsidP="0041238C">
            <w:pPr>
              <w:rPr>
                <w:rFonts w:asciiTheme="majorBidi" w:hAnsiTheme="majorBidi" w:cstheme="majorBidi"/>
                <w:lang w:val="fr-CH"/>
              </w:rPr>
            </w:pPr>
          </w:p>
        </w:tc>
      </w:tr>
      <w:tr w:rsidR="0041238C" w:rsidRPr="00186A32" w14:paraId="36030E30" w14:textId="77777777" w:rsidTr="006432A8">
        <w:tc>
          <w:tcPr>
            <w:tcW w:w="2529" w:type="dxa"/>
          </w:tcPr>
          <w:p w14:paraId="644493D5" w14:textId="405F8CAC"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Co</w:t>
            </w:r>
            <w:r w:rsidR="00DD6089" w:rsidRPr="00186A32">
              <w:rPr>
                <w:rFonts w:asciiTheme="majorBidi" w:hAnsiTheme="majorBidi" w:cstheme="majorBidi"/>
                <w:lang w:val="fr-CH"/>
              </w:rPr>
              <w:t>nfé</w:t>
            </w:r>
            <w:r w:rsidRPr="00186A32">
              <w:rPr>
                <w:rFonts w:asciiTheme="majorBidi" w:hAnsiTheme="majorBidi" w:cstheme="majorBidi"/>
                <w:lang w:val="fr-CH"/>
              </w:rPr>
              <w:t>rence</w:t>
            </w:r>
            <w:r w:rsidR="00DD6089" w:rsidRPr="00186A32">
              <w:rPr>
                <w:rFonts w:asciiTheme="majorBidi" w:hAnsiTheme="majorBidi" w:cstheme="majorBidi"/>
                <w:lang w:val="fr-CH"/>
              </w:rPr>
              <w:t>s</w:t>
            </w:r>
          </w:p>
        </w:tc>
        <w:tc>
          <w:tcPr>
            <w:tcW w:w="942" w:type="dxa"/>
          </w:tcPr>
          <w:p w14:paraId="35E83429" w14:textId="77777777" w:rsidR="0041238C" w:rsidRPr="00186A32" w:rsidRDefault="0041238C" w:rsidP="0041238C">
            <w:pPr>
              <w:rPr>
                <w:rFonts w:asciiTheme="majorBidi" w:hAnsiTheme="majorBidi" w:cstheme="majorBidi"/>
                <w:lang w:val="fr-CH"/>
              </w:rPr>
            </w:pPr>
            <w:r w:rsidRPr="00186A32">
              <w:rPr>
                <w:rFonts w:asciiTheme="majorBidi" w:hAnsiTheme="majorBidi" w:cstheme="majorBidi"/>
                <w:lang w:val="fr-CH"/>
              </w:rPr>
              <w:t>P-3</w:t>
            </w:r>
          </w:p>
        </w:tc>
        <w:tc>
          <w:tcPr>
            <w:tcW w:w="3332" w:type="dxa"/>
          </w:tcPr>
          <w:p w14:paraId="2825E44F" w14:textId="77777777" w:rsidR="0041238C" w:rsidRPr="00186A32" w:rsidRDefault="0041238C" w:rsidP="0041238C">
            <w:pPr>
              <w:rPr>
                <w:rFonts w:asciiTheme="majorBidi" w:hAnsiTheme="majorBidi" w:cstheme="majorBidi"/>
                <w:lang w:val="fr-CH"/>
              </w:rPr>
            </w:pPr>
          </w:p>
        </w:tc>
        <w:tc>
          <w:tcPr>
            <w:tcW w:w="1418" w:type="dxa"/>
          </w:tcPr>
          <w:p w14:paraId="50B47541" w14:textId="77777777" w:rsidR="0041238C" w:rsidRPr="00186A32" w:rsidRDefault="0041238C" w:rsidP="0041238C">
            <w:pPr>
              <w:rPr>
                <w:rFonts w:asciiTheme="majorBidi" w:hAnsiTheme="majorBidi" w:cstheme="majorBidi"/>
                <w:lang w:val="fr-CH"/>
              </w:rPr>
            </w:pPr>
          </w:p>
        </w:tc>
      </w:tr>
      <w:tr w:rsidR="0041238C" w:rsidRPr="00186A32" w14:paraId="784CFA36" w14:textId="77777777" w:rsidTr="006432A8">
        <w:tc>
          <w:tcPr>
            <w:tcW w:w="2529" w:type="dxa"/>
          </w:tcPr>
          <w:p w14:paraId="2E441D88" w14:textId="0F17BF1A" w:rsidR="0041238C" w:rsidRPr="00186A32" w:rsidRDefault="00DD6089" w:rsidP="0041238C">
            <w:pPr>
              <w:rPr>
                <w:rFonts w:asciiTheme="majorBidi" w:hAnsiTheme="majorBidi" w:cstheme="majorBidi"/>
                <w:lang w:val="fr-CH"/>
              </w:rPr>
            </w:pPr>
            <w:r w:rsidRPr="00186A32">
              <w:rPr>
                <w:rFonts w:asciiTheme="majorBidi" w:hAnsiTheme="majorBidi" w:cstheme="majorBidi"/>
                <w:lang w:val="fr-CH"/>
              </w:rPr>
              <w:t>Autres</w:t>
            </w:r>
          </w:p>
        </w:tc>
        <w:tc>
          <w:tcPr>
            <w:tcW w:w="942" w:type="dxa"/>
          </w:tcPr>
          <w:p w14:paraId="062DB8EF" w14:textId="72F0A219" w:rsidR="0041238C" w:rsidRPr="00186A32" w:rsidRDefault="00750087" w:rsidP="0041238C">
            <w:pPr>
              <w:rPr>
                <w:rFonts w:asciiTheme="majorBidi" w:hAnsiTheme="majorBidi" w:cstheme="majorBidi"/>
                <w:lang w:val="fr-CH"/>
              </w:rPr>
            </w:pPr>
            <w:r>
              <w:rPr>
                <w:rFonts w:asciiTheme="majorBidi" w:hAnsiTheme="majorBidi" w:cstheme="majorBidi"/>
                <w:lang w:val="fr-CH"/>
              </w:rPr>
              <w:t xml:space="preserve">2x </w:t>
            </w:r>
            <w:r w:rsidR="0041238C" w:rsidRPr="00186A32">
              <w:rPr>
                <w:rFonts w:asciiTheme="majorBidi" w:hAnsiTheme="majorBidi" w:cstheme="majorBidi"/>
                <w:lang w:val="fr-CH"/>
              </w:rPr>
              <w:t>S</w:t>
            </w:r>
            <w:r>
              <w:rPr>
                <w:rFonts w:asciiTheme="majorBidi" w:hAnsiTheme="majorBidi" w:cstheme="majorBidi"/>
                <w:lang w:val="fr-CH"/>
              </w:rPr>
              <w:t>G</w:t>
            </w:r>
          </w:p>
        </w:tc>
        <w:tc>
          <w:tcPr>
            <w:tcW w:w="3332" w:type="dxa"/>
          </w:tcPr>
          <w:p w14:paraId="231C6A17" w14:textId="7A73BE42" w:rsidR="0041238C" w:rsidRPr="00186A32" w:rsidRDefault="00EC79C0" w:rsidP="0041238C">
            <w:pPr>
              <w:rPr>
                <w:rFonts w:asciiTheme="majorBidi" w:hAnsiTheme="majorBidi" w:cstheme="majorBidi"/>
                <w:lang w:val="fr-CH"/>
              </w:rPr>
            </w:pPr>
            <w:r w:rsidRPr="00186A32">
              <w:rPr>
                <w:rFonts w:asciiTheme="majorBidi" w:hAnsiTheme="majorBidi" w:cstheme="majorBidi"/>
                <w:lang w:val="fr-CH"/>
              </w:rPr>
              <w:t>Autre</w:t>
            </w:r>
            <w:r w:rsidR="006E4A56">
              <w:rPr>
                <w:rFonts w:asciiTheme="majorBidi" w:hAnsiTheme="majorBidi" w:cstheme="majorBidi"/>
                <w:lang w:val="fr-CH"/>
              </w:rPr>
              <w:t>s</w:t>
            </w:r>
          </w:p>
        </w:tc>
        <w:tc>
          <w:tcPr>
            <w:tcW w:w="1418" w:type="dxa"/>
          </w:tcPr>
          <w:p w14:paraId="141EAFDA" w14:textId="43AE34B5" w:rsidR="0041238C" w:rsidRPr="00186A32" w:rsidRDefault="00750087" w:rsidP="0041238C">
            <w:pPr>
              <w:rPr>
                <w:rFonts w:asciiTheme="majorBidi" w:hAnsiTheme="majorBidi" w:cstheme="majorBidi"/>
                <w:lang w:val="fr-CH"/>
              </w:rPr>
            </w:pPr>
            <w:r>
              <w:rPr>
                <w:rFonts w:asciiTheme="majorBidi" w:hAnsiTheme="majorBidi" w:cstheme="majorBidi"/>
                <w:lang w:val="fr-CH"/>
              </w:rPr>
              <w:t xml:space="preserve">1x </w:t>
            </w:r>
            <w:r w:rsidR="0041238C" w:rsidRPr="00186A32">
              <w:rPr>
                <w:rFonts w:asciiTheme="majorBidi" w:hAnsiTheme="majorBidi" w:cstheme="majorBidi"/>
                <w:lang w:val="fr-CH"/>
              </w:rPr>
              <w:t>S</w:t>
            </w:r>
            <w:r>
              <w:rPr>
                <w:rFonts w:asciiTheme="majorBidi" w:hAnsiTheme="majorBidi" w:cstheme="majorBidi"/>
                <w:lang w:val="fr-CH"/>
              </w:rPr>
              <w:t>G</w:t>
            </w:r>
          </w:p>
        </w:tc>
      </w:tr>
      <w:tr w:rsidR="0041238C" w:rsidRPr="00186A32" w14:paraId="5F597074" w14:textId="77777777" w:rsidTr="006432A8">
        <w:tc>
          <w:tcPr>
            <w:tcW w:w="8221" w:type="dxa"/>
            <w:gridSpan w:val="4"/>
          </w:tcPr>
          <w:p w14:paraId="3C27D66A" w14:textId="77777777" w:rsidR="0041238C" w:rsidRPr="00186A32" w:rsidRDefault="0041238C" w:rsidP="0041238C">
            <w:pPr>
              <w:rPr>
                <w:rFonts w:asciiTheme="majorBidi" w:hAnsiTheme="majorBidi" w:cstheme="majorBidi"/>
                <w:lang w:val="fr-CH"/>
              </w:rPr>
            </w:pPr>
          </w:p>
        </w:tc>
      </w:tr>
      <w:tr w:rsidR="0041238C" w:rsidRPr="00186A32" w14:paraId="027383DC" w14:textId="77777777" w:rsidTr="006432A8">
        <w:tc>
          <w:tcPr>
            <w:tcW w:w="6803" w:type="dxa"/>
            <w:gridSpan w:val="3"/>
          </w:tcPr>
          <w:p w14:paraId="60361F05" w14:textId="77777777" w:rsidR="00186A32" w:rsidRPr="00186A32" w:rsidRDefault="00186A32" w:rsidP="00186A32">
            <w:pPr>
              <w:rPr>
                <w:rFonts w:asciiTheme="majorBidi" w:hAnsiTheme="majorBidi" w:cstheme="majorBidi"/>
                <w:b/>
                <w:bCs/>
                <w:lang w:val="fr-CH"/>
              </w:rPr>
            </w:pPr>
            <w:r w:rsidRPr="00186A32">
              <w:rPr>
                <w:rFonts w:asciiTheme="majorBidi" w:hAnsiTheme="majorBidi" w:cstheme="majorBidi"/>
                <w:b/>
                <w:bCs/>
                <w:lang w:val="fr-CH"/>
              </w:rPr>
              <w:t>Appui administratif financé par des prélèvements sur les dépenses d’appui au programme :</w:t>
            </w:r>
          </w:p>
          <w:p w14:paraId="1750F755" w14:textId="77777777" w:rsidR="00186A32" w:rsidRPr="00186A32" w:rsidRDefault="00186A32" w:rsidP="00186A32">
            <w:pPr>
              <w:tabs>
                <w:tab w:val="clear" w:pos="1247"/>
                <w:tab w:val="clear" w:pos="1814"/>
                <w:tab w:val="clear" w:pos="2381"/>
                <w:tab w:val="clear" w:pos="2948"/>
                <w:tab w:val="clear" w:pos="3515"/>
              </w:tabs>
              <w:spacing w:line="256" w:lineRule="auto"/>
              <w:textAlignment w:val="baseline"/>
              <w:rPr>
                <w:rFonts w:eastAsia="MS Mincho"/>
                <w:lang w:val="fr-CH"/>
              </w:rPr>
            </w:pPr>
            <w:r w:rsidRPr="00186A32">
              <w:rPr>
                <w:rFonts w:eastAsia="MS Mincho"/>
                <w:lang w:val="fr-CH"/>
              </w:rPr>
              <w:t>Fonctionnaire d’administration et de gestion des fonds</w:t>
            </w:r>
          </w:p>
          <w:p w14:paraId="6A83CC92" w14:textId="182D3CAA" w:rsidR="0041238C" w:rsidRPr="00186A32" w:rsidRDefault="00186A32" w:rsidP="00186A32">
            <w:pPr>
              <w:rPr>
                <w:rFonts w:asciiTheme="majorBidi" w:hAnsiTheme="majorBidi" w:cstheme="majorBidi"/>
                <w:lang w:val="fr-CH"/>
              </w:rPr>
            </w:pPr>
            <w:r w:rsidRPr="00186A32">
              <w:rPr>
                <w:rFonts w:asciiTheme="majorBidi" w:hAnsiTheme="majorBidi" w:cstheme="majorBidi"/>
                <w:lang w:val="fr-CH"/>
              </w:rPr>
              <w:t>1x agent des services généraux</w:t>
            </w:r>
          </w:p>
        </w:tc>
        <w:tc>
          <w:tcPr>
            <w:tcW w:w="1418" w:type="dxa"/>
          </w:tcPr>
          <w:p w14:paraId="5D4BF3A6" w14:textId="77777777" w:rsidR="0041238C" w:rsidRPr="00186A32" w:rsidRDefault="0041238C" w:rsidP="0041238C">
            <w:pPr>
              <w:jc w:val="right"/>
              <w:rPr>
                <w:rFonts w:asciiTheme="majorBidi" w:hAnsiTheme="majorBidi" w:cstheme="majorBidi"/>
                <w:lang w:val="fr-CH"/>
              </w:rPr>
            </w:pPr>
          </w:p>
          <w:p w14:paraId="45CF15C0" w14:textId="77777777" w:rsidR="0041238C" w:rsidRPr="00186A32" w:rsidRDefault="0041238C" w:rsidP="0041238C">
            <w:pPr>
              <w:jc w:val="right"/>
              <w:rPr>
                <w:rFonts w:asciiTheme="majorBidi" w:hAnsiTheme="majorBidi" w:cstheme="majorBidi"/>
                <w:lang w:val="fr-CH"/>
              </w:rPr>
            </w:pPr>
            <w:r w:rsidRPr="00186A32">
              <w:rPr>
                <w:rFonts w:asciiTheme="majorBidi" w:hAnsiTheme="majorBidi" w:cstheme="majorBidi"/>
                <w:lang w:val="fr-CH"/>
              </w:rPr>
              <w:t>P-3</w:t>
            </w:r>
          </w:p>
          <w:p w14:paraId="3482368D" w14:textId="5F7922D4" w:rsidR="0041238C" w:rsidRPr="00186A32" w:rsidRDefault="00750087" w:rsidP="0041238C">
            <w:pPr>
              <w:jc w:val="right"/>
              <w:rPr>
                <w:rFonts w:asciiTheme="majorBidi" w:hAnsiTheme="majorBidi" w:cstheme="majorBidi"/>
                <w:lang w:val="fr-CH"/>
              </w:rPr>
            </w:pPr>
            <w:r>
              <w:rPr>
                <w:rFonts w:asciiTheme="majorBidi" w:hAnsiTheme="majorBidi" w:cstheme="majorBidi"/>
                <w:lang w:val="fr-CH"/>
              </w:rPr>
              <w:t>1x</w:t>
            </w:r>
            <w:r w:rsidR="0041238C" w:rsidRPr="00186A32">
              <w:rPr>
                <w:rFonts w:asciiTheme="majorBidi" w:hAnsiTheme="majorBidi" w:cstheme="majorBidi"/>
                <w:lang w:val="fr-CH"/>
              </w:rPr>
              <w:t>S</w:t>
            </w:r>
            <w:r>
              <w:rPr>
                <w:rFonts w:asciiTheme="majorBidi" w:hAnsiTheme="majorBidi" w:cstheme="majorBidi"/>
                <w:lang w:val="fr-CH"/>
              </w:rPr>
              <w:t>G</w:t>
            </w:r>
          </w:p>
        </w:tc>
      </w:tr>
    </w:tbl>
    <w:p w14:paraId="33C6F761" w14:textId="270C95E2" w:rsidR="000F35D8" w:rsidRDefault="000F35D8" w:rsidP="001176CB">
      <w:pPr>
        <w:pStyle w:val="Normal-pool"/>
      </w:pPr>
    </w:p>
    <w:p w14:paraId="28DED353" w14:textId="612484A7" w:rsidR="00236A69" w:rsidRPr="00CC5464" w:rsidRDefault="00236A69" w:rsidP="00236A69">
      <w:pPr>
        <w:pStyle w:val="Normal-pool"/>
        <w:jc w:val="center"/>
      </w:pPr>
      <w:r>
        <w:t>______________</w:t>
      </w:r>
    </w:p>
    <w:sectPr w:rsidR="00236A69" w:rsidRPr="00CC5464" w:rsidSect="00C771A9">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9034" w14:textId="77777777" w:rsidR="00F105E0" w:rsidRDefault="00F105E0">
      <w:r>
        <w:separator/>
      </w:r>
    </w:p>
  </w:endnote>
  <w:endnote w:type="continuationSeparator" w:id="0">
    <w:p w14:paraId="3DC65342" w14:textId="77777777" w:rsidR="00F105E0" w:rsidRDefault="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1ADA" w14:textId="58C53E50" w:rsidR="00F105E0" w:rsidRDefault="00F105E0">
    <w:pPr>
      <w:pStyle w:val="Footer"/>
    </w:pPr>
    <w:r>
      <w:rPr>
        <w:rStyle w:val="PageNumber"/>
      </w:rPr>
      <w:fldChar w:fldCharType="begin"/>
    </w:r>
    <w:r>
      <w:rPr>
        <w:rStyle w:val="PageNumber"/>
      </w:rPr>
      <w:instrText xml:space="preserve"> PAGE </w:instrText>
    </w:r>
    <w:r>
      <w:rPr>
        <w:rStyle w:val="PageNumber"/>
      </w:rPr>
      <w:fldChar w:fldCharType="separate"/>
    </w:r>
    <w:r w:rsidR="00B37C9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625" w14:textId="600B33EB" w:rsidR="00F105E0" w:rsidRDefault="00F105E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37C94">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30A2" w14:textId="33004B52" w:rsidR="00F105E0" w:rsidRPr="00D431B9" w:rsidRDefault="00F105E0" w:rsidP="0041238C">
    <w:pPr>
      <w:pStyle w:val="Footer"/>
      <w:tabs>
        <w:tab w:val="clear" w:pos="1247"/>
        <w:tab w:val="clear" w:pos="1814"/>
        <w:tab w:val="clear" w:pos="2381"/>
        <w:tab w:val="clear" w:pos="2948"/>
        <w:tab w:val="clear" w:pos="3515"/>
        <w:tab w:val="clear" w:pos="4320"/>
        <w:tab w:val="clear" w:pos="8640"/>
        <w:tab w:val="left" w:pos="624"/>
      </w:tabs>
      <w:rPr>
        <w:sz w:val="20"/>
      </w:rPr>
    </w:pPr>
    <w:r>
      <w:rPr>
        <w:sz w:val="20"/>
      </w:rPr>
      <w:t>K1707508</w:t>
    </w:r>
    <w:r>
      <w:rPr>
        <w:sz w:val="20"/>
      </w:rPr>
      <w:tab/>
      <w:t>2</w:t>
    </w:r>
    <w:r w:rsidR="00A84D20">
      <w:rPr>
        <w:sz w:val="20"/>
      </w:rPr>
      <w:t>1</w:t>
    </w:r>
    <w:r>
      <w:rPr>
        <w:sz w:val="20"/>
      </w:rPr>
      <w:t>0917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E04E" w14:textId="6B43A07F" w:rsidR="00F105E0" w:rsidRDefault="00F105E0">
    <w:pPr>
      <w:pStyle w:val="Footer"/>
    </w:pPr>
    <w:r>
      <w:rPr>
        <w:rStyle w:val="PageNumber"/>
      </w:rPr>
      <w:fldChar w:fldCharType="begin"/>
    </w:r>
    <w:r>
      <w:rPr>
        <w:rStyle w:val="PageNumber"/>
      </w:rPr>
      <w:instrText xml:space="preserve"> PAGE </w:instrText>
    </w:r>
    <w:r>
      <w:rPr>
        <w:rStyle w:val="PageNumber"/>
      </w:rPr>
      <w:fldChar w:fldCharType="separate"/>
    </w:r>
    <w:r w:rsidR="008D4587">
      <w:rPr>
        <w:rStyle w:val="PageNumber"/>
        <w:noProof/>
      </w:rPr>
      <w:t>30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CB18" w14:textId="0DC8E2DC" w:rsidR="00F105E0" w:rsidRDefault="00F105E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D4587">
      <w:rPr>
        <w:rStyle w:val="PageNumber"/>
        <w:noProof/>
      </w:rPr>
      <w:t>31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11625133"/>
      <w:docPartObj>
        <w:docPartGallery w:val="Page Numbers (Bottom of Page)"/>
        <w:docPartUnique/>
      </w:docPartObj>
    </w:sdtPr>
    <w:sdtEndPr>
      <w:rPr>
        <w:noProof/>
      </w:rPr>
    </w:sdtEndPr>
    <w:sdtContent>
      <w:p w14:paraId="4C397781" w14:textId="77777777" w:rsidR="00F105E0" w:rsidRPr="00F30C06" w:rsidRDefault="00F105E0" w:rsidP="00F30C06">
        <w:pPr>
          <w:pStyle w:val="Normal-pool"/>
          <w:rPr>
            <w:b/>
            <w:szCs w:val="18"/>
          </w:rPr>
        </w:pPr>
        <w:r w:rsidRPr="00F30C06">
          <w:rPr>
            <w:b/>
            <w:sz w:val="18"/>
            <w:szCs w:val="18"/>
          </w:rPr>
          <w:fldChar w:fldCharType="begin"/>
        </w:r>
        <w:r w:rsidRPr="00F30C06">
          <w:rPr>
            <w:b/>
            <w:sz w:val="18"/>
            <w:szCs w:val="18"/>
          </w:rPr>
          <w:instrText xml:space="preserve"> PAGE   \* MERGEFORMAT </w:instrText>
        </w:r>
        <w:r w:rsidRPr="00F30C06">
          <w:rPr>
            <w:b/>
            <w:sz w:val="18"/>
            <w:szCs w:val="18"/>
          </w:rPr>
          <w:fldChar w:fldCharType="separate"/>
        </w:r>
        <w:r w:rsidRPr="00096328">
          <w:rPr>
            <w:b/>
            <w:noProof/>
            <w:szCs w:val="18"/>
          </w:rPr>
          <w:t>4</w:t>
        </w:r>
        <w:r w:rsidRPr="00F30C0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0FB1" w14:textId="77777777" w:rsidR="00F105E0" w:rsidRPr="00F30C06" w:rsidRDefault="00F105E0" w:rsidP="00F30C06">
      <w:pPr>
        <w:spacing w:before="60"/>
        <w:ind w:left="624"/>
        <w:rPr>
          <w:sz w:val="18"/>
          <w:szCs w:val="18"/>
        </w:rPr>
      </w:pPr>
      <w:r w:rsidRPr="00F30C06">
        <w:rPr>
          <w:sz w:val="18"/>
          <w:szCs w:val="18"/>
        </w:rPr>
        <w:separator/>
      </w:r>
    </w:p>
  </w:footnote>
  <w:footnote w:type="continuationSeparator" w:id="0">
    <w:p w14:paraId="1B7EF678" w14:textId="77777777" w:rsidR="00F105E0" w:rsidRDefault="00F105E0">
      <w:r>
        <w:continuationSeparator/>
      </w:r>
    </w:p>
  </w:footnote>
  <w:footnote w:id="1">
    <w:p w14:paraId="35B17B62" w14:textId="77777777" w:rsidR="00F105E0" w:rsidRPr="009166F3" w:rsidRDefault="00F105E0" w:rsidP="0041238C">
      <w:pPr>
        <w:tabs>
          <w:tab w:val="left" w:pos="624"/>
        </w:tabs>
        <w:spacing w:before="20" w:after="40"/>
        <w:ind w:left="1247"/>
        <w:rPr>
          <w:sz w:val="18"/>
          <w:szCs w:val="18"/>
          <w:lang w:val="fr-CH"/>
        </w:rPr>
      </w:pPr>
      <w:r w:rsidRPr="009166F3">
        <w:rPr>
          <w:sz w:val="18"/>
          <w:szCs w:val="18"/>
          <w:lang w:val="fr-CH"/>
        </w:rPr>
        <w:t>* UNEP/MC/COP.1/1.</w:t>
      </w:r>
    </w:p>
  </w:footnote>
  <w:footnote w:id="2">
    <w:p w14:paraId="74D72688" w14:textId="78D69627" w:rsidR="00F105E0" w:rsidRPr="00A96345" w:rsidRDefault="00F105E0" w:rsidP="00A96345">
      <w:pPr>
        <w:pStyle w:val="FootnoteText"/>
        <w:tabs>
          <w:tab w:val="clear" w:pos="1247"/>
          <w:tab w:val="clear" w:pos="1814"/>
          <w:tab w:val="clear" w:pos="2381"/>
          <w:tab w:val="clear" w:pos="2948"/>
          <w:tab w:val="clear" w:pos="3515"/>
          <w:tab w:val="clear" w:pos="4082"/>
        </w:tabs>
        <w:rPr>
          <w:szCs w:val="18"/>
          <w:lang w:val="fr-CH"/>
        </w:rPr>
      </w:pPr>
      <w:r w:rsidRPr="00CA0EA2">
        <w:rPr>
          <w:rStyle w:val="FootnoteReference"/>
          <w:sz w:val="18"/>
        </w:rPr>
        <w:footnoteRef/>
      </w:r>
      <w:r w:rsidRPr="006A5857">
        <w:rPr>
          <w:szCs w:val="18"/>
          <w:lang w:val="fr-CH"/>
        </w:rPr>
        <w:t xml:space="preserve"> En 2017, le Service substances chimiques et déchets </w:t>
      </w:r>
      <w:r>
        <w:rPr>
          <w:szCs w:val="18"/>
          <w:lang w:val="fr-CH"/>
        </w:rPr>
        <w:t>a été renommé Service substances chimiques et santé, et la Division Technologie, Industrie et Économie, Division de l’économie du PNUE.</w:t>
      </w:r>
    </w:p>
  </w:footnote>
  <w:footnote w:id="3">
    <w:p w14:paraId="7DE458C7" w14:textId="776371E0" w:rsidR="00F105E0" w:rsidRPr="00DF03D3" w:rsidRDefault="00F105E0" w:rsidP="00DF03D3">
      <w:pPr>
        <w:pStyle w:val="FootnoteText"/>
        <w:tabs>
          <w:tab w:val="clear" w:pos="1247"/>
          <w:tab w:val="clear" w:pos="1814"/>
          <w:tab w:val="clear" w:pos="2381"/>
          <w:tab w:val="clear" w:pos="2948"/>
          <w:tab w:val="clear" w:pos="3515"/>
          <w:tab w:val="clear" w:pos="4082"/>
        </w:tabs>
        <w:rPr>
          <w:szCs w:val="18"/>
          <w:lang w:val="fr-CH"/>
        </w:rPr>
      </w:pPr>
      <w:r w:rsidRPr="00F17E65">
        <w:rPr>
          <w:rStyle w:val="FootnoteReference"/>
          <w:sz w:val="18"/>
        </w:rPr>
        <w:footnoteRef/>
      </w:r>
      <w:r w:rsidRPr="00DF03D3">
        <w:rPr>
          <w:szCs w:val="18"/>
          <w:lang w:val="fr-CH"/>
        </w:rPr>
        <w:t xml:space="preserve"> </w:t>
      </w:r>
      <w:r>
        <w:rPr>
          <w:szCs w:val="18"/>
          <w:lang w:val="fr-CH"/>
        </w:rPr>
        <w:t>Les paragraphes 160 à 168 du rapport du Comité de négociation intergouvernemental sur les travaux de sa septième session rendent compte des discussions sur ce point de l’ordre du jour</w:t>
      </w:r>
      <w:r w:rsidRPr="00DF03D3">
        <w:rPr>
          <w:szCs w:val="18"/>
          <w:lang w:val="fr-CH"/>
        </w:rPr>
        <w:t xml:space="preserve"> (UNEP(DTIE)/Hg/INC.7/22/Rev.1).</w:t>
      </w:r>
    </w:p>
  </w:footnote>
  <w:footnote w:id="4">
    <w:p w14:paraId="550D6ECD" w14:textId="7741FA16" w:rsidR="00F105E0" w:rsidRPr="00420597" w:rsidRDefault="00F105E0" w:rsidP="0041238C">
      <w:pPr>
        <w:pStyle w:val="FootnoteText"/>
        <w:rPr>
          <w:lang w:val="fr-CH"/>
        </w:rPr>
      </w:pPr>
      <w:r w:rsidRPr="00CB4F3D">
        <w:rPr>
          <w:rStyle w:val="FootnoteReference"/>
          <w:lang w:val="en-GB"/>
        </w:rPr>
        <w:footnoteRef/>
      </w:r>
      <w:r w:rsidRPr="00420597">
        <w:rPr>
          <w:lang w:val="fr-CH"/>
        </w:rPr>
        <w:t xml:space="preserve"> Dans le document UNEP(DTIE)/Hg/INC.7/15, cette option s’intitulait </w:t>
      </w:r>
      <w:r>
        <w:rPr>
          <w:lang w:val="fr-CH"/>
        </w:rPr>
        <w:t>« utilisation du secrétariat provisoire »</w:t>
      </w:r>
      <w:r w:rsidRPr="00420597">
        <w:rPr>
          <w:lang w:val="fr-CH"/>
        </w:rPr>
        <w:t xml:space="preserve">. Étant donné que le secrétariat provisoire va être remplacé par un permanent, </w:t>
      </w:r>
      <w:r>
        <w:rPr>
          <w:lang w:val="fr-CH"/>
        </w:rPr>
        <w:t xml:space="preserve">par souci de clarté cette option est désormais intitulée « création </w:t>
      </w:r>
      <w:r w:rsidR="00537715">
        <w:rPr>
          <w:lang w:val="fr-CH"/>
        </w:rPr>
        <w:t>d’un secrétariat autonome</w:t>
      </w:r>
      <w:r>
        <w:rPr>
          <w:lang w:val="fr-CH"/>
        </w:rPr>
        <w:t xml:space="preserve"> de la Convention de Minamata » dans la présente note.</w:t>
      </w:r>
    </w:p>
  </w:footnote>
  <w:footnote w:id="5">
    <w:p w14:paraId="1B4C0E7C" w14:textId="073F0E95" w:rsidR="00F105E0" w:rsidRPr="00D111B5" w:rsidRDefault="00F105E0" w:rsidP="00D111B5">
      <w:pPr>
        <w:pStyle w:val="BBTitle"/>
        <w:tabs>
          <w:tab w:val="clear" w:pos="1247"/>
          <w:tab w:val="clear" w:pos="1814"/>
          <w:tab w:val="clear" w:pos="2381"/>
          <w:tab w:val="clear" w:pos="2948"/>
          <w:tab w:val="clear" w:pos="3515"/>
          <w:tab w:val="clear" w:pos="4082"/>
          <w:tab w:val="left" w:pos="624"/>
        </w:tabs>
        <w:spacing w:before="20" w:after="40"/>
        <w:ind w:right="0"/>
        <w:rPr>
          <w:b w:val="0"/>
          <w:sz w:val="18"/>
          <w:szCs w:val="18"/>
          <w:lang w:val="fr-CH"/>
        </w:rPr>
      </w:pPr>
      <w:r w:rsidRPr="008164AD">
        <w:rPr>
          <w:rStyle w:val="FootnoteReference"/>
          <w:b w:val="0"/>
          <w:sz w:val="18"/>
        </w:rPr>
        <w:footnoteRef/>
      </w:r>
      <w:r w:rsidRPr="00D24EB0">
        <w:rPr>
          <w:b w:val="0"/>
          <w:sz w:val="18"/>
          <w:szCs w:val="18"/>
          <w:lang w:val="fr-CH"/>
        </w:rPr>
        <w:t xml:space="preserve"> Des informations sur les activités du </w:t>
      </w:r>
      <w:r>
        <w:rPr>
          <w:b w:val="0"/>
          <w:sz w:val="18"/>
          <w:szCs w:val="18"/>
          <w:lang w:val="fr-CH"/>
        </w:rPr>
        <w:t>secré</w:t>
      </w:r>
      <w:r w:rsidRPr="00D24EB0">
        <w:rPr>
          <w:b w:val="0"/>
          <w:sz w:val="18"/>
          <w:szCs w:val="18"/>
          <w:lang w:val="fr-CH"/>
        </w:rPr>
        <w:t xml:space="preserve">tariat </w:t>
      </w:r>
      <w:r>
        <w:rPr>
          <w:b w:val="0"/>
          <w:sz w:val="18"/>
          <w:szCs w:val="18"/>
          <w:lang w:val="fr-CH"/>
        </w:rPr>
        <w:t>proviso</w:t>
      </w:r>
      <w:r w:rsidRPr="00D24EB0">
        <w:rPr>
          <w:b w:val="0"/>
          <w:sz w:val="18"/>
          <w:szCs w:val="18"/>
          <w:lang w:val="fr-CH"/>
        </w:rPr>
        <w:t>ire sont disponibles dans les documents</w:t>
      </w:r>
      <w:r w:rsidRPr="007D6F1B">
        <w:rPr>
          <w:b w:val="0"/>
          <w:bCs/>
          <w:sz w:val="18"/>
          <w:szCs w:val="18"/>
          <w:lang w:val="fr-CH"/>
        </w:rPr>
        <w:t xml:space="preserve"> UNEP(DTIE)/Hg/INC.6/22, UNEP(DTIE)/Hg/INC.6/22/Corr.1, UNEP(DTIE)/Hg/INC.6/I</w:t>
      </w:r>
      <w:r>
        <w:rPr>
          <w:b w:val="0"/>
          <w:bCs/>
          <w:sz w:val="18"/>
          <w:szCs w:val="18"/>
          <w:lang w:val="fr-CH"/>
        </w:rPr>
        <w:t>NF/7, UNEP(DTIE)/Hg/INC.7/21 et</w:t>
      </w:r>
      <w:r w:rsidRPr="007D6F1B">
        <w:rPr>
          <w:b w:val="0"/>
          <w:bCs/>
          <w:sz w:val="18"/>
          <w:szCs w:val="18"/>
          <w:lang w:val="fr-CH"/>
        </w:rPr>
        <w:t xml:space="preserve"> UNEP/MC/COP.1/20.</w:t>
      </w:r>
      <w:r>
        <w:rPr>
          <w:b w:val="0"/>
          <w:bCs/>
          <w:sz w:val="18"/>
          <w:szCs w:val="18"/>
          <w:lang w:val="fr-CH"/>
        </w:rPr>
        <w:t xml:space="preserve"> Le secrétariat provisoire a organisé sept réunions du Comité de négociation intergouvernemental ainsi que des réunions de son bureau ; il a apporté une assistance aux pays pour faciliter la ratification et la mise en œuvre rapide de la Convention et a fourni une expertise scientifique et technique pour soutenir et servir de fondement à l’élaboration de conseils techniques, y compris sur les meilleures techniques disponibles et les meilleures pratiques environnementales qui seront présentées pour adoption à la première réunion de la Conférence des Parties. </w:t>
      </w:r>
    </w:p>
  </w:footnote>
  <w:footnote w:id="6">
    <w:p w14:paraId="387F1286" w14:textId="1349F8B0" w:rsidR="00F105E0" w:rsidRPr="00100CE1" w:rsidRDefault="00F105E0" w:rsidP="0041238C">
      <w:pPr>
        <w:pStyle w:val="FootnoteText"/>
        <w:rPr>
          <w:szCs w:val="18"/>
          <w:lang w:val="fr-CH"/>
        </w:rPr>
      </w:pPr>
      <w:r w:rsidRPr="002D4DBC">
        <w:rPr>
          <w:rStyle w:val="FootnoteReference"/>
          <w:sz w:val="18"/>
        </w:rPr>
        <w:footnoteRef/>
      </w:r>
      <w:r w:rsidRPr="00100CE1">
        <w:rPr>
          <w:szCs w:val="18"/>
          <w:lang w:val="fr-CH"/>
        </w:rPr>
        <w:t xml:space="preserve"> Le </w:t>
      </w:r>
      <w:r w:rsidRPr="00100CE1">
        <w:rPr>
          <w:rFonts w:eastAsia="MS Mincho"/>
          <w:lang w:val="fr-CH"/>
        </w:rPr>
        <w:t xml:space="preserve">secrétariat de la Convention de </w:t>
      </w:r>
      <w:r w:rsidRPr="00100CE1">
        <w:rPr>
          <w:szCs w:val="18"/>
          <w:lang w:val="fr-CH"/>
        </w:rPr>
        <w:t xml:space="preserve">Rotterdam Convention </w:t>
      </w:r>
      <w:r>
        <w:rPr>
          <w:szCs w:val="18"/>
          <w:lang w:val="fr-CH"/>
        </w:rPr>
        <w:t>est coadministré par le PNUE à</w:t>
      </w:r>
      <w:r w:rsidRPr="00100CE1">
        <w:rPr>
          <w:szCs w:val="18"/>
          <w:lang w:val="fr-CH"/>
        </w:rPr>
        <w:t xml:space="preserve"> Genève et </w:t>
      </w:r>
      <w:r>
        <w:rPr>
          <w:szCs w:val="18"/>
          <w:lang w:val="fr-CH"/>
        </w:rPr>
        <w:t>l’Organisation des Nations Unies pour l’alimentation et l’agriculture à Rome.</w:t>
      </w:r>
    </w:p>
  </w:footnote>
  <w:footnote w:id="7">
    <w:p w14:paraId="7DF67538" w14:textId="2BFB9D5A" w:rsidR="00F105E0" w:rsidRPr="00191B0B" w:rsidRDefault="00F105E0" w:rsidP="00191B0B">
      <w:pPr>
        <w:pStyle w:val="FootnoteText"/>
        <w:rPr>
          <w:lang w:val="fr-CH"/>
        </w:rPr>
      </w:pPr>
      <w:r>
        <w:rPr>
          <w:rStyle w:val="FootnoteReference"/>
        </w:rPr>
        <w:footnoteRef/>
      </w:r>
      <w:r w:rsidRPr="006538C6">
        <w:rPr>
          <w:lang w:val="fr-CH"/>
        </w:rPr>
        <w:t xml:space="preserve"> Le Secrétaire exécutif</w:t>
      </w:r>
      <w:r>
        <w:rPr>
          <w:lang w:val="fr-CH"/>
        </w:rPr>
        <w:t xml:space="preserve"> du Secrétariat des conventio</w:t>
      </w:r>
      <w:r w:rsidRPr="006538C6">
        <w:rPr>
          <w:lang w:val="fr-CH"/>
        </w:rPr>
        <w:t>n</w:t>
      </w:r>
      <w:r>
        <w:rPr>
          <w:lang w:val="fr-CH"/>
        </w:rPr>
        <w:t>s</w:t>
      </w:r>
      <w:r w:rsidRPr="006538C6">
        <w:rPr>
          <w:lang w:val="fr-CH"/>
        </w:rPr>
        <w:t xml:space="preserve"> de B</w:t>
      </w:r>
      <w:r>
        <w:rPr>
          <w:lang w:val="fr-CH"/>
        </w:rPr>
        <w:t>âle, de Rotterdam et de Stockholm est au niveau D-2. Les postes de secrétaire exécutif des anciens secrétariats de chaque convention étaient au niveau D-1.</w:t>
      </w:r>
    </w:p>
  </w:footnote>
  <w:footnote w:id="8">
    <w:p w14:paraId="342CCF7C" w14:textId="0DC676DA" w:rsidR="00F105E0" w:rsidRPr="000D03E6" w:rsidRDefault="00F105E0" w:rsidP="00710A9D">
      <w:pPr>
        <w:pStyle w:val="FootnoteText"/>
        <w:rPr>
          <w:lang w:val="fr-CH"/>
        </w:rPr>
      </w:pPr>
      <w:r>
        <w:rPr>
          <w:rStyle w:val="FootnoteReference"/>
        </w:rPr>
        <w:footnoteRef/>
      </w:r>
      <w:r>
        <w:rPr>
          <w:lang w:val="fr-CH"/>
        </w:rPr>
        <w:t xml:space="preserve"> Décisions </w:t>
      </w:r>
      <w:r w:rsidRPr="000D03E6">
        <w:rPr>
          <w:lang w:val="fr-CH"/>
        </w:rPr>
        <w:t>BC-13/24, RC-13/24, SC-8/27 sur les programmes de travail et les budg</w:t>
      </w:r>
      <w:r>
        <w:rPr>
          <w:lang w:val="fr-CH"/>
        </w:rPr>
        <w:t>ets des c</w:t>
      </w:r>
      <w:r w:rsidRPr="000D03E6">
        <w:rPr>
          <w:lang w:val="fr-CH"/>
        </w:rPr>
        <w:t>onventions de B</w:t>
      </w:r>
      <w:r>
        <w:rPr>
          <w:lang w:val="fr-CH"/>
        </w:rPr>
        <w:t xml:space="preserve">âle, de Rotterdam et de Stockholm, </w:t>
      </w:r>
      <w:r w:rsidRPr="000D03E6">
        <w:rPr>
          <w:lang w:val="fr-CH"/>
        </w:rPr>
        <w:t>respectivement</w:t>
      </w:r>
      <w:r>
        <w:rPr>
          <w:lang w:val="fr-CH"/>
        </w:rPr>
        <w:t>,</w:t>
      </w:r>
      <w:r w:rsidRPr="000D03E6">
        <w:rPr>
          <w:lang w:val="fr-CH"/>
        </w:rPr>
        <w:t xml:space="preserve"> pour </w:t>
      </w:r>
      <w:r>
        <w:rPr>
          <w:lang w:val="fr-CH"/>
        </w:rPr>
        <w:t>l’exercice biennal</w:t>
      </w:r>
      <w:r w:rsidRPr="000D03E6">
        <w:rPr>
          <w:lang w:val="fr-CH"/>
        </w:rPr>
        <w:t xml:space="preserve"> 2018–2019.</w:t>
      </w:r>
    </w:p>
  </w:footnote>
  <w:footnote w:id="9">
    <w:p w14:paraId="1E3F1C3A" w14:textId="7E9AC648" w:rsidR="00F105E0" w:rsidRPr="00D33E4F" w:rsidRDefault="00F105E0" w:rsidP="00D33E4F">
      <w:pPr>
        <w:pStyle w:val="FootnoteText"/>
        <w:rPr>
          <w:lang w:val="fr-CH"/>
        </w:rPr>
      </w:pPr>
      <w:r>
        <w:rPr>
          <w:rStyle w:val="FootnoteReference"/>
        </w:rPr>
        <w:footnoteRef/>
      </w:r>
      <w:r w:rsidRPr="009209AC">
        <w:rPr>
          <w:lang w:val="fr-CH"/>
        </w:rPr>
        <w:t xml:space="preserve">  </w:t>
      </w:r>
      <w:r>
        <w:t>Le Programme des Nations Unies pour l’environnement (PNUE) a, depuis 2009, approuvé des projets successifs détaillant les activités du secrétariat provisoire. Il s’agissait notamment d’organiser et de fournir un appui dans le cadre de sept réunions du Comité de négociation intergouvernemental ainsi que des réunions de son bureau, de faciliter et d’appuyer plusieurs activités d’assistance technique et autres activités en vue de la ratification de la Convention et de sa mise en œuvre rapide, et d’exercer des fonctions de communication et de sensibilisation sur la Convention. Le secrétariat provisoire a également apporté des connaissances scientifiques et un appui technique aux travaux intersessions visant à élaborer des orientations techniques, notamment sur les meilleures techniques disponibles et les meilleures pratiques environnementales qui peuvent déjà être présentées à la Conférence des Parties lors de sa première réunion. En outre, le secrétariat provisoire a coopéré et s’est coordonné avec le secrétariat d’organismes internationaux pertinents, dont le plus important est le Fonds pour l’environnement mondial. Le secrétariat provisoire a préparé la première réunion de la Conférence des Parties à la Convention de Minamata et a conclu des arrangements administratifs et contractuels nécessaires pour s’acquitter efficacement de ses fonctions.</w:t>
      </w:r>
    </w:p>
  </w:footnote>
  <w:footnote w:id="10">
    <w:p w14:paraId="43742B43" w14:textId="0AF522A7" w:rsidR="00F105E0" w:rsidRPr="005322CC" w:rsidRDefault="00F105E0" w:rsidP="002B6EB2">
      <w:pPr>
        <w:pStyle w:val="FootnoteText"/>
        <w:rPr>
          <w:lang w:val="fr-CH"/>
        </w:rPr>
      </w:pPr>
      <w:r w:rsidRPr="00D11BCE">
        <w:rPr>
          <w:rStyle w:val="FootnoteReference"/>
          <w:lang w:val="en-GB"/>
        </w:rPr>
        <w:footnoteRef/>
      </w:r>
      <w:r w:rsidRPr="003F7621">
        <w:rPr>
          <w:lang w:val="fr-CH"/>
        </w:rPr>
        <w:t xml:space="preserve"> </w:t>
      </w:r>
      <w:r>
        <w:rPr>
          <w:lang w:val="fr-CH"/>
        </w:rPr>
        <w:t>Il s’agissait notamment d’un appui administratif, par le biais du Service « Substances chimiques et santé », d’une assistance juridique fournie par la Division du droit, d’un appui informatique de la part de l’Office des Nations Unies à Genève, d’un appui administratif en renfort pour les services de conférence pendant les périodes très chargées et d’une aide à la gestion des informations (en particulier la maintenance du serveur de la page Web) fourni par le Secrétariat des conventions de Bâle, de Rotterdam et de Stockholm.</w:t>
      </w:r>
    </w:p>
  </w:footnote>
  <w:footnote w:id="11">
    <w:p w14:paraId="37FA0848" w14:textId="318329C1" w:rsidR="00F105E0" w:rsidRPr="00192B54" w:rsidRDefault="00F105E0" w:rsidP="00192B54">
      <w:pPr>
        <w:pStyle w:val="FootnoteText"/>
        <w:rPr>
          <w:szCs w:val="18"/>
          <w:lang w:val="fr-CH"/>
        </w:rPr>
      </w:pPr>
      <w:r w:rsidRPr="00A54829">
        <w:rPr>
          <w:rStyle w:val="FootnoteReference"/>
          <w:sz w:val="18"/>
        </w:rPr>
        <w:footnoteRef/>
      </w:r>
      <w:r w:rsidRPr="00A330FB">
        <w:rPr>
          <w:szCs w:val="18"/>
          <w:lang w:val="fr-CH"/>
        </w:rPr>
        <w:t xml:space="preserve"> </w:t>
      </w:r>
      <w:r>
        <w:rPr>
          <w:szCs w:val="18"/>
          <w:lang w:val="fr-CH"/>
        </w:rPr>
        <w:t>Le site Web actuel de la Convention de Minamata est hébergé sur le serveur du secrétariat des conventions de Bâle, de Rotterdam et de Stockholm, bien que le site lui</w:t>
      </w:r>
      <w:r>
        <w:rPr>
          <w:szCs w:val="18"/>
          <w:lang w:val="fr-CH"/>
        </w:rPr>
        <w:noBreakHyphen/>
        <w:t>même ait été construit par un contact externe et que le personnel du secrétariat provisoire assure sa maintenance et procède à des réglages si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BE8C" w14:textId="6FEEDE4C" w:rsidR="00F105E0" w:rsidRPr="00917998" w:rsidRDefault="00F105E0" w:rsidP="0041238C">
    <w:pPr>
      <w:pStyle w:val="Header"/>
    </w:pPr>
    <w:r w:rsidRPr="00917998">
      <w:rPr>
        <w:bCs/>
        <w:szCs w:val="18"/>
      </w:rPr>
      <w:t>UNEP/MC/COP.1/14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BFE1" w14:textId="12D256CF" w:rsidR="00F105E0" w:rsidRPr="00144267" w:rsidRDefault="00F105E0" w:rsidP="00861D87">
    <w:pPr>
      <w:pStyle w:val="Header"/>
      <w:jc w:val="right"/>
    </w:pPr>
    <w:r w:rsidRPr="00917998">
      <w:rPr>
        <w:bCs/>
        <w:szCs w:val="18"/>
      </w:rPr>
      <w:t>UNEP/MC/COP.1/14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1449" w14:textId="49E54D6D" w:rsidR="00F105E0" w:rsidRDefault="00F105E0" w:rsidP="00032E4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0FBD" w14:textId="32861650" w:rsidR="00F105E0" w:rsidRPr="00CA5CA9" w:rsidRDefault="00F105E0" w:rsidP="001646EA">
    <w:pPr>
      <w:pStyle w:val="Header"/>
      <w:rPr>
        <w:szCs w:val="18"/>
      </w:rPr>
    </w:pPr>
    <w:r w:rsidRPr="008E0141">
      <w:rPr>
        <w:bCs/>
        <w:szCs w:val="18"/>
      </w:rPr>
      <w:t>UNEP</w:t>
    </w:r>
    <w:r>
      <w:rPr>
        <w:szCs w:val="18"/>
      </w:rPr>
      <w:t>/MC/COP.1/14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D19A" w14:textId="5D12CE75" w:rsidR="00F105E0" w:rsidRPr="00CA5CA9" w:rsidRDefault="00F105E0" w:rsidP="00035EDE">
    <w:pPr>
      <w:pStyle w:val="Header"/>
      <w:jc w:val="right"/>
      <w:rPr>
        <w:szCs w:val="18"/>
      </w:rPr>
    </w:pPr>
    <w:r w:rsidRPr="001176CB">
      <w:rPr>
        <w:bCs/>
        <w:szCs w:val="18"/>
      </w:rPr>
      <w:t>UNEP</w:t>
    </w:r>
    <w:r>
      <w:rPr>
        <w:szCs w:val="18"/>
      </w:rPr>
      <w:t>/MC/COP.1/14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4382" w14:textId="2A58FA46" w:rsidR="00F105E0" w:rsidRDefault="00F105E0" w:rsidP="00F30C06">
    <w:pPr>
      <w:pStyle w:val="Header"/>
    </w:pPr>
    <w:r w:rsidRPr="00BF30CD">
      <w:t>UNEP/MC/COP.1/5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15:restartNumberingAfterBreak="0">
    <w:nsid w:val="073D51BA"/>
    <w:multiLevelType w:val="hybridMultilevel"/>
    <w:tmpl w:val="29B2D844"/>
    <w:numStyleLink w:val="Importeradestilen6"/>
  </w:abstractNum>
  <w:abstractNum w:abstractNumId="2" w15:restartNumberingAfterBreak="0">
    <w:nsid w:val="073D6DF0"/>
    <w:multiLevelType w:val="hybridMultilevel"/>
    <w:tmpl w:val="D502522A"/>
    <w:lvl w:ilvl="0" w:tplc="388A549A">
      <w:start w:val="1"/>
      <w:numFmt w:val="lowerLetter"/>
      <w:lvlText w:val="(%1)"/>
      <w:lvlJc w:val="left"/>
      <w:pPr>
        <w:ind w:left="2232" w:hanging="360"/>
      </w:pPr>
      <w:rPr>
        <w:rFonts w:hint="default"/>
      </w:rPr>
    </w:lvl>
    <w:lvl w:ilvl="1" w:tplc="08090019" w:tentative="1">
      <w:start w:val="1"/>
      <w:numFmt w:val="lowerLetter"/>
      <w:lvlText w:val="%2."/>
      <w:lvlJc w:val="left"/>
      <w:pPr>
        <w:ind w:left="985" w:hanging="360"/>
      </w:pPr>
    </w:lvl>
    <w:lvl w:ilvl="2" w:tplc="0809001B" w:tentative="1">
      <w:start w:val="1"/>
      <w:numFmt w:val="lowerRoman"/>
      <w:lvlText w:val="%3."/>
      <w:lvlJc w:val="right"/>
      <w:pPr>
        <w:ind w:left="1705" w:hanging="180"/>
      </w:pPr>
    </w:lvl>
    <w:lvl w:ilvl="3" w:tplc="0809000F" w:tentative="1">
      <w:start w:val="1"/>
      <w:numFmt w:val="decimal"/>
      <w:lvlText w:val="%4."/>
      <w:lvlJc w:val="left"/>
      <w:pPr>
        <w:ind w:left="2425" w:hanging="360"/>
      </w:pPr>
    </w:lvl>
    <w:lvl w:ilvl="4" w:tplc="08090019" w:tentative="1">
      <w:start w:val="1"/>
      <w:numFmt w:val="lowerLetter"/>
      <w:lvlText w:val="%5."/>
      <w:lvlJc w:val="left"/>
      <w:pPr>
        <w:ind w:left="3145" w:hanging="360"/>
      </w:pPr>
    </w:lvl>
    <w:lvl w:ilvl="5" w:tplc="0809001B" w:tentative="1">
      <w:start w:val="1"/>
      <w:numFmt w:val="lowerRoman"/>
      <w:lvlText w:val="%6."/>
      <w:lvlJc w:val="right"/>
      <w:pPr>
        <w:ind w:left="3865" w:hanging="180"/>
      </w:pPr>
    </w:lvl>
    <w:lvl w:ilvl="6" w:tplc="0809000F" w:tentative="1">
      <w:start w:val="1"/>
      <w:numFmt w:val="decimal"/>
      <w:lvlText w:val="%7."/>
      <w:lvlJc w:val="left"/>
      <w:pPr>
        <w:ind w:left="4585" w:hanging="360"/>
      </w:pPr>
    </w:lvl>
    <w:lvl w:ilvl="7" w:tplc="08090019" w:tentative="1">
      <w:start w:val="1"/>
      <w:numFmt w:val="lowerLetter"/>
      <w:lvlText w:val="%8."/>
      <w:lvlJc w:val="left"/>
      <w:pPr>
        <w:ind w:left="5305" w:hanging="360"/>
      </w:pPr>
    </w:lvl>
    <w:lvl w:ilvl="8" w:tplc="0809001B" w:tentative="1">
      <w:start w:val="1"/>
      <w:numFmt w:val="lowerRoman"/>
      <w:lvlText w:val="%9."/>
      <w:lvlJc w:val="right"/>
      <w:pPr>
        <w:ind w:left="6025" w:hanging="180"/>
      </w:pPr>
    </w:lvl>
  </w:abstractNum>
  <w:abstractNum w:abstractNumId="3" w15:restartNumberingAfterBreak="0">
    <w:nsid w:val="08445A8B"/>
    <w:multiLevelType w:val="hybridMultilevel"/>
    <w:tmpl w:val="B9080D58"/>
    <w:lvl w:ilvl="0" w:tplc="A9D4C69E">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65106"/>
    <w:multiLevelType w:val="hybridMultilevel"/>
    <w:tmpl w:val="C80AA9FE"/>
    <w:lvl w:ilvl="0" w:tplc="0409000F">
      <w:start w:val="1"/>
      <w:numFmt w:val="decimal"/>
      <w:lvlText w:val="%1."/>
      <w:lvlJc w:val="left"/>
      <w:pPr>
        <w:ind w:left="720" w:hanging="360"/>
      </w:pPr>
    </w:lvl>
    <w:lvl w:ilvl="1" w:tplc="10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391C"/>
    <w:multiLevelType w:val="hybridMultilevel"/>
    <w:tmpl w:val="81E0EFB8"/>
    <w:numStyleLink w:val="Importeradestilen5"/>
  </w:abstractNum>
  <w:abstractNum w:abstractNumId="6" w15:restartNumberingAfterBreak="0">
    <w:nsid w:val="0E11634A"/>
    <w:multiLevelType w:val="hybridMultilevel"/>
    <w:tmpl w:val="4F5CFFF0"/>
    <w:lvl w:ilvl="0" w:tplc="100C0017">
      <w:start w:val="1"/>
      <w:numFmt w:val="low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F67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F609FC"/>
    <w:multiLevelType w:val="hybridMultilevel"/>
    <w:tmpl w:val="73ACFBEA"/>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13F97800"/>
    <w:multiLevelType w:val="hybridMultilevel"/>
    <w:tmpl w:val="E17CD3A6"/>
    <w:lvl w:ilvl="0" w:tplc="388A549A">
      <w:start w:val="1"/>
      <w:numFmt w:val="lowerLetter"/>
      <w:lvlText w:val="(%1)"/>
      <w:lvlJc w:val="left"/>
      <w:pPr>
        <w:ind w:left="2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E216E"/>
    <w:multiLevelType w:val="multilevel"/>
    <w:tmpl w:val="0409001F"/>
    <w:numStyleLink w:val="111111"/>
  </w:abstractNum>
  <w:abstractNum w:abstractNumId="11" w15:restartNumberingAfterBreak="0">
    <w:nsid w:val="19D95965"/>
    <w:multiLevelType w:val="hybridMultilevel"/>
    <w:tmpl w:val="F044000E"/>
    <w:numStyleLink w:val="Importeradestilen8"/>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1CD97593"/>
    <w:multiLevelType w:val="hybridMultilevel"/>
    <w:tmpl w:val="9E769EFC"/>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359AC"/>
    <w:multiLevelType w:val="multilevel"/>
    <w:tmpl w:val="B9080D58"/>
    <w:lvl w:ilvl="0">
      <w:start w:val="1"/>
      <w:numFmt w:val="decimal"/>
      <w:lvlText w:val="%1."/>
      <w:lvlJc w:val="left"/>
      <w:pPr>
        <w:ind w:left="19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1ED51B3D"/>
    <w:multiLevelType w:val="hybridMultilevel"/>
    <w:tmpl w:val="64D4B924"/>
    <w:lvl w:ilvl="0" w:tplc="7960EDBA">
      <w:start w:val="1"/>
      <w:numFmt w:val="lowerLetter"/>
      <w:lvlText w:val="(%1)"/>
      <w:lvlJc w:val="left"/>
      <w:pPr>
        <w:ind w:left="1980" w:hanging="360"/>
      </w:pPr>
      <w:rPr>
        <w:rFonts w:hint="default"/>
      </w:rPr>
    </w:lvl>
    <w:lvl w:ilvl="1" w:tplc="08090019">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15:restartNumberingAfterBreak="0">
    <w:nsid w:val="224433FA"/>
    <w:multiLevelType w:val="hybridMultilevel"/>
    <w:tmpl w:val="E6B417E6"/>
    <w:lvl w:ilvl="0" w:tplc="E6B44058">
      <w:numFmt w:val="bullet"/>
      <w:lvlText w:val="-"/>
      <w:lvlJc w:val="left"/>
      <w:pPr>
        <w:ind w:left="2231" w:hanging="360"/>
      </w:pPr>
      <w:rPr>
        <w:rFonts w:ascii="Times New Roman" w:eastAsia="MS Mincho" w:hAnsi="Times New Roman" w:cs="Times New Roman"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19" w15:restartNumberingAfterBreak="0">
    <w:nsid w:val="22FF4568"/>
    <w:multiLevelType w:val="hybridMultilevel"/>
    <w:tmpl w:val="AFB2B994"/>
    <w:lvl w:ilvl="0" w:tplc="30FC9688">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725D1"/>
    <w:multiLevelType w:val="multilevel"/>
    <w:tmpl w:val="4D52D7A0"/>
    <w:numStyleLink w:val="Normallist"/>
  </w:abstractNum>
  <w:abstractNum w:abstractNumId="2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A5422E4"/>
    <w:multiLevelType w:val="hybridMultilevel"/>
    <w:tmpl w:val="C06441CE"/>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3" w15:restartNumberingAfterBreak="0">
    <w:nsid w:val="2EE77FFC"/>
    <w:multiLevelType w:val="hybridMultilevel"/>
    <w:tmpl w:val="A22E6726"/>
    <w:lvl w:ilvl="0" w:tplc="EF588F86">
      <w:start w:val="1"/>
      <w:numFmt w:val="lowerLetter"/>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24" w15:restartNumberingAfterBreak="0">
    <w:nsid w:val="30B70740"/>
    <w:multiLevelType w:val="hybridMultilevel"/>
    <w:tmpl w:val="81E4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606A48"/>
    <w:multiLevelType w:val="hybridMultilevel"/>
    <w:tmpl w:val="20DAC052"/>
    <w:lvl w:ilvl="0" w:tplc="519EACF0">
      <w:numFmt w:val="bullet"/>
      <w:lvlText w:val="-"/>
      <w:lvlJc w:val="left"/>
      <w:pPr>
        <w:ind w:left="2231" w:hanging="360"/>
      </w:pPr>
      <w:rPr>
        <w:rFonts w:ascii="Times New Roman" w:eastAsia="MS Mincho" w:hAnsi="Times New Roman" w:cs="Times New Roman"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6E0616B"/>
    <w:multiLevelType w:val="hybridMultilevel"/>
    <w:tmpl w:val="3A3C5942"/>
    <w:lvl w:ilvl="0" w:tplc="388A549A">
      <w:start w:val="1"/>
      <w:numFmt w:val="lowerLetter"/>
      <w:lvlText w:val="(%1)"/>
      <w:lvlJc w:val="left"/>
      <w:pPr>
        <w:ind w:left="3934"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8" w15:restartNumberingAfterBreak="0">
    <w:nsid w:val="3D244671"/>
    <w:multiLevelType w:val="hybridMultilevel"/>
    <w:tmpl w:val="61080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457E1"/>
    <w:multiLevelType w:val="multilevel"/>
    <w:tmpl w:val="4D52D7A0"/>
    <w:numStyleLink w:val="Normallist"/>
  </w:abstractNum>
  <w:abstractNum w:abstractNumId="30" w15:restartNumberingAfterBreak="0">
    <w:nsid w:val="40607687"/>
    <w:multiLevelType w:val="hybridMultilevel"/>
    <w:tmpl w:val="D5ACA89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1"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498B1084"/>
    <w:multiLevelType w:val="multilevel"/>
    <w:tmpl w:val="0409001F"/>
    <w:numStyleLink w:val="111111"/>
  </w:abstractNum>
  <w:abstractNum w:abstractNumId="34" w15:restartNumberingAfterBreak="0">
    <w:nsid w:val="4A0608AF"/>
    <w:multiLevelType w:val="hybridMultilevel"/>
    <w:tmpl w:val="156885FC"/>
    <w:numStyleLink w:val="Importeradestilen3"/>
  </w:abstractNum>
  <w:abstractNum w:abstractNumId="35" w15:restartNumberingAfterBreak="0">
    <w:nsid w:val="4AAE2F9A"/>
    <w:multiLevelType w:val="hybridMultilevel"/>
    <w:tmpl w:val="EBEA0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4BFA6C4A"/>
    <w:multiLevelType w:val="hybridMultilevel"/>
    <w:tmpl w:val="AA4CA95E"/>
    <w:lvl w:ilvl="0" w:tplc="10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A4A15"/>
    <w:multiLevelType w:val="hybridMultilevel"/>
    <w:tmpl w:val="9B022E26"/>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643052"/>
    <w:multiLevelType w:val="hybridMultilevel"/>
    <w:tmpl w:val="AA4CA95E"/>
    <w:lvl w:ilvl="0" w:tplc="10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A66A9D"/>
    <w:multiLevelType w:val="multilevel"/>
    <w:tmpl w:val="4D52D7A0"/>
    <w:styleLink w:val="Normallist"/>
    <w:lvl w:ilvl="0">
      <w:start w:val="1"/>
      <w:numFmt w:val="decimal"/>
      <w:pStyle w:val="Normalnumber"/>
      <w:lvlText w:val="%1."/>
      <w:lvlJc w:val="left"/>
      <w:pPr>
        <w:tabs>
          <w:tab w:val="num" w:pos="2497"/>
        </w:tabs>
        <w:ind w:left="2610" w:firstLine="0"/>
      </w:pPr>
      <w:rPr>
        <w:rFonts w:hint="default"/>
      </w:rPr>
    </w:lvl>
    <w:lvl w:ilvl="1">
      <w:start w:val="1"/>
      <w:numFmt w:val="lowerLetter"/>
      <w:lvlText w:val="(%2)"/>
      <w:lvlJc w:val="left"/>
      <w:pPr>
        <w:tabs>
          <w:tab w:val="num" w:pos="2497"/>
        </w:tabs>
        <w:ind w:left="2610" w:firstLine="567"/>
      </w:pPr>
      <w:rPr>
        <w:rFonts w:hint="default"/>
      </w:rPr>
    </w:lvl>
    <w:lvl w:ilvl="2">
      <w:start w:val="1"/>
      <w:numFmt w:val="lowerRoman"/>
      <w:lvlText w:val="(%3)"/>
      <w:lvlJc w:val="left"/>
      <w:pPr>
        <w:tabs>
          <w:tab w:val="num" w:pos="2497"/>
        </w:tabs>
        <w:ind w:left="4311" w:hanging="567"/>
      </w:pPr>
      <w:rPr>
        <w:rFonts w:hint="default"/>
      </w:rPr>
    </w:lvl>
    <w:lvl w:ilvl="3">
      <w:start w:val="1"/>
      <w:numFmt w:val="lowerLetter"/>
      <w:lvlText w:val="%4."/>
      <w:lvlJc w:val="left"/>
      <w:pPr>
        <w:tabs>
          <w:tab w:val="num" w:pos="2497"/>
        </w:tabs>
        <w:ind w:left="4878" w:hanging="567"/>
      </w:pPr>
      <w:rPr>
        <w:rFonts w:hint="default"/>
      </w:rPr>
    </w:lvl>
    <w:lvl w:ilvl="4">
      <w:start w:val="1"/>
      <w:numFmt w:val="lowerRoman"/>
      <w:lvlText w:val="%5."/>
      <w:lvlJc w:val="left"/>
      <w:pPr>
        <w:tabs>
          <w:tab w:val="num" w:pos="2497"/>
        </w:tabs>
        <w:ind w:left="5445" w:hanging="567"/>
      </w:pPr>
      <w:rPr>
        <w:rFonts w:hint="default"/>
      </w:rPr>
    </w:lvl>
    <w:lvl w:ilvl="5">
      <w:start w:val="1"/>
      <w:numFmt w:val="lowerRoman"/>
      <w:lvlText w:val="%6."/>
      <w:lvlJc w:val="right"/>
      <w:pPr>
        <w:tabs>
          <w:tab w:val="num" w:pos="9198"/>
        </w:tabs>
        <w:ind w:left="9198" w:hanging="180"/>
      </w:pPr>
      <w:rPr>
        <w:rFonts w:hint="default"/>
      </w:rPr>
    </w:lvl>
    <w:lvl w:ilvl="6">
      <w:start w:val="1"/>
      <w:numFmt w:val="decimal"/>
      <w:lvlText w:val="%7."/>
      <w:lvlJc w:val="left"/>
      <w:pPr>
        <w:tabs>
          <w:tab w:val="num" w:pos="9918"/>
        </w:tabs>
        <w:ind w:left="9918" w:hanging="360"/>
      </w:pPr>
      <w:rPr>
        <w:rFonts w:hint="default"/>
      </w:rPr>
    </w:lvl>
    <w:lvl w:ilvl="7">
      <w:start w:val="1"/>
      <w:numFmt w:val="lowerLetter"/>
      <w:lvlText w:val="%8."/>
      <w:lvlJc w:val="left"/>
      <w:pPr>
        <w:tabs>
          <w:tab w:val="num" w:pos="10638"/>
        </w:tabs>
        <w:ind w:left="10638" w:hanging="360"/>
      </w:pPr>
      <w:rPr>
        <w:rFonts w:hint="default"/>
      </w:rPr>
    </w:lvl>
    <w:lvl w:ilvl="8">
      <w:start w:val="1"/>
      <w:numFmt w:val="lowerRoman"/>
      <w:lvlText w:val="%9."/>
      <w:lvlJc w:val="right"/>
      <w:pPr>
        <w:tabs>
          <w:tab w:val="num" w:pos="11358"/>
        </w:tabs>
        <w:ind w:left="11358" w:hanging="180"/>
      </w:pPr>
      <w:rPr>
        <w:rFonts w:hint="default"/>
      </w:rPr>
    </w:lvl>
  </w:abstractNum>
  <w:abstractNum w:abstractNumId="41" w15:restartNumberingAfterBreak="0">
    <w:nsid w:val="55DA4D57"/>
    <w:multiLevelType w:val="multilevel"/>
    <w:tmpl w:val="78EC622E"/>
    <w:lvl w:ilvl="0">
      <w:start w:val="1"/>
      <w:numFmt w:val="lowerLetter"/>
      <w:lvlText w:val="(%1)"/>
      <w:lvlJc w:val="left"/>
      <w:pPr>
        <w:ind w:left="2687" w:hanging="360"/>
      </w:pPr>
      <w:rPr>
        <w:rFonts w:hint="default"/>
      </w:rPr>
    </w:lvl>
    <w:lvl w:ilvl="1">
      <w:start w:val="1"/>
      <w:numFmt w:val="lowerLetter"/>
      <w:lvlText w:val="%2."/>
      <w:lvlJc w:val="left"/>
      <w:pPr>
        <w:ind w:left="3407" w:hanging="360"/>
      </w:pPr>
    </w:lvl>
    <w:lvl w:ilvl="2">
      <w:start w:val="1"/>
      <w:numFmt w:val="lowerRoman"/>
      <w:lvlText w:val="%3."/>
      <w:lvlJc w:val="right"/>
      <w:pPr>
        <w:ind w:left="4127" w:hanging="180"/>
      </w:pPr>
    </w:lvl>
    <w:lvl w:ilvl="3">
      <w:start w:val="1"/>
      <w:numFmt w:val="decimal"/>
      <w:lvlText w:val="%4."/>
      <w:lvlJc w:val="left"/>
      <w:pPr>
        <w:ind w:left="4847" w:hanging="360"/>
      </w:pPr>
    </w:lvl>
    <w:lvl w:ilvl="4">
      <w:start w:val="1"/>
      <w:numFmt w:val="lowerLetter"/>
      <w:lvlText w:val="%5."/>
      <w:lvlJc w:val="left"/>
      <w:pPr>
        <w:ind w:left="5567" w:hanging="360"/>
      </w:pPr>
    </w:lvl>
    <w:lvl w:ilvl="5">
      <w:start w:val="1"/>
      <w:numFmt w:val="lowerRoman"/>
      <w:lvlText w:val="%6."/>
      <w:lvlJc w:val="right"/>
      <w:pPr>
        <w:ind w:left="6287" w:hanging="180"/>
      </w:pPr>
    </w:lvl>
    <w:lvl w:ilvl="6">
      <w:start w:val="1"/>
      <w:numFmt w:val="decimal"/>
      <w:lvlText w:val="%7."/>
      <w:lvlJc w:val="left"/>
      <w:pPr>
        <w:ind w:left="7007" w:hanging="360"/>
      </w:pPr>
    </w:lvl>
    <w:lvl w:ilvl="7">
      <w:start w:val="1"/>
      <w:numFmt w:val="lowerLetter"/>
      <w:lvlText w:val="%8."/>
      <w:lvlJc w:val="left"/>
      <w:pPr>
        <w:ind w:left="7727" w:hanging="360"/>
      </w:pPr>
    </w:lvl>
    <w:lvl w:ilvl="8">
      <w:start w:val="1"/>
      <w:numFmt w:val="lowerRoman"/>
      <w:lvlText w:val="%9."/>
      <w:lvlJc w:val="right"/>
      <w:pPr>
        <w:ind w:left="8447" w:hanging="180"/>
      </w:pPr>
    </w:lvl>
  </w:abstractNum>
  <w:abstractNum w:abstractNumId="42" w15:restartNumberingAfterBreak="0">
    <w:nsid w:val="58AA3667"/>
    <w:multiLevelType w:val="hybridMultilevel"/>
    <w:tmpl w:val="A72A60C0"/>
    <w:numStyleLink w:val="Importeradestilen7"/>
  </w:abstractNum>
  <w:abstractNum w:abstractNumId="43" w15:restartNumberingAfterBreak="0">
    <w:nsid w:val="5BF5183E"/>
    <w:multiLevelType w:val="hybridMultilevel"/>
    <w:tmpl w:val="686C86F4"/>
    <w:numStyleLink w:val="Importeradestilen4"/>
  </w:abstractNum>
  <w:abstractNum w:abstractNumId="44" w15:restartNumberingAfterBreak="0">
    <w:nsid w:val="5DE26A8A"/>
    <w:multiLevelType w:val="hybridMultilevel"/>
    <w:tmpl w:val="C80AA9FE"/>
    <w:lvl w:ilvl="0" w:tplc="0409000F">
      <w:start w:val="1"/>
      <w:numFmt w:val="decimal"/>
      <w:lvlText w:val="%1."/>
      <w:lvlJc w:val="left"/>
      <w:pPr>
        <w:ind w:left="720" w:hanging="360"/>
      </w:pPr>
    </w:lvl>
    <w:lvl w:ilvl="1" w:tplc="10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216D7B"/>
    <w:multiLevelType w:val="hybridMultilevel"/>
    <w:tmpl w:val="0B422B62"/>
    <w:numStyleLink w:val="Importeradestilen9"/>
  </w:abstractNum>
  <w:abstractNum w:abstractNumId="46" w15:restartNumberingAfterBreak="0">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15:restartNumberingAfterBreak="0">
    <w:nsid w:val="62691179"/>
    <w:multiLevelType w:val="hybridMultilevel"/>
    <w:tmpl w:val="1796281C"/>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8" w15:restartNumberingAfterBreak="0">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9" w15:restartNumberingAfterBreak="0">
    <w:nsid w:val="65431642"/>
    <w:multiLevelType w:val="hybridMultilevel"/>
    <w:tmpl w:val="082E30F6"/>
    <w:lvl w:ilvl="0" w:tplc="B2B8B130">
      <w:start w:val="1"/>
      <w:numFmt w:val="lowerLetter"/>
      <w:lvlText w:val="(%1)"/>
      <w:lvlJc w:val="left"/>
      <w:pPr>
        <w:ind w:left="2235" w:hanging="360"/>
      </w:pPr>
      <w:rPr>
        <w:rFonts w:hint="default"/>
      </w:rPr>
    </w:lvl>
    <w:lvl w:ilvl="1" w:tplc="08090019">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50" w15:restartNumberingAfterBreak="0">
    <w:nsid w:val="65B514B4"/>
    <w:multiLevelType w:val="hybridMultilevel"/>
    <w:tmpl w:val="EF6A616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6A785066"/>
    <w:multiLevelType w:val="hybridMultilevel"/>
    <w:tmpl w:val="651C4CD4"/>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724878"/>
    <w:multiLevelType w:val="hybridMultilevel"/>
    <w:tmpl w:val="7B48E736"/>
    <w:lvl w:ilvl="0" w:tplc="0809000F">
      <w:start w:val="1"/>
      <w:numFmt w:val="decimal"/>
      <w:lvlText w:val="%1."/>
      <w:lvlJc w:val="left"/>
      <w:pPr>
        <w:ind w:left="1920" w:hanging="360"/>
      </w:pPr>
    </w:lvl>
    <w:lvl w:ilvl="1" w:tplc="100C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4" w15:restartNumberingAfterBreak="0">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5" w15:restartNumberingAfterBreak="0">
    <w:nsid w:val="6DC73B16"/>
    <w:multiLevelType w:val="hybridMultilevel"/>
    <w:tmpl w:val="E74AA2CE"/>
    <w:lvl w:ilvl="0" w:tplc="3552E828">
      <w:start w:val="16"/>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8"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59" w15:restartNumberingAfterBreak="0">
    <w:nsid w:val="77A13BE6"/>
    <w:multiLevelType w:val="hybridMultilevel"/>
    <w:tmpl w:val="92DEC6DE"/>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0" w15:restartNumberingAfterBreak="0">
    <w:nsid w:val="7AAA2F1D"/>
    <w:multiLevelType w:val="hybridMultilevel"/>
    <w:tmpl w:val="97A03A70"/>
    <w:lvl w:ilvl="0" w:tplc="100C0017">
      <w:start w:val="1"/>
      <w:numFmt w:val="lowerLetter"/>
      <w:lvlText w:val="%1)"/>
      <w:lvlJc w:val="left"/>
      <w:pPr>
        <w:ind w:left="2203" w:hanging="360"/>
      </w:pPr>
      <w:rPr>
        <w:rFonts w:hint="default"/>
      </w:rPr>
    </w:lvl>
    <w:lvl w:ilvl="1" w:tplc="100C0019">
      <w:start w:val="1"/>
      <w:numFmt w:val="lowerLetter"/>
      <w:lvlText w:val="%2."/>
      <w:lvlJc w:val="left"/>
      <w:pPr>
        <w:ind w:left="2923" w:hanging="360"/>
      </w:pPr>
    </w:lvl>
    <w:lvl w:ilvl="2" w:tplc="100C001B" w:tentative="1">
      <w:start w:val="1"/>
      <w:numFmt w:val="lowerRoman"/>
      <w:lvlText w:val="%3."/>
      <w:lvlJc w:val="right"/>
      <w:pPr>
        <w:ind w:left="3643" w:hanging="180"/>
      </w:pPr>
    </w:lvl>
    <w:lvl w:ilvl="3" w:tplc="100C000F" w:tentative="1">
      <w:start w:val="1"/>
      <w:numFmt w:val="decimal"/>
      <w:lvlText w:val="%4."/>
      <w:lvlJc w:val="left"/>
      <w:pPr>
        <w:ind w:left="4363" w:hanging="360"/>
      </w:pPr>
    </w:lvl>
    <w:lvl w:ilvl="4" w:tplc="100C0019" w:tentative="1">
      <w:start w:val="1"/>
      <w:numFmt w:val="lowerLetter"/>
      <w:lvlText w:val="%5."/>
      <w:lvlJc w:val="left"/>
      <w:pPr>
        <w:ind w:left="5083" w:hanging="360"/>
      </w:pPr>
    </w:lvl>
    <w:lvl w:ilvl="5" w:tplc="100C001B" w:tentative="1">
      <w:start w:val="1"/>
      <w:numFmt w:val="lowerRoman"/>
      <w:lvlText w:val="%6."/>
      <w:lvlJc w:val="right"/>
      <w:pPr>
        <w:ind w:left="5803" w:hanging="180"/>
      </w:pPr>
    </w:lvl>
    <w:lvl w:ilvl="6" w:tplc="100C000F" w:tentative="1">
      <w:start w:val="1"/>
      <w:numFmt w:val="decimal"/>
      <w:lvlText w:val="%7."/>
      <w:lvlJc w:val="left"/>
      <w:pPr>
        <w:ind w:left="6523" w:hanging="360"/>
      </w:pPr>
    </w:lvl>
    <w:lvl w:ilvl="7" w:tplc="100C0019" w:tentative="1">
      <w:start w:val="1"/>
      <w:numFmt w:val="lowerLetter"/>
      <w:lvlText w:val="%8."/>
      <w:lvlJc w:val="left"/>
      <w:pPr>
        <w:ind w:left="7243" w:hanging="360"/>
      </w:pPr>
    </w:lvl>
    <w:lvl w:ilvl="8" w:tplc="100C001B" w:tentative="1">
      <w:start w:val="1"/>
      <w:numFmt w:val="lowerRoman"/>
      <w:lvlText w:val="%9."/>
      <w:lvlJc w:val="right"/>
      <w:pPr>
        <w:ind w:left="7963" w:hanging="180"/>
      </w:pPr>
    </w:lvl>
  </w:abstractNum>
  <w:abstractNum w:abstractNumId="61"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7E654A72"/>
    <w:multiLevelType w:val="hybridMultilevel"/>
    <w:tmpl w:val="78EC622E"/>
    <w:lvl w:ilvl="0" w:tplc="388A549A">
      <w:start w:val="1"/>
      <w:numFmt w:val="lowerLetter"/>
      <w:lvlText w:val="(%1)"/>
      <w:lvlJc w:val="left"/>
      <w:pPr>
        <w:ind w:left="2687" w:hanging="360"/>
      </w:pPr>
      <w:rPr>
        <w:rFonts w:hint="default"/>
      </w:rPr>
    </w:lvl>
    <w:lvl w:ilvl="1" w:tplc="04090019" w:tentative="1">
      <w:start w:val="1"/>
      <w:numFmt w:val="lowerLetter"/>
      <w:lvlText w:val="%2."/>
      <w:lvlJc w:val="left"/>
      <w:pPr>
        <w:ind w:left="3407" w:hanging="360"/>
      </w:pPr>
    </w:lvl>
    <w:lvl w:ilvl="2" w:tplc="0409001B" w:tentative="1">
      <w:start w:val="1"/>
      <w:numFmt w:val="lowerRoman"/>
      <w:lvlText w:val="%3."/>
      <w:lvlJc w:val="right"/>
      <w:pPr>
        <w:ind w:left="4127" w:hanging="180"/>
      </w:pPr>
    </w:lvl>
    <w:lvl w:ilvl="3" w:tplc="0409000F" w:tentative="1">
      <w:start w:val="1"/>
      <w:numFmt w:val="decimal"/>
      <w:lvlText w:val="%4."/>
      <w:lvlJc w:val="left"/>
      <w:pPr>
        <w:ind w:left="4847" w:hanging="360"/>
      </w:pPr>
    </w:lvl>
    <w:lvl w:ilvl="4" w:tplc="04090019" w:tentative="1">
      <w:start w:val="1"/>
      <w:numFmt w:val="lowerLetter"/>
      <w:lvlText w:val="%5."/>
      <w:lvlJc w:val="left"/>
      <w:pPr>
        <w:ind w:left="5567" w:hanging="360"/>
      </w:pPr>
    </w:lvl>
    <w:lvl w:ilvl="5" w:tplc="0409001B" w:tentative="1">
      <w:start w:val="1"/>
      <w:numFmt w:val="lowerRoman"/>
      <w:lvlText w:val="%6."/>
      <w:lvlJc w:val="right"/>
      <w:pPr>
        <w:ind w:left="6287" w:hanging="180"/>
      </w:pPr>
    </w:lvl>
    <w:lvl w:ilvl="6" w:tplc="0409000F" w:tentative="1">
      <w:start w:val="1"/>
      <w:numFmt w:val="decimal"/>
      <w:lvlText w:val="%7."/>
      <w:lvlJc w:val="left"/>
      <w:pPr>
        <w:ind w:left="7007" w:hanging="360"/>
      </w:pPr>
    </w:lvl>
    <w:lvl w:ilvl="7" w:tplc="04090019" w:tentative="1">
      <w:start w:val="1"/>
      <w:numFmt w:val="lowerLetter"/>
      <w:lvlText w:val="%8."/>
      <w:lvlJc w:val="left"/>
      <w:pPr>
        <w:ind w:left="7727" w:hanging="360"/>
      </w:pPr>
    </w:lvl>
    <w:lvl w:ilvl="8" w:tplc="0409001B" w:tentative="1">
      <w:start w:val="1"/>
      <w:numFmt w:val="lowerRoman"/>
      <w:lvlText w:val="%9."/>
      <w:lvlJc w:val="right"/>
      <w:pPr>
        <w:ind w:left="8447" w:hanging="180"/>
      </w:pPr>
    </w:lvl>
  </w:abstractNum>
  <w:abstractNum w:abstractNumId="63" w15:restartNumberingAfterBreak="0">
    <w:nsid w:val="7EF1277D"/>
    <w:multiLevelType w:val="hybridMultilevel"/>
    <w:tmpl w:val="AA4CA95E"/>
    <w:lvl w:ilvl="0" w:tplc="10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2"/>
  </w:num>
  <w:num w:numId="3">
    <w:abstractNumId w:val="26"/>
  </w:num>
  <w:num w:numId="4">
    <w:abstractNumId w:val="40"/>
  </w:num>
  <w:num w:numId="5">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
    <w:abstractNumId w:val="21"/>
  </w:num>
  <w:num w:numId="7">
    <w:abstractNumId w:val="40"/>
  </w:num>
  <w:num w:numId="8">
    <w:abstractNumId w:val="40"/>
  </w:num>
  <w:num w:numId="9">
    <w:abstractNumId w:val="40"/>
  </w:num>
  <w:num w:numId="10">
    <w:abstractNumId w:val="40"/>
  </w:num>
  <w:num w:numId="11">
    <w:abstractNumId w:val="40"/>
  </w:num>
  <w:num w:numId="12">
    <w:abstractNumId w:val="40"/>
  </w:num>
  <w:num w:numId="13">
    <w:abstractNumId w:val="40"/>
  </w:num>
  <w:num w:numId="14">
    <w:abstractNumId w:val="4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61"/>
  </w:num>
  <w:num w:numId="23">
    <w:abstractNumId w:val="36"/>
  </w:num>
  <w:num w:numId="24">
    <w:abstractNumId w:val="51"/>
  </w:num>
  <w:num w:numId="25">
    <w:abstractNumId w:val="58"/>
  </w:num>
  <w:num w:numId="26">
    <w:abstractNumId w:val="34"/>
  </w:num>
  <w:num w:numId="27">
    <w:abstractNumId w:val="0"/>
  </w:num>
  <w:num w:numId="28">
    <w:abstractNumId w:val="43"/>
  </w:num>
  <w:num w:numId="29">
    <w:abstractNumId w:val="17"/>
  </w:num>
  <w:num w:numId="30">
    <w:abstractNumId w:val="5"/>
  </w:num>
  <w:num w:numId="31">
    <w:abstractNumId w:val="31"/>
  </w:num>
  <w:num w:numId="32">
    <w:abstractNumId w:val="1"/>
  </w:num>
  <w:num w:numId="33">
    <w:abstractNumId w:val="56"/>
  </w:num>
  <w:num w:numId="34">
    <w:abstractNumId w:val="42"/>
  </w:num>
  <w:num w:numId="35">
    <w:abstractNumId w:val="1"/>
    <w:lvlOverride w:ilvl="0">
      <w:startOverride w:val="10"/>
      <w:lvl w:ilvl="0" w:tplc="613E044C">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47F4EDB8">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38266F84">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AA063632">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6F127C0C">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3836E47C">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073E3B8E">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394C6E06">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591E2ED4">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36">
    <w:abstractNumId w:val="32"/>
  </w:num>
  <w:num w:numId="37">
    <w:abstractNumId w:val="11"/>
  </w:num>
  <w:num w:numId="38">
    <w:abstractNumId w:val="1"/>
    <w:lvlOverride w:ilvl="0">
      <w:startOverride w:val="12"/>
    </w:lvlOverride>
  </w:num>
  <w:num w:numId="39">
    <w:abstractNumId w:val="15"/>
  </w:num>
  <w:num w:numId="40">
    <w:abstractNumId w:val="45"/>
  </w:num>
  <w:num w:numId="41">
    <w:abstractNumId w:val="40"/>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48"/>
  </w:num>
  <w:num w:numId="43">
    <w:abstractNumId w:val="57"/>
  </w:num>
  <w:num w:numId="44">
    <w:abstractNumId w:val="5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1">
      <w:lvl w:ilvl="1">
        <w:start w:val="1"/>
        <w:numFmt w:val="lowerLetter"/>
        <w:lvlText w:val="(%2)"/>
        <w:lvlJc w:val="left"/>
        <w:pPr>
          <w:tabs>
            <w:tab w:val="num" w:pos="1134"/>
          </w:tabs>
          <w:ind w:left="1247" w:firstLine="567"/>
        </w:pPr>
        <w:rPr>
          <w:rFonts w:hint="default"/>
        </w:rPr>
      </w:lvl>
    </w:lvlOverride>
  </w:num>
  <w:num w:numId="48">
    <w:abstractNumId w:val="40"/>
    <w:lvlOverride w:ilvl="1">
      <w:lvl w:ilvl="1">
        <w:start w:val="1"/>
        <w:numFmt w:val="lowerLetter"/>
        <w:lvlText w:val="(%2)"/>
        <w:lvlJc w:val="left"/>
        <w:pPr>
          <w:tabs>
            <w:tab w:val="num" w:pos="1134"/>
          </w:tabs>
          <w:ind w:left="1247" w:firstLine="567"/>
        </w:pPr>
        <w:rPr>
          <w:rFonts w:hint="default"/>
        </w:rPr>
      </w:lvl>
    </w:lvlOverride>
  </w:num>
  <w:num w:numId="49">
    <w:abstractNumId w:val="40"/>
    <w:lvlOverride w:ilvl="1">
      <w:lvl w:ilvl="1">
        <w:start w:val="1"/>
        <w:numFmt w:val="lowerLetter"/>
        <w:lvlText w:val="(%2)"/>
        <w:lvlJc w:val="left"/>
        <w:pPr>
          <w:tabs>
            <w:tab w:val="num" w:pos="1134"/>
          </w:tabs>
          <w:ind w:left="1247" w:firstLine="567"/>
        </w:pPr>
        <w:rPr>
          <w:rFonts w:hint="default"/>
        </w:rPr>
      </w:lvl>
    </w:lvlOverride>
  </w:num>
  <w:num w:numId="50">
    <w:abstractNumId w:val="40"/>
    <w:lvlOverride w:ilvl="1">
      <w:lvl w:ilvl="1">
        <w:start w:val="1"/>
        <w:numFmt w:val="lowerLetter"/>
        <w:lvlText w:val="(%2)"/>
        <w:lvlJc w:val="left"/>
        <w:pPr>
          <w:tabs>
            <w:tab w:val="num" w:pos="1134"/>
          </w:tabs>
          <w:ind w:left="1247" w:firstLine="567"/>
        </w:pPr>
        <w:rPr>
          <w:rFonts w:hint="default"/>
        </w:rPr>
      </w:lvl>
    </w:lvlOverride>
  </w:num>
  <w:num w:numId="51">
    <w:abstractNumId w:val="40"/>
    <w:lvlOverride w:ilvl="1">
      <w:lvl w:ilvl="1">
        <w:start w:val="1"/>
        <w:numFmt w:val="lowerLetter"/>
        <w:lvlText w:val="(%2)"/>
        <w:lvlJc w:val="left"/>
        <w:pPr>
          <w:tabs>
            <w:tab w:val="num" w:pos="1134"/>
          </w:tabs>
          <w:ind w:left="1247" w:firstLine="567"/>
        </w:pPr>
        <w:rPr>
          <w:rFonts w:hint="default"/>
        </w:rPr>
      </w:lvl>
    </w:lvlOverride>
  </w:num>
  <w:num w:numId="52">
    <w:abstractNumId w:val="40"/>
    <w:lvlOverride w:ilvl="1">
      <w:lvl w:ilvl="1">
        <w:start w:val="1"/>
        <w:numFmt w:val="lowerLetter"/>
        <w:lvlText w:val="(%2)"/>
        <w:lvlJc w:val="left"/>
        <w:pPr>
          <w:tabs>
            <w:tab w:val="num" w:pos="1134"/>
          </w:tabs>
          <w:ind w:left="1247" w:firstLine="567"/>
        </w:pPr>
        <w:rPr>
          <w:rFonts w:hint="default"/>
        </w:rPr>
      </w:lvl>
    </w:lvlOverride>
  </w:num>
  <w:num w:numId="53">
    <w:abstractNumId w:val="40"/>
    <w:lvlOverride w:ilvl="1">
      <w:lvl w:ilvl="1">
        <w:start w:val="1"/>
        <w:numFmt w:val="lowerLetter"/>
        <w:lvlText w:val="(%2)"/>
        <w:lvlJc w:val="left"/>
        <w:pPr>
          <w:tabs>
            <w:tab w:val="num" w:pos="1134"/>
          </w:tabs>
          <w:ind w:left="1247" w:firstLine="567"/>
        </w:pPr>
        <w:rPr>
          <w:rFonts w:hint="default"/>
        </w:rPr>
      </w:lvl>
    </w:lvlOverride>
  </w:num>
  <w:num w:numId="54">
    <w:abstractNumId w:val="40"/>
    <w:lvlOverride w:ilvl="1">
      <w:lvl w:ilvl="1">
        <w:start w:val="1"/>
        <w:numFmt w:val="lowerLetter"/>
        <w:lvlText w:val="(%2)"/>
        <w:lvlJc w:val="left"/>
        <w:pPr>
          <w:tabs>
            <w:tab w:val="num" w:pos="1134"/>
          </w:tabs>
          <w:ind w:left="1247" w:firstLine="567"/>
        </w:pPr>
        <w:rPr>
          <w:rFonts w:hint="default"/>
        </w:rPr>
      </w:lvl>
    </w:lvlOverride>
  </w:num>
  <w:num w:numId="55">
    <w:abstractNumId w:val="40"/>
    <w:lvlOverride w:ilvl="1">
      <w:lvl w:ilvl="1">
        <w:start w:val="1"/>
        <w:numFmt w:val="lowerLetter"/>
        <w:lvlText w:val="(%2)"/>
        <w:lvlJc w:val="left"/>
        <w:pPr>
          <w:tabs>
            <w:tab w:val="num" w:pos="1134"/>
          </w:tabs>
          <w:ind w:left="1247" w:firstLine="567"/>
        </w:pPr>
        <w:rPr>
          <w:rFonts w:hint="default"/>
        </w:rPr>
      </w:lvl>
    </w:lvlOverride>
  </w:num>
  <w:num w:numId="56">
    <w:abstractNumId w:val="40"/>
    <w:lvlOverride w:ilvl="1">
      <w:lvl w:ilvl="1">
        <w:start w:val="1"/>
        <w:numFmt w:val="lowerLetter"/>
        <w:lvlText w:val="(%2)"/>
        <w:lvlJc w:val="left"/>
        <w:pPr>
          <w:tabs>
            <w:tab w:val="num" w:pos="1134"/>
          </w:tabs>
          <w:ind w:left="1247" w:firstLine="567"/>
        </w:pPr>
        <w:rPr>
          <w:rFonts w:hint="default"/>
        </w:rPr>
      </w:lvl>
    </w:lvlOverride>
  </w:num>
  <w:num w:numId="57">
    <w:abstractNumId w:val="40"/>
    <w:lvlOverride w:ilvl="1">
      <w:lvl w:ilvl="1">
        <w:start w:val="1"/>
        <w:numFmt w:val="lowerLetter"/>
        <w:lvlText w:val="(%2)"/>
        <w:lvlJc w:val="left"/>
        <w:pPr>
          <w:tabs>
            <w:tab w:val="num" w:pos="1134"/>
          </w:tabs>
          <w:ind w:left="1247" w:firstLine="567"/>
        </w:pPr>
        <w:rPr>
          <w:rFonts w:hint="default"/>
        </w:rPr>
      </w:lvl>
    </w:lvlOverride>
  </w:num>
  <w:num w:numId="58">
    <w:abstractNumId w:val="40"/>
    <w:lvlOverride w:ilvl="1">
      <w:lvl w:ilvl="1">
        <w:start w:val="1"/>
        <w:numFmt w:val="lowerLetter"/>
        <w:lvlText w:val="(%2)"/>
        <w:lvlJc w:val="left"/>
        <w:pPr>
          <w:tabs>
            <w:tab w:val="num" w:pos="1134"/>
          </w:tabs>
          <w:ind w:left="1247" w:firstLine="567"/>
        </w:pPr>
        <w:rPr>
          <w:rFonts w:hint="default"/>
        </w:rPr>
      </w:lvl>
    </w:lvlOverride>
  </w:num>
  <w:num w:numId="59">
    <w:abstractNumId w:val="40"/>
    <w:lvlOverride w:ilvl="1">
      <w:lvl w:ilvl="1">
        <w:start w:val="1"/>
        <w:numFmt w:val="lowerLetter"/>
        <w:lvlText w:val="(%2)"/>
        <w:lvlJc w:val="left"/>
        <w:pPr>
          <w:tabs>
            <w:tab w:val="num" w:pos="1134"/>
          </w:tabs>
          <w:ind w:left="1247" w:firstLine="567"/>
        </w:pPr>
        <w:rPr>
          <w:rFonts w:hint="default"/>
        </w:rPr>
      </w:lvl>
    </w:lvlOverride>
  </w:num>
  <w:num w:numId="60">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1">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2">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3">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4">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5">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6">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7">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8">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69">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0">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1">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72">
    <w:abstractNumId w:val="40"/>
    <w:lvlOverride w:ilvl="0">
      <w:lvl w:ilvl="0">
        <w:start w:val="1"/>
        <w:numFmt w:val="decimal"/>
        <w:pStyle w:val="Normalnumber"/>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73">
    <w:abstractNumId w:val="22"/>
  </w:num>
  <w:num w:numId="74">
    <w:abstractNumId w:val="53"/>
  </w:num>
  <w:num w:numId="75">
    <w:abstractNumId w:val="30"/>
  </w:num>
  <w:num w:numId="76">
    <w:abstractNumId w:val="8"/>
  </w:num>
  <w:num w:numId="77">
    <w:abstractNumId w:val="47"/>
  </w:num>
  <w:num w:numId="78">
    <w:abstractNumId w:val="59"/>
  </w:num>
  <w:num w:numId="79">
    <w:abstractNumId w:val="2"/>
  </w:num>
  <w:num w:numId="80">
    <w:abstractNumId w:val="4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2">
    <w:abstractNumId w:val="4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3">
    <w:abstractNumId w:val="4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4">
    <w:abstractNumId w:val="19"/>
  </w:num>
  <w:num w:numId="85">
    <w:abstractNumId w:val="55"/>
  </w:num>
  <w:num w:numId="86">
    <w:abstractNumId w:val="3"/>
  </w:num>
  <w:num w:numId="87">
    <w:abstractNumId w:val="49"/>
  </w:num>
  <w:num w:numId="88">
    <w:abstractNumId w:val="62"/>
  </w:num>
  <w:num w:numId="89">
    <w:abstractNumId w:val="41"/>
  </w:num>
  <w:num w:numId="90">
    <w:abstractNumId w:val="14"/>
  </w:num>
  <w:num w:numId="91">
    <w:abstractNumId w:val="29"/>
  </w:num>
  <w:num w:numId="92">
    <w:abstractNumId w:val="7"/>
  </w:num>
  <w:num w:numId="93">
    <w:abstractNumId w:val="10"/>
  </w:num>
  <w:num w:numId="94">
    <w:abstractNumId w:val="20"/>
    <w:lvlOverride w:ilvl="0">
      <w:lvl w:ilvl="0">
        <w:start w:val="1"/>
        <w:numFmt w:val="decimal"/>
        <w:lvlText w:val="%1."/>
        <w:lvlJc w:val="left"/>
        <w:pPr>
          <w:tabs>
            <w:tab w:val="num" w:pos="2497"/>
          </w:tabs>
          <w:ind w:left="2610" w:firstLine="0"/>
        </w:pPr>
        <w:rPr>
          <w:rFonts w:hint="default"/>
        </w:rPr>
      </w:lvl>
    </w:lvlOverride>
    <w:lvlOverride w:ilvl="1">
      <w:lvl w:ilvl="1">
        <w:start w:val="1"/>
        <w:numFmt w:val="lowerLetter"/>
        <w:lvlText w:val="%2)"/>
        <w:lvlJc w:val="left"/>
        <w:pPr>
          <w:tabs>
            <w:tab w:val="num" w:pos="2497"/>
          </w:tabs>
          <w:ind w:left="2610" w:firstLine="567"/>
        </w:pPr>
        <w:rPr>
          <w:rFonts w:ascii="Times New Roman" w:eastAsia="Times New Roman" w:hAnsi="Times New Roman" w:cs="Times New Roman"/>
          <w:b w:val="0"/>
        </w:rPr>
      </w:lvl>
    </w:lvlOverride>
    <w:lvlOverride w:ilvl="2">
      <w:lvl w:ilvl="2">
        <w:start w:val="1"/>
        <w:numFmt w:val="lowerRoman"/>
        <w:lvlText w:val="(%3)"/>
        <w:lvlJc w:val="left"/>
        <w:pPr>
          <w:tabs>
            <w:tab w:val="num" w:pos="2497"/>
          </w:tabs>
          <w:ind w:left="4311" w:hanging="567"/>
        </w:pPr>
        <w:rPr>
          <w:rFonts w:hint="default"/>
        </w:rPr>
      </w:lvl>
    </w:lvlOverride>
    <w:lvlOverride w:ilvl="3">
      <w:lvl w:ilvl="3">
        <w:start w:val="1"/>
        <w:numFmt w:val="lowerLetter"/>
        <w:lvlText w:val="%4."/>
        <w:lvlJc w:val="left"/>
        <w:pPr>
          <w:tabs>
            <w:tab w:val="num" w:pos="2497"/>
          </w:tabs>
          <w:ind w:left="4878" w:hanging="567"/>
        </w:pPr>
        <w:rPr>
          <w:rFonts w:hint="default"/>
        </w:rPr>
      </w:lvl>
    </w:lvlOverride>
    <w:lvlOverride w:ilvl="4">
      <w:lvl w:ilvl="4">
        <w:start w:val="1"/>
        <w:numFmt w:val="lowerRoman"/>
        <w:lvlText w:val="%5."/>
        <w:lvlJc w:val="left"/>
        <w:pPr>
          <w:tabs>
            <w:tab w:val="num" w:pos="2497"/>
          </w:tabs>
          <w:ind w:left="5445" w:hanging="567"/>
        </w:pPr>
        <w:rPr>
          <w:rFonts w:hint="default"/>
        </w:rPr>
      </w:lvl>
    </w:lvlOverride>
    <w:lvlOverride w:ilvl="5">
      <w:lvl w:ilvl="5">
        <w:start w:val="1"/>
        <w:numFmt w:val="lowerRoman"/>
        <w:lvlText w:val="%6."/>
        <w:lvlJc w:val="right"/>
        <w:pPr>
          <w:tabs>
            <w:tab w:val="num" w:pos="9198"/>
          </w:tabs>
          <w:ind w:left="9198" w:hanging="180"/>
        </w:pPr>
        <w:rPr>
          <w:rFonts w:hint="default"/>
        </w:rPr>
      </w:lvl>
    </w:lvlOverride>
    <w:lvlOverride w:ilvl="6">
      <w:lvl w:ilvl="6">
        <w:start w:val="1"/>
        <w:numFmt w:val="decimal"/>
        <w:lvlText w:val="%7."/>
        <w:lvlJc w:val="left"/>
        <w:pPr>
          <w:tabs>
            <w:tab w:val="num" w:pos="9918"/>
          </w:tabs>
          <w:ind w:left="9918" w:hanging="360"/>
        </w:pPr>
        <w:rPr>
          <w:rFonts w:hint="default"/>
        </w:rPr>
      </w:lvl>
    </w:lvlOverride>
    <w:lvlOverride w:ilvl="7">
      <w:lvl w:ilvl="7">
        <w:start w:val="1"/>
        <w:numFmt w:val="lowerLetter"/>
        <w:lvlText w:val="%8."/>
        <w:lvlJc w:val="left"/>
        <w:pPr>
          <w:tabs>
            <w:tab w:val="num" w:pos="10638"/>
          </w:tabs>
          <w:ind w:left="10638" w:hanging="360"/>
        </w:pPr>
        <w:rPr>
          <w:rFonts w:hint="default"/>
        </w:rPr>
      </w:lvl>
    </w:lvlOverride>
    <w:lvlOverride w:ilvl="8">
      <w:lvl w:ilvl="8">
        <w:start w:val="1"/>
        <w:numFmt w:val="lowerRoman"/>
        <w:lvlText w:val="%9."/>
        <w:lvlJc w:val="right"/>
        <w:pPr>
          <w:tabs>
            <w:tab w:val="num" w:pos="11358"/>
          </w:tabs>
          <w:ind w:left="11358" w:hanging="180"/>
        </w:pPr>
        <w:rPr>
          <w:rFonts w:hint="default"/>
        </w:rPr>
      </w:lvl>
    </w:lvlOverride>
  </w:num>
  <w:num w:numId="95">
    <w:abstractNumId w:val="33"/>
    <w:lvlOverride w:ilvl="0">
      <w:lvl w:ilvl="0">
        <w:start w:val="1"/>
        <w:numFmt w:val="decimal"/>
        <w:lvlText w:val="%1."/>
        <w:lvlJc w:val="left"/>
        <w:pPr>
          <w:ind w:left="360" w:hanging="360"/>
        </w:pPr>
      </w:lvl>
    </w:lvlOverride>
  </w:num>
  <w:num w:numId="96">
    <w:abstractNumId w:val="23"/>
  </w:num>
  <w:num w:numId="97">
    <w:abstractNumId w:val="20"/>
    <w:lvlOverride w:ilvl="0">
      <w:lvl w:ilvl="0">
        <w:start w:val="1"/>
        <w:numFmt w:val="decimal"/>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98">
    <w:abstractNumId w:val="20"/>
    <w:lvlOverride w:ilvl="0">
      <w:lvl w:ilvl="0">
        <w:start w:val="1"/>
        <w:numFmt w:val="decimal"/>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99">
    <w:abstractNumId w:val="20"/>
    <w:lvlOverride w:ilvl="0">
      <w:startOverride w:val="1"/>
      <w:lvl w:ilvl="0">
        <w:start w:val="1"/>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0">
    <w:abstractNumId w:val="20"/>
    <w:lvlOverride w:ilvl="0">
      <w:startOverride w:val="1"/>
      <w:lvl w:ilvl="0">
        <w:start w:val="1"/>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1">
    <w:abstractNumId w:val="40"/>
    <w:lvlOverride w:ilvl="0">
      <w:lvl w:ilvl="0">
        <w:start w:val="1"/>
        <w:numFmt w:val="decimal"/>
        <w:pStyle w:val="Normalnumber"/>
        <w:lvlText w:val="%1."/>
        <w:lvlJc w:val="left"/>
        <w:pPr>
          <w:tabs>
            <w:tab w:val="num" w:pos="6457"/>
          </w:tabs>
          <w:ind w:left="6570"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102">
    <w:abstractNumId w:val="16"/>
  </w:num>
  <w:num w:numId="103">
    <w:abstractNumId w:val="9"/>
  </w:num>
  <w:num w:numId="104">
    <w:abstractNumId w:val="27"/>
  </w:num>
  <w:num w:numId="105">
    <w:abstractNumId w:val="20"/>
    <w:lvlOverride w:ilvl="0">
      <w:startOverride w:val="3"/>
      <w:lvl w:ilvl="0">
        <w:start w:val="3"/>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6">
    <w:abstractNumId w:val="20"/>
    <w:lvlOverride w:ilvl="0">
      <w:startOverride w:val="1"/>
      <w:lvl w:ilvl="0">
        <w:start w:val="1"/>
        <w:numFmt w:val="decimal"/>
        <w:lvlText w:val="%1."/>
        <w:lvlJc w:val="left"/>
        <w:pPr>
          <w:tabs>
            <w:tab w:val="num" w:pos="6457"/>
          </w:tabs>
          <w:ind w:left="6570" w:firstLine="0"/>
        </w:pPr>
        <w:rPr>
          <w:rFonts w:hint="default"/>
        </w:rPr>
      </w:lvl>
    </w:lvlOverride>
    <w:lvlOverride w:ilvl="1">
      <w:startOverride w:val="1"/>
      <w:lvl w:ilvl="1">
        <w:start w:val="1"/>
        <w:numFmt w:val="lowerLetter"/>
        <w:lvlText w:val="(%2)"/>
        <w:lvlJc w:val="left"/>
        <w:pPr>
          <w:tabs>
            <w:tab w:val="num" w:pos="6516"/>
          </w:tabs>
          <w:ind w:left="6629" w:firstLine="567"/>
        </w:pPr>
        <w:rPr>
          <w:rFonts w:hint="default"/>
        </w:rPr>
      </w:lvl>
    </w:lvlOverride>
    <w:lvlOverride w:ilvl="2">
      <w:startOverride w:val="1"/>
      <w:lvl w:ilvl="2">
        <w:start w:val="1"/>
        <w:numFmt w:val="lowerRoman"/>
        <w:lvlText w:val="(%3)"/>
        <w:lvlJc w:val="left"/>
        <w:pPr>
          <w:tabs>
            <w:tab w:val="num" w:pos="6516"/>
          </w:tabs>
          <w:ind w:left="8330" w:hanging="567"/>
        </w:pPr>
        <w:rPr>
          <w:rFonts w:hint="default"/>
        </w:rPr>
      </w:lvl>
    </w:lvlOverride>
    <w:lvlOverride w:ilvl="3">
      <w:startOverride w:val="1"/>
      <w:lvl w:ilvl="3">
        <w:start w:val="1"/>
        <w:numFmt w:val="lowerLetter"/>
        <w:lvlText w:val="%4."/>
        <w:lvlJc w:val="left"/>
        <w:pPr>
          <w:tabs>
            <w:tab w:val="num" w:pos="6516"/>
          </w:tabs>
          <w:ind w:left="8897" w:hanging="567"/>
        </w:pPr>
        <w:rPr>
          <w:rFonts w:hint="default"/>
        </w:rPr>
      </w:lvl>
    </w:lvlOverride>
    <w:lvlOverride w:ilvl="4">
      <w:startOverride w:val="1"/>
      <w:lvl w:ilvl="4">
        <w:start w:val="1"/>
        <w:numFmt w:val="lowerRoman"/>
        <w:lvlText w:val="%5."/>
        <w:lvlJc w:val="left"/>
        <w:pPr>
          <w:tabs>
            <w:tab w:val="num" w:pos="6516"/>
          </w:tabs>
          <w:ind w:left="9464" w:hanging="567"/>
        </w:pPr>
        <w:rPr>
          <w:rFonts w:hint="default"/>
        </w:rPr>
      </w:lvl>
    </w:lvlOverride>
    <w:lvlOverride w:ilvl="5">
      <w:startOverride w:val="1"/>
      <w:lvl w:ilvl="5">
        <w:start w:val="1"/>
        <w:numFmt w:val="lowerRoman"/>
        <w:lvlText w:val="%6."/>
        <w:lvlJc w:val="right"/>
        <w:pPr>
          <w:tabs>
            <w:tab w:val="num" w:pos="13217"/>
          </w:tabs>
          <w:ind w:left="13217" w:hanging="180"/>
        </w:pPr>
        <w:rPr>
          <w:rFonts w:hint="default"/>
        </w:rPr>
      </w:lvl>
    </w:lvlOverride>
    <w:lvlOverride w:ilvl="6">
      <w:startOverride w:val="1"/>
      <w:lvl w:ilvl="6">
        <w:start w:val="1"/>
        <w:numFmt w:val="decimal"/>
        <w:lvlText w:val="%7."/>
        <w:lvlJc w:val="left"/>
        <w:pPr>
          <w:tabs>
            <w:tab w:val="num" w:pos="13937"/>
          </w:tabs>
          <w:ind w:left="13937" w:hanging="360"/>
        </w:pPr>
        <w:rPr>
          <w:rFonts w:hint="default"/>
        </w:rPr>
      </w:lvl>
    </w:lvlOverride>
    <w:lvlOverride w:ilvl="7">
      <w:startOverride w:val="1"/>
      <w:lvl w:ilvl="7">
        <w:start w:val="1"/>
        <w:numFmt w:val="lowerLetter"/>
        <w:lvlText w:val="%8."/>
        <w:lvlJc w:val="left"/>
        <w:pPr>
          <w:tabs>
            <w:tab w:val="num" w:pos="14657"/>
          </w:tabs>
          <w:ind w:left="14657" w:hanging="360"/>
        </w:pPr>
        <w:rPr>
          <w:rFonts w:hint="default"/>
        </w:rPr>
      </w:lvl>
    </w:lvlOverride>
    <w:lvlOverride w:ilvl="8">
      <w:startOverride w:val="1"/>
      <w:lvl w:ilvl="8">
        <w:start w:val="1"/>
        <w:numFmt w:val="lowerRoman"/>
        <w:lvlText w:val="%9."/>
        <w:lvlJc w:val="right"/>
        <w:pPr>
          <w:tabs>
            <w:tab w:val="num" w:pos="15377"/>
          </w:tabs>
          <w:ind w:left="15377" w:hanging="180"/>
        </w:pPr>
        <w:rPr>
          <w:rFonts w:hint="default"/>
        </w:rPr>
      </w:lvl>
    </w:lvlOverride>
  </w:num>
  <w:num w:numId="107">
    <w:abstractNumId w:val="18"/>
  </w:num>
  <w:num w:numId="108">
    <w:abstractNumId w:val="25"/>
  </w:num>
  <w:num w:numId="109">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0">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3">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5">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0">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1">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2">
    <w:abstractNumId w:val="52"/>
  </w:num>
  <w:num w:numId="133">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34">
    <w:abstractNumId w:val="44"/>
  </w:num>
  <w:num w:numId="135">
    <w:abstractNumId w:val="28"/>
  </w:num>
  <w:num w:numId="136">
    <w:abstractNumId w:val="13"/>
  </w:num>
  <w:num w:numId="137">
    <w:abstractNumId w:val="38"/>
  </w:num>
  <w:num w:numId="138">
    <w:abstractNumId w:val="24"/>
  </w:num>
  <w:num w:numId="139">
    <w:abstractNumId w:val="35"/>
  </w:num>
  <w:num w:numId="140">
    <w:abstractNumId w:val="63"/>
  </w:num>
  <w:num w:numId="141">
    <w:abstractNumId w:val="50"/>
  </w:num>
  <w:num w:numId="142">
    <w:abstractNumId w:val="6"/>
  </w:num>
  <w:num w:numId="143">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44">
    <w:abstractNumId w:val="46"/>
  </w:num>
  <w:num w:numId="145">
    <w:abstractNumId w:val="40"/>
    <w:lvlOverride w:ilvl="0">
      <w:lvl w:ilvl="0">
        <w:start w:val="1"/>
        <w:numFmt w:val="decimal"/>
        <w:pStyle w:val="Normalnumber"/>
        <w:lvlText w:val="%1."/>
        <w:lvlJc w:val="left"/>
        <w:pPr>
          <w:ind w:left="2534" w:hanging="360"/>
        </w:pPr>
      </w:lvl>
    </w:lvlOverride>
    <w:lvlOverride w:ilvl="1">
      <w:lvl w:ilvl="1" w:tentative="1">
        <w:start w:val="1"/>
        <w:numFmt w:val="lowerLetter"/>
        <w:lvlText w:val="%2."/>
        <w:lvlJc w:val="left"/>
        <w:pPr>
          <w:ind w:left="3254" w:hanging="360"/>
        </w:pPr>
      </w:lvl>
    </w:lvlOverride>
    <w:lvlOverride w:ilvl="2">
      <w:lvl w:ilvl="2" w:tentative="1">
        <w:start w:val="1"/>
        <w:numFmt w:val="lowerRoman"/>
        <w:lvlText w:val="%3."/>
        <w:lvlJc w:val="right"/>
        <w:pPr>
          <w:ind w:left="3974" w:hanging="180"/>
        </w:pPr>
      </w:lvl>
    </w:lvlOverride>
    <w:lvlOverride w:ilvl="3">
      <w:lvl w:ilvl="3" w:tentative="1">
        <w:start w:val="1"/>
        <w:numFmt w:val="decimal"/>
        <w:lvlText w:val="%4."/>
        <w:lvlJc w:val="left"/>
        <w:pPr>
          <w:ind w:left="4694" w:hanging="360"/>
        </w:pPr>
      </w:lvl>
    </w:lvlOverride>
    <w:lvlOverride w:ilvl="4">
      <w:lvl w:ilvl="4" w:tentative="1">
        <w:start w:val="1"/>
        <w:numFmt w:val="lowerLetter"/>
        <w:lvlText w:val="%5."/>
        <w:lvlJc w:val="left"/>
        <w:pPr>
          <w:ind w:left="5414" w:hanging="360"/>
        </w:pPr>
      </w:lvl>
    </w:lvlOverride>
    <w:lvlOverride w:ilvl="5">
      <w:lvl w:ilvl="5" w:tentative="1">
        <w:start w:val="1"/>
        <w:numFmt w:val="lowerRoman"/>
        <w:lvlText w:val="%6."/>
        <w:lvlJc w:val="right"/>
        <w:pPr>
          <w:ind w:left="6134" w:hanging="180"/>
        </w:pPr>
      </w:lvl>
    </w:lvlOverride>
    <w:lvlOverride w:ilvl="6">
      <w:lvl w:ilvl="6" w:tentative="1">
        <w:start w:val="1"/>
        <w:numFmt w:val="decimal"/>
        <w:lvlText w:val="%7."/>
        <w:lvlJc w:val="left"/>
        <w:pPr>
          <w:ind w:left="6854" w:hanging="360"/>
        </w:pPr>
      </w:lvl>
    </w:lvlOverride>
    <w:lvlOverride w:ilvl="7">
      <w:lvl w:ilvl="7" w:tentative="1">
        <w:start w:val="1"/>
        <w:numFmt w:val="lowerLetter"/>
        <w:lvlText w:val="%8."/>
        <w:lvlJc w:val="left"/>
        <w:pPr>
          <w:ind w:left="7574" w:hanging="360"/>
        </w:pPr>
      </w:lvl>
    </w:lvlOverride>
    <w:lvlOverride w:ilvl="8">
      <w:lvl w:ilvl="8" w:tentative="1">
        <w:start w:val="1"/>
        <w:numFmt w:val="lowerRoman"/>
        <w:lvlText w:val="%9."/>
        <w:lvlJc w:val="right"/>
        <w:pPr>
          <w:ind w:left="8294" w:hanging="180"/>
        </w:pPr>
      </w:lvl>
    </w:lvlOverride>
  </w:num>
  <w:num w:numId="146">
    <w:abstractNumId w:val="40"/>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47">
    <w:abstractNumId w:val="20"/>
    <w:lvlOverride w:ilvl="0">
      <w:startOverride w:val="1"/>
      <w:lvl w:ilvl="0">
        <w:start w:val="1"/>
        <w:numFmt w:val="decimal"/>
        <w:lvlText w:val="%1."/>
        <w:lvlJc w:val="left"/>
        <w:pPr>
          <w:tabs>
            <w:tab w:val="num" w:pos="2497"/>
          </w:tabs>
          <w:ind w:left="2610" w:firstLine="0"/>
        </w:pPr>
        <w:rPr>
          <w:rFonts w:hint="default"/>
        </w:rPr>
      </w:lvl>
    </w:lvlOverride>
    <w:lvlOverride w:ilvl="1">
      <w:startOverride w:val="1"/>
      <w:lvl w:ilvl="1">
        <w:start w:val="1"/>
        <w:numFmt w:val="lowerLetter"/>
        <w:lvlText w:val="(%2)"/>
        <w:lvlJc w:val="left"/>
        <w:pPr>
          <w:tabs>
            <w:tab w:val="num" w:pos="2497"/>
          </w:tabs>
          <w:ind w:left="2610" w:firstLine="567"/>
        </w:pPr>
        <w:rPr>
          <w:rFonts w:hint="default"/>
        </w:rPr>
      </w:lvl>
    </w:lvlOverride>
    <w:lvlOverride w:ilvl="2">
      <w:startOverride w:val="1"/>
      <w:lvl w:ilvl="2">
        <w:start w:val="1"/>
        <w:numFmt w:val="lowerRoman"/>
        <w:lvlText w:val="(%3)"/>
        <w:lvlJc w:val="left"/>
        <w:pPr>
          <w:tabs>
            <w:tab w:val="num" w:pos="2497"/>
          </w:tabs>
          <w:ind w:left="4311" w:hanging="567"/>
        </w:pPr>
        <w:rPr>
          <w:rFonts w:hint="default"/>
        </w:rPr>
      </w:lvl>
    </w:lvlOverride>
    <w:lvlOverride w:ilvl="3">
      <w:startOverride w:val="1"/>
      <w:lvl w:ilvl="3">
        <w:start w:val="1"/>
        <w:numFmt w:val="lowerLetter"/>
        <w:lvlText w:val="%4."/>
        <w:lvlJc w:val="left"/>
        <w:pPr>
          <w:tabs>
            <w:tab w:val="num" w:pos="2497"/>
          </w:tabs>
          <w:ind w:left="4878" w:hanging="567"/>
        </w:pPr>
        <w:rPr>
          <w:rFonts w:hint="default"/>
        </w:rPr>
      </w:lvl>
    </w:lvlOverride>
    <w:lvlOverride w:ilvl="4">
      <w:startOverride w:val="1"/>
      <w:lvl w:ilvl="4">
        <w:start w:val="1"/>
        <w:numFmt w:val="lowerRoman"/>
        <w:lvlText w:val="%5."/>
        <w:lvlJc w:val="left"/>
        <w:pPr>
          <w:tabs>
            <w:tab w:val="num" w:pos="2497"/>
          </w:tabs>
          <w:ind w:left="5445" w:hanging="567"/>
        </w:pPr>
        <w:rPr>
          <w:rFonts w:hint="default"/>
        </w:rPr>
      </w:lvl>
    </w:lvlOverride>
    <w:lvlOverride w:ilvl="5">
      <w:startOverride w:val="1"/>
      <w:lvl w:ilvl="5">
        <w:start w:val="1"/>
        <w:numFmt w:val="lowerRoman"/>
        <w:lvlText w:val="%6."/>
        <w:lvlJc w:val="right"/>
        <w:pPr>
          <w:tabs>
            <w:tab w:val="num" w:pos="9198"/>
          </w:tabs>
          <w:ind w:left="9198" w:hanging="180"/>
        </w:pPr>
        <w:rPr>
          <w:rFonts w:hint="default"/>
        </w:rPr>
      </w:lvl>
    </w:lvlOverride>
    <w:lvlOverride w:ilvl="6">
      <w:startOverride w:val="1"/>
      <w:lvl w:ilvl="6">
        <w:start w:val="1"/>
        <w:numFmt w:val="decimal"/>
        <w:lvlText w:val="%7."/>
        <w:lvlJc w:val="left"/>
        <w:pPr>
          <w:tabs>
            <w:tab w:val="num" w:pos="9918"/>
          </w:tabs>
          <w:ind w:left="9918" w:hanging="360"/>
        </w:pPr>
        <w:rPr>
          <w:rFonts w:hint="default"/>
        </w:rPr>
      </w:lvl>
    </w:lvlOverride>
    <w:lvlOverride w:ilvl="7">
      <w:startOverride w:val="1"/>
      <w:lvl w:ilvl="7">
        <w:start w:val="1"/>
        <w:numFmt w:val="lowerLetter"/>
        <w:lvlText w:val="%8."/>
        <w:lvlJc w:val="left"/>
        <w:pPr>
          <w:tabs>
            <w:tab w:val="num" w:pos="10638"/>
          </w:tabs>
          <w:ind w:left="10638" w:hanging="360"/>
        </w:pPr>
        <w:rPr>
          <w:rFonts w:hint="default"/>
        </w:rPr>
      </w:lvl>
    </w:lvlOverride>
    <w:lvlOverride w:ilvl="8">
      <w:startOverride w:val="1"/>
      <w:lvl w:ilvl="8">
        <w:start w:val="1"/>
        <w:numFmt w:val="lowerRoman"/>
        <w:lvlText w:val="%9."/>
        <w:lvlJc w:val="right"/>
        <w:pPr>
          <w:tabs>
            <w:tab w:val="num" w:pos="11358"/>
          </w:tabs>
          <w:ind w:left="11358" w:hanging="180"/>
        </w:pPr>
        <w:rPr>
          <w:rFonts w:hint="default"/>
        </w:rPr>
      </w:lvl>
    </w:lvlOverride>
  </w:num>
  <w:num w:numId="148">
    <w:abstractNumId w:val="60"/>
  </w:num>
  <w:num w:numId="149">
    <w:abstractNumId w:val="39"/>
  </w:num>
  <w:num w:numId="150">
    <w:abstractNumId w:val="37"/>
  </w:num>
  <w:num w:numId="151">
    <w:abstractNumId w:val="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A2"/>
    <w:rsid w:val="0000022E"/>
    <w:rsid w:val="00000E4A"/>
    <w:rsid w:val="00000E7C"/>
    <w:rsid w:val="000024A3"/>
    <w:rsid w:val="00002EC2"/>
    <w:rsid w:val="0000389D"/>
    <w:rsid w:val="000043CD"/>
    <w:rsid w:val="0000549F"/>
    <w:rsid w:val="00006D9A"/>
    <w:rsid w:val="00010B7B"/>
    <w:rsid w:val="00011A16"/>
    <w:rsid w:val="00013AB2"/>
    <w:rsid w:val="00013E90"/>
    <w:rsid w:val="000149E6"/>
    <w:rsid w:val="0001598F"/>
    <w:rsid w:val="00021198"/>
    <w:rsid w:val="00021376"/>
    <w:rsid w:val="000218C2"/>
    <w:rsid w:val="00022456"/>
    <w:rsid w:val="000239E5"/>
    <w:rsid w:val="00023DA9"/>
    <w:rsid w:val="000243F9"/>
    <w:rsid w:val="000247B0"/>
    <w:rsid w:val="000251C7"/>
    <w:rsid w:val="00026997"/>
    <w:rsid w:val="00026A08"/>
    <w:rsid w:val="00027C3E"/>
    <w:rsid w:val="000327B6"/>
    <w:rsid w:val="00032879"/>
    <w:rsid w:val="00032E4E"/>
    <w:rsid w:val="000332FD"/>
    <w:rsid w:val="00033E0B"/>
    <w:rsid w:val="00034433"/>
    <w:rsid w:val="00034621"/>
    <w:rsid w:val="00034F89"/>
    <w:rsid w:val="00035ADA"/>
    <w:rsid w:val="00035EDE"/>
    <w:rsid w:val="00036458"/>
    <w:rsid w:val="00041662"/>
    <w:rsid w:val="00043426"/>
    <w:rsid w:val="00043547"/>
    <w:rsid w:val="00044ECA"/>
    <w:rsid w:val="000454C4"/>
    <w:rsid w:val="0004553D"/>
    <w:rsid w:val="00045D9A"/>
    <w:rsid w:val="00046FD6"/>
    <w:rsid w:val="000509B4"/>
    <w:rsid w:val="0005356F"/>
    <w:rsid w:val="000537EA"/>
    <w:rsid w:val="00055668"/>
    <w:rsid w:val="00056B8B"/>
    <w:rsid w:val="0005785D"/>
    <w:rsid w:val="000579BF"/>
    <w:rsid w:val="0006035B"/>
    <w:rsid w:val="00060565"/>
    <w:rsid w:val="0006096F"/>
    <w:rsid w:val="00062855"/>
    <w:rsid w:val="000649C5"/>
    <w:rsid w:val="00066AAA"/>
    <w:rsid w:val="00067643"/>
    <w:rsid w:val="0007046A"/>
    <w:rsid w:val="00071886"/>
    <w:rsid w:val="00072085"/>
    <w:rsid w:val="00073F16"/>
    <w:rsid w:val="000742BC"/>
    <w:rsid w:val="000750AB"/>
    <w:rsid w:val="000758C6"/>
    <w:rsid w:val="00076CC6"/>
    <w:rsid w:val="00080272"/>
    <w:rsid w:val="00082A0C"/>
    <w:rsid w:val="00083005"/>
    <w:rsid w:val="00083504"/>
    <w:rsid w:val="0008586A"/>
    <w:rsid w:val="00090E66"/>
    <w:rsid w:val="00094793"/>
    <w:rsid w:val="000954D9"/>
    <w:rsid w:val="00095742"/>
    <w:rsid w:val="00095D8B"/>
    <w:rsid w:val="00096328"/>
    <w:rsid w:val="0009640C"/>
    <w:rsid w:val="00097243"/>
    <w:rsid w:val="0009741C"/>
    <w:rsid w:val="000A0D62"/>
    <w:rsid w:val="000A1250"/>
    <w:rsid w:val="000A1412"/>
    <w:rsid w:val="000A23CC"/>
    <w:rsid w:val="000A34BE"/>
    <w:rsid w:val="000A3FD2"/>
    <w:rsid w:val="000A4330"/>
    <w:rsid w:val="000A5FF6"/>
    <w:rsid w:val="000A6632"/>
    <w:rsid w:val="000B08E4"/>
    <w:rsid w:val="000B0D5D"/>
    <w:rsid w:val="000B1241"/>
    <w:rsid w:val="000B1715"/>
    <w:rsid w:val="000B1CFB"/>
    <w:rsid w:val="000B22A2"/>
    <w:rsid w:val="000B6DEC"/>
    <w:rsid w:val="000B73F9"/>
    <w:rsid w:val="000B7D2D"/>
    <w:rsid w:val="000C04CC"/>
    <w:rsid w:val="000C2A52"/>
    <w:rsid w:val="000C3837"/>
    <w:rsid w:val="000C43AE"/>
    <w:rsid w:val="000C4E31"/>
    <w:rsid w:val="000C617D"/>
    <w:rsid w:val="000C6467"/>
    <w:rsid w:val="000C6C07"/>
    <w:rsid w:val="000C6F9D"/>
    <w:rsid w:val="000C73E1"/>
    <w:rsid w:val="000D03E6"/>
    <w:rsid w:val="000D05A2"/>
    <w:rsid w:val="000D1695"/>
    <w:rsid w:val="000D33C0"/>
    <w:rsid w:val="000D4CF6"/>
    <w:rsid w:val="000D54E2"/>
    <w:rsid w:val="000D6941"/>
    <w:rsid w:val="000D699E"/>
    <w:rsid w:val="000D6DCA"/>
    <w:rsid w:val="000D740D"/>
    <w:rsid w:val="000D7649"/>
    <w:rsid w:val="000D7CAE"/>
    <w:rsid w:val="000E0700"/>
    <w:rsid w:val="000E3E77"/>
    <w:rsid w:val="000E3FE8"/>
    <w:rsid w:val="000E706A"/>
    <w:rsid w:val="000E7502"/>
    <w:rsid w:val="000F2CBF"/>
    <w:rsid w:val="000F3466"/>
    <w:rsid w:val="000F35D8"/>
    <w:rsid w:val="000F4829"/>
    <w:rsid w:val="000F4FD2"/>
    <w:rsid w:val="000F5809"/>
    <w:rsid w:val="001003EF"/>
    <w:rsid w:val="00100615"/>
    <w:rsid w:val="00100CE1"/>
    <w:rsid w:val="001026CA"/>
    <w:rsid w:val="00102AC6"/>
    <w:rsid w:val="00104E9B"/>
    <w:rsid w:val="00106EA8"/>
    <w:rsid w:val="001106AA"/>
    <w:rsid w:val="00110D3E"/>
    <w:rsid w:val="00111B19"/>
    <w:rsid w:val="00115D7F"/>
    <w:rsid w:val="00116451"/>
    <w:rsid w:val="001169F2"/>
    <w:rsid w:val="001176CB"/>
    <w:rsid w:val="0011777E"/>
    <w:rsid w:val="00117FE0"/>
    <w:rsid w:val="001202E3"/>
    <w:rsid w:val="00122829"/>
    <w:rsid w:val="00123699"/>
    <w:rsid w:val="001241FB"/>
    <w:rsid w:val="00124A9C"/>
    <w:rsid w:val="001252E9"/>
    <w:rsid w:val="001263AD"/>
    <w:rsid w:val="00126D48"/>
    <w:rsid w:val="00127EB8"/>
    <w:rsid w:val="0013059D"/>
    <w:rsid w:val="00130797"/>
    <w:rsid w:val="0013207A"/>
    <w:rsid w:val="00132A41"/>
    <w:rsid w:val="001330D5"/>
    <w:rsid w:val="001342FE"/>
    <w:rsid w:val="00136187"/>
    <w:rsid w:val="00136AE6"/>
    <w:rsid w:val="00141A55"/>
    <w:rsid w:val="0014293F"/>
    <w:rsid w:val="0014307B"/>
    <w:rsid w:val="0014397D"/>
    <w:rsid w:val="001446A3"/>
    <w:rsid w:val="0014577F"/>
    <w:rsid w:val="0014614E"/>
    <w:rsid w:val="001506CE"/>
    <w:rsid w:val="001522F7"/>
    <w:rsid w:val="001529EA"/>
    <w:rsid w:val="00152B6B"/>
    <w:rsid w:val="00153538"/>
    <w:rsid w:val="00153B0E"/>
    <w:rsid w:val="0015431B"/>
    <w:rsid w:val="00154F67"/>
    <w:rsid w:val="00155395"/>
    <w:rsid w:val="0015570E"/>
    <w:rsid w:val="00155858"/>
    <w:rsid w:val="001565CC"/>
    <w:rsid w:val="00156B6B"/>
    <w:rsid w:val="00160D74"/>
    <w:rsid w:val="00161024"/>
    <w:rsid w:val="0016272B"/>
    <w:rsid w:val="00163F5C"/>
    <w:rsid w:val="001646EA"/>
    <w:rsid w:val="00164B3B"/>
    <w:rsid w:val="00165CE8"/>
    <w:rsid w:val="001672AD"/>
    <w:rsid w:val="0016791A"/>
    <w:rsid w:val="00167D02"/>
    <w:rsid w:val="00170B2F"/>
    <w:rsid w:val="00173DB1"/>
    <w:rsid w:val="00174A1C"/>
    <w:rsid w:val="001752E9"/>
    <w:rsid w:val="001759D8"/>
    <w:rsid w:val="0017773F"/>
    <w:rsid w:val="00177D7F"/>
    <w:rsid w:val="00180C3F"/>
    <w:rsid w:val="00181EC8"/>
    <w:rsid w:val="0018203A"/>
    <w:rsid w:val="001828CD"/>
    <w:rsid w:val="00184349"/>
    <w:rsid w:val="001843A9"/>
    <w:rsid w:val="00186A32"/>
    <w:rsid w:val="00190D01"/>
    <w:rsid w:val="00191347"/>
    <w:rsid w:val="00191B0B"/>
    <w:rsid w:val="00192079"/>
    <w:rsid w:val="00192B54"/>
    <w:rsid w:val="001945B7"/>
    <w:rsid w:val="001955F7"/>
    <w:rsid w:val="00195F33"/>
    <w:rsid w:val="001A098F"/>
    <w:rsid w:val="001A0CFD"/>
    <w:rsid w:val="001A17FB"/>
    <w:rsid w:val="001A2738"/>
    <w:rsid w:val="001A2884"/>
    <w:rsid w:val="001A52BD"/>
    <w:rsid w:val="001A5B10"/>
    <w:rsid w:val="001A5DE1"/>
    <w:rsid w:val="001A65B9"/>
    <w:rsid w:val="001A6762"/>
    <w:rsid w:val="001A6A18"/>
    <w:rsid w:val="001A7DC4"/>
    <w:rsid w:val="001B1617"/>
    <w:rsid w:val="001B226B"/>
    <w:rsid w:val="001B3A30"/>
    <w:rsid w:val="001B3BF3"/>
    <w:rsid w:val="001B4D95"/>
    <w:rsid w:val="001B4DAA"/>
    <w:rsid w:val="001B504B"/>
    <w:rsid w:val="001B60B1"/>
    <w:rsid w:val="001B6F98"/>
    <w:rsid w:val="001C0909"/>
    <w:rsid w:val="001C191A"/>
    <w:rsid w:val="001C3128"/>
    <w:rsid w:val="001C33FA"/>
    <w:rsid w:val="001C3A46"/>
    <w:rsid w:val="001C43EC"/>
    <w:rsid w:val="001C486D"/>
    <w:rsid w:val="001C4991"/>
    <w:rsid w:val="001C6171"/>
    <w:rsid w:val="001C7BD9"/>
    <w:rsid w:val="001D3874"/>
    <w:rsid w:val="001D3DBB"/>
    <w:rsid w:val="001D5071"/>
    <w:rsid w:val="001D7067"/>
    <w:rsid w:val="001D7D1A"/>
    <w:rsid w:val="001D7E33"/>
    <w:rsid w:val="001D7E75"/>
    <w:rsid w:val="001E0977"/>
    <w:rsid w:val="001E0D73"/>
    <w:rsid w:val="001E2B00"/>
    <w:rsid w:val="001E33E9"/>
    <w:rsid w:val="001E45BD"/>
    <w:rsid w:val="001E56D2"/>
    <w:rsid w:val="001E7522"/>
    <w:rsid w:val="001E7D56"/>
    <w:rsid w:val="001F0714"/>
    <w:rsid w:val="001F117F"/>
    <w:rsid w:val="001F1FA1"/>
    <w:rsid w:val="001F2C04"/>
    <w:rsid w:val="001F3FEA"/>
    <w:rsid w:val="001F42F1"/>
    <w:rsid w:val="001F5956"/>
    <w:rsid w:val="001F6803"/>
    <w:rsid w:val="001F75DE"/>
    <w:rsid w:val="00200D58"/>
    <w:rsid w:val="0020116C"/>
    <w:rsid w:val="002011C1"/>
    <w:rsid w:val="002013BE"/>
    <w:rsid w:val="0020166D"/>
    <w:rsid w:val="00201EDC"/>
    <w:rsid w:val="00203728"/>
    <w:rsid w:val="002063A4"/>
    <w:rsid w:val="00206E10"/>
    <w:rsid w:val="002101C9"/>
    <w:rsid w:val="0021116C"/>
    <w:rsid w:val="0021145B"/>
    <w:rsid w:val="002128C1"/>
    <w:rsid w:val="00214FC7"/>
    <w:rsid w:val="0021601B"/>
    <w:rsid w:val="00216ACA"/>
    <w:rsid w:val="00216AE5"/>
    <w:rsid w:val="00216CC0"/>
    <w:rsid w:val="00220193"/>
    <w:rsid w:val="002203A5"/>
    <w:rsid w:val="002207EF"/>
    <w:rsid w:val="00220C23"/>
    <w:rsid w:val="00222193"/>
    <w:rsid w:val="00222898"/>
    <w:rsid w:val="002247F6"/>
    <w:rsid w:val="00224B5F"/>
    <w:rsid w:val="00225E21"/>
    <w:rsid w:val="002313D6"/>
    <w:rsid w:val="00231837"/>
    <w:rsid w:val="00233D6E"/>
    <w:rsid w:val="00234624"/>
    <w:rsid w:val="00234E78"/>
    <w:rsid w:val="00236A69"/>
    <w:rsid w:val="00237265"/>
    <w:rsid w:val="00241AB0"/>
    <w:rsid w:val="0024227B"/>
    <w:rsid w:val="00242910"/>
    <w:rsid w:val="00242E2C"/>
    <w:rsid w:val="00243232"/>
    <w:rsid w:val="00243D36"/>
    <w:rsid w:val="00244175"/>
    <w:rsid w:val="00245004"/>
    <w:rsid w:val="00246151"/>
    <w:rsid w:val="00247707"/>
    <w:rsid w:val="002504A2"/>
    <w:rsid w:val="002529C1"/>
    <w:rsid w:val="002537ED"/>
    <w:rsid w:val="00253CC4"/>
    <w:rsid w:val="00255348"/>
    <w:rsid w:val="00255E09"/>
    <w:rsid w:val="00256F77"/>
    <w:rsid w:val="0026018E"/>
    <w:rsid w:val="00261C2B"/>
    <w:rsid w:val="00262A0E"/>
    <w:rsid w:val="00263508"/>
    <w:rsid w:val="00264654"/>
    <w:rsid w:val="00264A1C"/>
    <w:rsid w:val="002661C2"/>
    <w:rsid w:val="002724CD"/>
    <w:rsid w:val="00273D13"/>
    <w:rsid w:val="00274650"/>
    <w:rsid w:val="00274B43"/>
    <w:rsid w:val="00276380"/>
    <w:rsid w:val="00280BEC"/>
    <w:rsid w:val="00281860"/>
    <w:rsid w:val="002826D7"/>
    <w:rsid w:val="00282F59"/>
    <w:rsid w:val="00286740"/>
    <w:rsid w:val="0028700C"/>
    <w:rsid w:val="002876F6"/>
    <w:rsid w:val="00291EAE"/>
    <w:rsid w:val="002929D8"/>
    <w:rsid w:val="00296C2D"/>
    <w:rsid w:val="00297724"/>
    <w:rsid w:val="002A2029"/>
    <w:rsid w:val="002A237D"/>
    <w:rsid w:val="002A4C53"/>
    <w:rsid w:val="002A5F21"/>
    <w:rsid w:val="002B0672"/>
    <w:rsid w:val="002B0B9C"/>
    <w:rsid w:val="002B101D"/>
    <w:rsid w:val="002B247F"/>
    <w:rsid w:val="002B2810"/>
    <w:rsid w:val="002B36DE"/>
    <w:rsid w:val="002B3974"/>
    <w:rsid w:val="002B4B50"/>
    <w:rsid w:val="002B5058"/>
    <w:rsid w:val="002B50D4"/>
    <w:rsid w:val="002B58BD"/>
    <w:rsid w:val="002B58BF"/>
    <w:rsid w:val="002B6EB2"/>
    <w:rsid w:val="002B7AD6"/>
    <w:rsid w:val="002C145D"/>
    <w:rsid w:val="002C1A0C"/>
    <w:rsid w:val="002C2C3E"/>
    <w:rsid w:val="002C414F"/>
    <w:rsid w:val="002C533E"/>
    <w:rsid w:val="002C7153"/>
    <w:rsid w:val="002C72C6"/>
    <w:rsid w:val="002C7C8F"/>
    <w:rsid w:val="002D027F"/>
    <w:rsid w:val="002D0C01"/>
    <w:rsid w:val="002D1462"/>
    <w:rsid w:val="002D24DC"/>
    <w:rsid w:val="002D3E15"/>
    <w:rsid w:val="002D5E5E"/>
    <w:rsid w:val="002D7A85"/>
    <w:rsid w:val="002D7B60"/>
    <w:rsid w:val="002E001D"/>
    <w:rsid w:val="002E5C04"/>
    <w:rsid w:val="002E6FF4"/>
    <w:rsid w:val="002F29B3"/>
    <w:rsid w:val="002F2A17"/>
    <w:rsid w:val="002F467D"/>
    <w:rsid w:val="002F4761"/>
    <w:rsid w:val="002F5A2E"/>
    <w:rsid w:val="002F5C79"/>
    <w:rsid w:val="002F5DEE"/>
    <w:rsid w:val="002F60E1"/>
    <w:rsid w:val="002F68EE"/>
    <w:rsid w:val="002F74DD"/>
    <w:rsid w:val="00300885"/>
    <w:rsid w:val="003019E2"/>
    <w:rsid w:val="00303649"/>
    <w:rsid w:val="00306121"/>
    <w:rsid w:val="0030776D"/>
    <w:rsid w:val="00307AB9"/>
    <w:rsid w:val="00307C30"/>
    <w:rsid w:val="0031091E"/>
    <w:rsid w:val="00310BEB"/>
    <w:rsid w:val="00311F46"/>
    <w:rsid w:val="003129FF"/>
    <w:rsid w:val="00312CA0"/>
    <w:rsid w:val="003133C3"/>
    <w:rsid w:val="00313E0B"/>
    <w:rsid w:val="0031413F"/>
    <w:rsid w:val="00314854"/>
    <w:rsid w:val="003148BB"/>
    <w:rsid w:val="00317976"/>
    <w:rsid w:val="00317A0A"/>
    <w:rsid w:val="00320F2F"/>
    <w:rsid w:val="0032332D"/>
    <w:rsid w:val="00324CEC"/>
    <w:rsid w:val="00325D38"/>
    <w:rsid w:val="003262FC"/>
    <w:rsid w:val="003278FE"/>
    <w:rsid w:val="003305DD"/>
    <w:rsid w:val="003307EB"/>
    <w:rsid w:val="003354DA"/>
    <w:rsid w:val="00336974"/>
    <w:rsid w:val="0033707B"/>
    <w:rsid w:val="00342857"/>
    <w:rsid w:val="003444C4"/>
    <w:rsid w:val="00345023"/>
    <w:rsid w:val="003463B8"/>
    <w:rsid w:val="00347052"/>
    <w:rsid w:val="00347D8C"/>
    <w:rsid w:val="0035087C"/>
    <w:rsid w:val="00350FE0"/>
    <w:rsid w:val="00351758"/>
    <w:rsid w:val="00351AA1"/>
    <w:rsid w:val="003537FA"/>
    <w:rsid w:val="00354290"/>
    <w:rsid w:val="003554B6"/>
    <w:rsid w:val="00355EA9"/>
    <w:rsid w:val="003578DE"/>
    <w:rsid w:val="00360574"/>
    <w:rsid w:val="00361688"/>
    <w:rsid w:val="003644FF"/>
    <w:rsid w:val="003653D9"/>
    <w:rsid w:val="00365D13"/>
    <w:rsid w:val="00366C5B"/>
    <w:rsid w:val="003704B5"/>
    <w:rsid w:val="00370C3A"/>
    <w:rsid w:val="00370DEE"/>
    <w:rsid w:val="003722E1"/>
    <w:rsid w:val="00373A08"/>
    <w:rsid w:val="00373E7E"/>
    <w:rsid w:val="00374680"/>
    <w:rsid w:val="00375F71"/>
    <w:rsid w:val="00380E3C"/>
    <w:rsid w:val="00380FDA"/>
    <w:rsid w:val="00381BBA"/>
    <w:rsid w:val="00382005"/>
    <w:rsid w:val="003825B6"/>
    <w:rsid w:val="0038291F"/>
    <w:rsid w:val="00383BB4"/>
    <w:rsid w:val="003847EC"/>
    <w:rsid w:val="00385738"/>
    <w:rsid w:val="00385C33"/>
    <w:rsid w:val="00386FE5"/>
    <w:rsid w:val="003877BA"/>
    <w:rsid w:val="003877D5"/>
    <w:rsid w:val="003929B8"/>
    <w:rsid w:val="00393502"/>
    <w:rsid w:val="00396257"/>
    <w:rsid w:val="00396CDB"/>
    <w:rsid w:val="003979D8"/>
    <w:rsid w:val="00397B3B"/>
    <w:rsid w:val="00397EB8"/>
    <w:rsid w:val="003A278D"/>
    <w:rsid w:val="003A4FD0"/>
    <w:rsid w:val="003A69D1"/>
    <w:rsid w:val="003A7705"/>
    <w:rsid w:val="003A77F1"/>
    <w:rsid w:val="003B0298"/>
    <w:rsid w:val="003B1130"/>
    <w:rsid w:val="003B1545"/>
    <w:rsid w:val="003B36AF"/>
    <w:rsid w:val="003B3A67"/>
    <w:rsid w:val="003B4886"/>
    <w:rsid w:val="003B4D06"/>
    <w:rsid w:val="003B5D8A"/>
    <w:rsid w:val="003B687C"/>
    <w:rsid w:val="003B6968"/>
    <w:rsid w:val="003C2FB8"/>
    <w:rsid w:val="003C3219"/>
    <w:rsid w:val="003C409D"/>
    <w:rsid w:val="003C54B3"/>
    <w:rsid w:val="003C5583"/>
    <w:rsid w:val="003C5BA6"/>
    <w:rsid w:val="003C68F5"/>
    <w:rsid w:val="003C74CF"/>
    <w:rsid w:val="003D0C99"/>
    <w:rsid w:val="003D1BB0"/>
    <w:rsid w:val="003D2AA2"/>
    <w:rsid w:val="003D2E49"/>
    <w:rsid w:val="003D2F30"/>
    <w:rsid w:val="003D2F78"/>
    <w:rsid w:val="003D3140"/>
    <w:rsid w:val="003D32F9"/>
    <w:rsid w:val="003D3447"/>
    <w:rsid w:val="003D3752"/>
    <w:rsid w:val="003D59AA"/>
    <w:rsid w:val="003D7A7D"/>
    <w:rsid w:val="003E2416"/>
    <w:rsid w:val="003E2BCD"/>
    <w:rsid w:val="003E3369"/>
    <w:rsid w:val="003E35DA"/>
    <w:rsid w:val="003E455D"/>
    <w:rsid w:val="003E4899"/>
    <w:rsid w:val="003E5DA1"/>
    <w:rsid w:val="003E6A1E"/>
    <w:rsid w:val="003F0E85"/>
    <w:rsid w:val="003F102E"/>
    <w:rsid w:val="003F2468"/>
    <w:rsid w:val="003F5877"/>
    <w:rsid w:val="003F5CB5"/>
    <w:rsid w:val="003F5CB9"/>
    <w:rsid w:val="003F7621"/>
    <w:rsid w:val="0040139E"/>
    <w:rsid w:val="0040169D"/>
    <w:rsid w:val="004049FC"/>
    <w:rsid w:val="00404E8A"/>
    <w:rsid w:val="00405003"/>
    <w:rsid w:val="00405800"/>
    <w:rsid w:val="00406514"/>
    <w:rsid w:val="00406DF1"/>
    <w:rsid w:val="00410C55"/>
    <w:rsid w:val="0041238C"/>
    <w:rsid w:val="00412A7A"/>
    <w:rsid w:val="0041342C"/>
    <w:rsid w:val="00415C7B"/>
    <w:rsid w:val="00416854"/>
    <w:rsid w:val="00416A5D"/>
    <w:rsid w:val="00417725"/>
    <w:rsid w:val="00417F5F"/>
    <w:rsid w:val="00420467"/>
    <w:rsid w:val="00420546"/>
    <w:rsid w:val="00420597"/>
    <w:rsid w:val="00420CE3"/>
    <w:rsid w:val="004211A6"/>
    <w:rsid w:val="0042266F"/>
    <w:rsid w:val="00422837"/>
    <w:rsid w:val="00423175"/>
    <w:rsid w:val="0042379C"/>
    <w:rsid w:val="0042431C"/>
    <w:rsid w:val="004256D8"/>
    <w:rsid w:val="004264F6"/>
    <w:rsid w:val="004270BB"/>
    <w:rsid w:val="004277C0"/>
    <w:rsid w:val="00430176"/>
    <w:rsid w:val="00433F39"/>
    <w:rsid w:val="004347BF"/>
    <w:rsid w:val="00434D08"/>
    <w:rsid w:val="00435A59"/>
    <w:rsid w:val="00435C4C"/>
    <w:rsid w:val="00435E4C"/>
    <w:rsid w:val="004362D2"/>
    <w:rsid w:val="00437E02"/>
    <w:rsid w:val="00437F26"/>
    <w:rsid w:val="00441EA3"/>
    <w:rsid w:val="0044320F"/>
    <w:rsid w:val="00443A39"/>
    <w:rsid w:val="00443ABC"/>
    <w:rsid w:val="00444097"/>
    <w:rsid w:val="004450E4"/>
    <w:rsid w:val="00445487"/>
    <w:rsid w:val="004466E7"/>
    <w:rsid w:val="00446F6E"/>
    <w:rsid w:val="00447E0D"/>
    <w:rsid w:val="004503B1"/>
    <w:rsid w:val="00451335"/>
    <w:rsid w:val="00454769"/>
    <w:rsid w:val="004555A8"/>
    <w:rsid w:val="004556E2"/>
    <w:rsid w:val="004576D8"/>
    <w:rsid w:val="00457EAC"/>
    <w:rsid w:val="004602EF"/>
    <w:rsid w:val="004623BC"/>
    <w:rsid w:val="00462534"/>
    <w:rsid w:val="00463228"/>
    <w:rsid w:val="00466991"/>
    <w:rsid w:val="00466A7C"/>
    <w:rsid w:val="00467EA8"/>
    <w:rsid w:val="0047064C"/>
    <w:rsid w:val="00471BBA"/>
    <w:rsid w:val="00471E05"/>
    <w:rsid w:val="00471EB1"/>
    <w:rsid w:val="0047458D"/>
    <w:rsid w:val="00474877"/>
    <w:rsid w:val="00476A27"/>
    <w:rsid w:val="004818DE"/>
    <w:rsid w:val="00481C57"/>
    <w:rsid w:val="004822B7"/>
    <w:rsid w:val="004832F5"/>
    <w:rsid w:val="00486460"/>
    <w:rsid w:val="0048756B"/>
    <w:rsid w:val="004912A1"/>
    <w:rsid w:val="00491AF5"/>
    <w:rsid w:val="00491B9A"/>
    <w:rsid w:val="00491E43"/>
    <w:rsid w:val="0049469E"/>
    <w:rsid w:val="004969AF"/>
    <w:rsid w:val="00496AFB"/>
    <w:rsid w:val="00496DCA"/>
    <w:rsid w:val="004A09E9"/>
    <w:rsid w:val="004A0A95"/>
    <w:rsid w:val="004A10DC"/>
    <w:rsid w:val="004A19B3"/>
    <w:rsid w:val="004A2088"/>
    <w:rsid w:val="004A2217"/>
    <w:rsid w:val="004A2255"/>
    <w:rsid w:val="004A24F9"/>
    <w:rsid w:val="004A3543"/>
    <w:rsid w:val="004A42B6"/>
    <w:rsid w:val="004A42E1"/>
    <w:rsid w:val="004A5782"/>
    <w:rsid w:val="004A5810"/>
    <w:rsid w:val="004A62DB"/>
    <w:rsid w:val="004A716B"/>
    <w:rsid w:val="004B06DB"/>
    <w:rsid w:val="004B090E"/>
    <w:rsid w:val="004B0C2D"/>
    <w:rsid w:val="004B162C"/>
    <w:rsid w:val="004B1961"/>
    <w:rsid w:val="004B1A6D"/>
    <w:rsid w:val="004B1EB0"/>
    <w:rsid w:val="004B2710"/>
    <w:rsid w:val="004B2ABE"/>
    <w:rsid w:val="004B422E"/>
    <w:rsid w:val="004B5DDB"/>
    <w:rsid w:val="004B6984"/>
    <w:rsid w:val="004B7CFC"/>
    <w:rsid w:val="004B7FFA"/>
    <w:rsid w:val="004C3140"/>
    <w:rsid w:val="004C38F9"/>
    <w:rsid w:val="004C3C6A"/>
    <w:rsid w:val="004C3DBE"/>
    <w:rsid w:val="004C3EA9"/>
    <w:rsid w:val="004C509C"/>
    <w:rsid w:val="004C5C96"/>
    <w:rsid w:val="004C77DF"/>
    <w:rsid w:val="004D0468"/>
    <w:rsid w:val="004D06A4"/>
    <w:rsid w:val="004D16C6"/>
    <w:rsid w:val="004D1F6B"/>
    <w:rsid w:val="004D334C"/>
    <w:rsid w:val="004D6418"/>
    <w:rsid w:val="004D6C4B"/>
    <w:rsid w:val="004D72A9"/>
    <w:rsid w:val="004E1EE1"/>
    <w:rsid w:val="004E5BB6"/>
    <w:rsid w:val="004E692D"/>
    <w:rsid w:val="004E750E"/>
    <w:rsid w:val="004F0BA3"/>
    <w:rsid w:val="004F1A81"/>
    <w:rsid w:val="004F5F96"/>
    <w:rsid w:val="00500136"/>
    <w:rsid w:val="00501A96"/>
    <w:rsid w:val="00502B37"/>
    <w:rsid w:val="005050D2"/>
    <w:rsid w:val="005055F6"/>
    <w:rsid w:val="005067AA"/>
    <w:rsid w:val="005067C1"/>
    <w:rsid w:val="00506D8B"/>
    <w:rsid w:val="0050700D"/>
    <w:rsid w:val="00510296"/>
    <w:rsid w:val="005108E4"/>
    <w:rsid w:val="00512CC1"/>
    <w:rsid w:val="0051380D"/>
    <w:rsid w:val="00513B7F"/>
    <w:rsid w:val="00514A73"/>
    <w:rsid w:val="00515971"/>
    <w:rsid w:val="0051712D"/>
    <w:rsid w:val="005173D7"/>
    <w:rsid w:val="00517FB7"/>
    <w:rsid w:val="005218D9"/>
    <w:rsid w:val="00523E89"/>
    <w:rsid w:val="0052531C"/>
    <w:rsid w:val="0052572E"/>
    <w:rsid w:val="00527BF9"/>
    <w:rsid w:val="00530193"/>
    <w:rsid w:val="005322CC"/>
    <w:rsid w:val="0053406F"/>
    <w:rsid w:val="00534454"/>
    <w:rsid w:val="00534D75"/>
    <w:rsid w:val="00535B48"/>
    <w:rsid w:val="00536186"/>
    <w:rsid w:val="00536C5A"/>
    <w:rsid w:val="00537188"/>
    <w:rsid w:val="00537715"/>
    <w:rsid w:val="0053776D"/>
    <w:rsid w:val="0054065C"/>
    <w:rsid w:val="00541C22"/>
    <w:rsid w:val="00542948"/>
    <w:rsid w:val="00544B5C"/>
    <w:rsid w:val="00544CBB"/>
    <w:rsid w:val="00544D53"/>
    <w:rsid w:val="005476C8"/>
    <w:rsid w:val="0055090B"/>
    <w:rsid w:val="00552F86"/>
    <w:rsid w:val="00553FB8"/>
    <w:rsid w:val="0055581E"/>
    <w:rsid w:val="0055688C"/>
    <w:rsid w:val="00562DF8"/>
    <w:rsid w:val="005638B4"/>
    <w:rsid w:val="005656D7"/>
    <w:rsid w:val="0056606E"/>
    <w:rsid w:val="0056639D"/>
    <w:rsid w:val="00566B5E"/>
    <w:rsid w:val="00566CAE"/>
    <w:rsid w:val="00570988"/>
    <w:rsid w:val="00570D64"/>
    <w:rsid w:val="0057315F"/>
    <w:rsid w:val="00573829"/>
    <w:rsid w:val="00574BCF"/>
    <w:rsid w:val="00576104"/>
    <w:rsid w:val="005764AC"/>
    <w:rsid w:val="00576E52"/>
    <w:rsid w:val="00577B67"/>
    <w:rsid w:val="0058006A"/>
    <w:rsid w:val="0058513D"/>
    <w:rsid w:val="00585C4C"/>
    <w:rsid w:val="00587B95"/>
    <w:rsid w:val="00590029"/>
    <w:rsid w:val="00590213"/>
    <w:rsid w:val="00591FB4"/>
    <w:rsid w:val="0059201E"/>
    <w:rsid w:val="00592B21"/>
    <w:rsid w:val="0059352D"/>
    <w:rsid w:val="0059523F"/>
    <w:rsid w:val="0059579E"/>
    <w:rsid w:val="00596E76"/>
    <w:rsid w:val="0059785C"/>
    <w:rsid w:val="00597B27"/>
    <w:rsid w:val="005A0849"/>
    <w:rsid w:val="005A092D"/>
    <w:rsid w:val="005A10DC"/>
    <w:rsid w:val="005A4AA3"/>
    <w:rsid w:val="005B400C"/>
    <w:rsid w:val="005B41D7"/>
    <w:rsid w:val="005B44BF"/>
    <w:rsid w:val="005B52AF"/>
    <w:rsid w:val="005B5724"/>
    <w:rsid w:val="005B7EE1"/>
    <w:rsid w:val="005C1027"/>
    <w:rsid w:val="005C411E"/>
    <w:rsid w:val="005C4FDB"/>
    <w:rsid w:val="005C67C8"/>
    <w:rsid w:val="005C6F09"/>
    <w:rsid w:val="005C73B2"/>
    <w:rsid w:val="005C783E"/>
    <w:rsid w:val="005D0249"/>
    <w:rsid w:val="005D1519"/>
    <w:rsid w:val="005D18FA"/>
    <w:rsid w:val="005D363C"/>
    <w:rsid w:val="005D4FD4"/>
    <w:rsid w:val="005D5272"/>
    <w:rsid w:val="005D6CB7"/>
    <w:rsid w:val="005D6E8C"/>
    <w:rsid w:val="005D7E40"/>
    <w:rsid w:val="005E175E"/>
    <w:rsid w:val="005E2B18"/>
    <w:rsid w:val="005E2CC3"/>
    <w:rsid w:val="005E3004"/>
    <w:rsid w:val="005E3B0E"/>
    <w:rsid w:val="005E40F6"/>
    <w:rsid w:val="005E4CB4"/>
    <w:rsid w:val="005E6ED1"/>
    <w:rsid w:val="005E79AE"/>
    <w:rsid w:val="005E7C35"/>
    <w:rsid w:val="005F0005"/>
    <w:rsid w:val="005F007D"/>
    <w:rsid w:val="005F100C"/>
    <w:rsid w:val="005F35AD"/>
    <w:rsid w:val="005F4873"/>
    <w:rsid w:val="005F5EBC"/>
    <w:rsid w:val="005F62B2"/>
    <w:rsid w:val="005F68DA"/>
    <w:rsid w:val="005F6D93"/>
    <w:rsid w:val="005F775E"/>
    <w:rsid w:val="00600603"/>
    <w:rsid w:val="006006BB"/>
    <w:rsid w:val="006007E0"/>
    <w:rsid w:val="00600E8C"/>
    <w:rsid w:val="00601BC9"/>
    <w:rsid w:val="00603BE8"/>
    <w:rsid w:val="0060695B"/>
    <w:rsid w:val="0060773B"/>
    <w:rsid w:val="006101A8"/>
    <w:rsid w:val="0061080B"/>
    <w:rsid w:val="00612226"/>
    <w:rsid w:val="006127C6"/>
    <w:rsid w:val="00612879"/>
    <w:rsid w:val="00613FD6"/>
    <w:rsid w:val="00615469"/>
    <w:rsid w:val="006157B5"/>
    <w:rsid w:val="00615E27"/>
    <w:rsid w:val="00615F7E"/>
    <w:rsid w:val="00616658"/>
    <w:rsid w:val="00617224"/>
    <w:rsid w:val="00621DFF"/>
    <w:rsid w:val="00622C4E"/>
    <w:rsid w:val="006239E3"/>
    <w:rsid w:val="0062693A"/>
    <w:rsid w:val="00626FC6"/>
    <w:rsid w:val="0062749D"/>
    <w:rsid w:val="006303B4"/>
    <w:rsid w:val="0063082E"/>
    <w:rsid w:val="00630ADC"/>
    <w:rsid w:val="0063203C"/>
    <w:rsid w:val="00632CF8"/>
    <w:rsid w:val="00632FA8"/>
    <w:rsid w:val="00633D3D"/>
    <w:rsid w:val="006341EF"/>
    <w:rsid w:val="00634480"/>
    <w:rsid w:val="00634756"/>
    <w:rsid w:val="00634B57"/>
    <w:rsid w:val="00636926"/>
    <w:rsid w:val="006371F0"/>
    <w:rsid w:val="0063768B"/>
    <w:rsid w:val="00641022"/>
    <w:rsid w:val="00641703"/>
    <w:rsid w:val="006431A6"/>
    <w:rsid w:val="006432A8"/>
    <w:rsid w:val="00643E3A"/>
    <w:rsid w:val="006459F6"/>
    <w:rsid w:val="00645A71"/>
    <w:rsid w:val="00646389"/>
    <w:rsid w:val="006501AD"/>
    <w:rsid w:val="00650FFD"/>
    <w:rsid w:val="0065146D"/>
    <w:rsid w:val="00651557"/>
    <w:rsid w:val="00651622"/>
    <w:rsid w:val="00651BFA"/>
    <w:rsid w:val="00651E3B"/>
    <w:rsid w:val="006538C6"/>
    <w:rsid w:val="00654183"/>
    <w:rsid w:val="0065419F"/>
    <w:rsid w:val="00654475"/>
    <w:rsid w:val="00655FF4"/>
    <w:rsid w:val="00656DF0"/>
    <w:rsid w:val="00657A5E"/>
    <w:rsid w:val="00663FD7"/>
    <w:rsid w:val="00664140"/>
    <w:rsid w:val="006643F9"/>
    <w:rsid w:val="006650E6"/>
    <w:rsid w:val="00665A4B"/>
    <w:rsid w:val="006670E3"/>
    <w:rsid w:val="00671089"/>
    <w:rsid w:val="00671300"/>
    <w:rsid w:val="0067176F"/>
    <w:rsid w:val="00672A36"/>
    <w:rsid w:val="00674705"/>
    <w:rsid w:val="006759FB"/>
    <w:rsid w:val="00675DC3"/>
    <w:rsid w:val="0067672B"/>
    <w:rsid w:val="006800CB"/>
    <w:rsid w:val="00680242"/>
    <w:rsid w:val="00681C59"/>
    <w:rsid w:val="00682A3C"/>
    <w:rsid w:val="00685CE6"/>
    <w:rsid w:val="00686033"/>
    <w:rsid w:val="00692E2A"/>
    <w:rsid w:val="006947B4"/>
    <w:rsid w:val="00696701"/>
    <w:rsid w:val="006979AD"/>
    <w:rsid w:val="006A01FD"/>
    <w:rsid w:val="006A09F5"/>
    <w:rsid w:val="006A2DE9"/>
    <w:rsid w:val="006A4038"/>
    <w:rsid w:val="006A49F4"/>
    <w:rsid w:val="006A50B6"/>
    <w:rsid w:val="006A5857"/>
    <w:rsid w:val="006A76F2"/>
    <w:rsid w:val="006A7F55"/>
    <w:rsid w:val="006B1CCB"/>
    <w:rsid w:val="006B1D40"/>
    <w:rsid w:val="006B436C"/>
    <w:rsid w:val="006B628D"/>
    <w:rsid w:val="006B7E1B"/>
    <w:rsid w:val="006C00E8"/>
    <w:rsid w:val="006C2CFE"/>
    <w:rsid w:val="006C4D1A"/>
    <w:rsid w:val="006C5011"/>
    <w:rsid w:val="006C50A0"/>
    <w:rsid w:val="006C5226"/>
    <w:rsid w:val="006C64B8"/>
    <w:rsid w:val="006D0502"/>
    <w:rsid w:val="006D0FAE"/>
    <w:rsid w:val="006D19D4"/>
    <w:rsid w:val="006D34E6"/>
    <w:rsid w:val="006D3FEF"/>
    <w:rsid w:val="006D49B8"/>
    <w:rsid w:val="006D523F"/>
    <w:rsid w:val="006D7EFB"/>
    <w:rsid w:val="006E09A4"/>
    <w:rsid w:val="006E0F4E"/>
    <w:rsid w:val="006E4A56"/>
    <w:rsid w:val="006E5420"/>
    <w:rsid w:val="006E549D"/>
    <w:rsid w:val="006E6672"/>
    <w:rsid w:val="006E66EB"/>
    <w:rsid w:val="006E6722"/>
    <w:rsid w:val="006E6B63"/>
    <w:rsid w:val="006E7657"/>
    <w:rsid w:val="006E7CB8"/>
    <w:rsid w:val="006F163C"/>
    <w:rsid w:val="006F1A8B"/>
    <w:rsid w:val="006F34F6"/>
    <w:rsid w:val="006F43FC"/>
    <w:rsid w:val="006F4DDF"/>
    <w:rsid w:val="006F544D"/>
    <w:rsid w:val="006F5786"/>
    <w:rsid w:val="006F64C0"/>
    <w:rsid w:val="006F6E1F"/>
    <w:rsid w:val="006F7AFF"/>
    <w:rsid w:val="006F7FE0"/>
    <w:rsid w:val="00700F42"/>
    <w:rsid w:val="00701403"/>
    <w:rsid w:val="0070207F"/>
    <w:rsid w:val="007027B9"/>
    <w:rsid w:val="00702BD1"/>
    <w:rsid w:val="007044D6"/>
    <w:rsid w:val="007066B5"/>
    <w:rsid w:val="007079A0"/>
    <w:rsid w:val="00710835"/>
    <w:rsid w:val="00710A9D"/>
    <w:rsid w:val="00712BF1"/>
    <w:rsid w:val="007145DA"/>
    <w:rsid w:val="00714B25"/>
    <w:rsid w:val="007159C4"/>
    <w:rsid w:val="00715E88"/>
    <w:rsid w:val="00716135"/>
    <w:rsid w:val="007164BF"/>
    <w:rsid w:val="00716B4C"/>
    <w:rsid w:val="007216DD"/>
    <w:rsid w:val="00721CE8"/>
    <w:rsid w:val="00722826"/>
    <w:rsid w:val="00723E5B"/>
    <w:rsid w:val="00726A4D"/>
    <w:rsid w:val="00727639"/>
    <w:rsid w:val="007305F7"/>
    <w:rsid w:val="00732C83"/>
    <w:rsid w:val="00733327"/>
    <w:rsid w:val="00734CAA"/>
    <w:rsid w:val="00735BFD"/>
    <w:rsid w:val="0073799E"/>
    <w:rsid w:val="00737B0C"/>
    <w:rsid w:val="00740F63"/>
    <w:rsid w:val="0074125E"/>
    <w:rsid w:val="00742680"/>
    <w:rsid w:val="007428DB"/>
    <w:rsid w:val="00744AE3"/>
    <w:rsid w:val="00747331"/>
    <w:rsid w:val="00747583"/>
    <w:rsid w:val="00750087"/>
    <w:rsid w:val="00751051"/>
    <w:rsid w:val="0075107C"/>
    <w:rsid w:val="0075194B"/>
    <w:rsid w:val="00752323"/>
    <w:rsid w:val="007524FD"/>
    <w:rsid w:val="0075533C"/>
    <w:rsid w:val="00756E54"/>
    <w:rsid w:val="00757581"/>
    <w:rsid w:val="007602F5"/>
    <w:rsid w:val="00760333"/>
    <w:rsid w:val="00760D36"/>
    <w:rsid w:val="007611A0"/>
    <w:rsid w:val="00761D5F"/>
    <w:rsid w:val="00762C4F"/>
    <w:rsid w:val="007634CC"/>
    <w:rsid w:val="00763D9A"/>
    <w:rsid w:val="00766575"/>
    <w:rsid w:val="0077077D"/>
    <w:rsid w:val="00773E54"/>
    <w:rsid w:val="0077654D"/>
    <w:rsid w:val="00776922"/>
    <w:rsid w:val="00777E38"/>
    <w:rsid w:val="00781BDE"/>
    <w:rsid w:val="0078268C"/>
    <w:rsid w:val="00783909"/>
    <w:rsid w:val="00785FA7"/>
    <w:rsid w:val="00787688"/>
    <w:rsid w:val="007935E6"/>
    <w:rsid w:val="007936EC"/>
    <w:rsid w:val="00794C7D"/>
    <w:rsid w:val="0079602E"/>
    <w:rsid w:val="00796D3F"/>
    <w:rsid w:val="007A1220"/>
    <w:rsid w:val="007A1683"/>
    <w:rsid w:val="007A1853"/>
    <w:rsid w:val="007A2C0E"/>
    <w:rsid w:val="007A45E0"/>
    <w:rsid w:val="007A4AEE"/>
    <w:rsid w:val="007A5420"/>
    <w:rsid w:val="007A591F"/>
    <w:rsid w:val="007A5C12"/>
    <w:rsid w:val="007A65F8"/>
    <w:rsid w:val="007A72F1"/>
    <w:rsid w:val="007A7CB0"/>
    <w:rsid w:val="007B1D74"/>
    <w:rsid w:val="007B55DE"/>
    <w:rsid w:val="007B59B7"/>
    <w:rsid w:val="007B68A3"/>
    <w:rsid w:val="007B6941"/>
    <w:rsid w:val="007B7D0C"/>
    <w:rsid w:val="007C2541"/>
    <w:rsid w:val="007C258E"/>
    <w:rsid w:val="007C2719"/>
    <w:rsid w:val="007C4506"/>
    <w:rsid w:val="007C4F8F"/>
    <w:rsid w:val="007C51DA"/>
    <w:rsid w:val="007D1790"/>
    <w:rsid w:val="007D36D4"/>
    <w:rsid w:val="007D3BFA"/>
    <w:rsid w:val="007D66A8"/>
    <w:rsid w:val="007D6C59"/>
    <w:rsid w:val="007D6E77"/>
    <w:rsid w:val="007D6F1B"/>
    <w:rsid w:val="007E003F"/>
    <w:rsid w:val="007E1064"/>
    <w:rsid w:val="007E25EA"/>
    <w:rsid w:val="007E29CA"/>
    <w:rsid w:val="007E304A"/>
    <w:rsid w:val="007E32D5"/>
    <w:rsid w:val="007E4291"/>
    <w:rsid w:val="007E5DF0"/>
    <w:rsid w:val="007E69F3"/>
    <w:rsid w:val="007F089B"/>
    <w:rsid w:val="007F0CF8"/>
    <w:rsid w:val="007F1CCC"/>
    <w:rsid w:val="007F376B"/>
    <w:rsid w:val="007F4CF5"/>
    <w:rsid w:val="007F5083"/>
    <w:rsid w:val="007F553D"/>
    <w:rsid w:val="007F62CB"/>
    <w:rsid w:val="007F6457"/>
    <w:rsid w:val="007F73B8"/>
    <w:rsid w:val="00801EB8"/>
    <w:rsid w:val="00802727"/>
    <w:rsid w:val="00811651"/>
    <w:rsid w:val="00812B91"/>
    <w:rsid w:val="00813C78"/>
    <w:rsid w:val="00813CDC"/>
    <w:rsid w:val="008142EC"/>
    <w:rsid w:val="00814CC9"/>
    <w:rsid w:val="008164F2"/>
    <w:rsid w:val="008175CE"/>
    <w:rsid w:val="00820081"/>
    <w:rsid w:val="0082107A"/>
    <w:rsid w:val="00821395"/>
    <w:rsid w:val="00821C9B"/>
    <w:rsid w:val="00824911"/>
    <w:rsid w:val="008278CC"/>
    <w:rsid w:val="00827953"/>
    <w:rsid w:val="00830E26"/>
    <w:rsid w:val="00833B5C"/>
    <w:rsid w:val="008344FD"/>
    <w:rsid w:val="00835B01"/>
    <w:rsid w:val="00836222"/>
    <w:rsid w:val="008362F7"/>
    <w:rsid w:val="008370BD"/>
    <w:rsid w:val="00837612"/>
    <w:rsid w:val="00837FB8"/>
    <w:rsid w:val="008400FC"/>
    <w:rsid w:val="0084024C"/>
    <w:rsid w:val="008420CB"/>
    <w:rsid w:val="00842264"/>
    <w:rsid w:val="00842887"/>
    <w:rsid w:val="00843576"/>
    <w:rsid w:val="0084398C"/>
    <w:rsid w:val="00843B64"/>
    <w:rsid w:val="00844890"/>
    <w:rsid w:val="00845253"/>
    <w:rsid w:val="008458EB"/>
    <w:rsid w:val="008478FC"/>
    <w:rsid w:val="00847A44"/>
    <w:rsid w:val="00847B3A"/>
    <w:rsid w:val="00851C51"/>
    <w:rsid w:val="008529CB"/>
    <w:rsid w:val="0085588F"/>
    <w:rsid w:val="00856747"/>
    <w:rsid w:val="00856818"/>
    <w:rsid w:val="0086001A"/>
    <w:rsid w:val="00861D87"/>
    <w:rsid w:val="008651FB"/>
    <w:rsid w:val="008659BA"/>
    <w:rsid w:val="008665B4"/>
    <w:rsid w:val="00866CC7"/>
    <w:rsid w:val="00867BFF"/>
    <w:rsid w:val="00867CAA"/>
    <w:rsid w:val="00867FEB"/>
    <w:rsid w:val="008704D0"/>
    <w:rsid w:val="00871542"/>
    <w:rsid w:val="00872548"/>
    <w:rsid w:val="00872BF6"/>
    <w:rsid w:val="0087346E"/>
    <w:rsid w:val="008736ED"/>
    <w:rsid w:val="00873BBA"/>
    <w:rsid w:val="008761D5"/>
    <w:rsid w:val="00876602"/>
    <w:rsid w:val="008773D3"/>
    <w:rsid w:val="00877A22"/>
    <w:rsid w:val="00877C5F"/>
    <w:rsid w:val="0088200B"/>
    <w:rsid w:val="00882821"/>
    <w:rsid w:val="00882BBA"/>
    <w:rsid w:val="008839EF"/>
    <w:rsid w:val="00884409"/>
    <w:rsid w:val="0088480A"/>
    <w:rsid w:val="008854B5"/>
    <w:rsid w:val="0088757A"/>
    <w:rsid w:val="0088777D"/>
    <w:rsid w:val="00887D41"/>
    <w:rsid w:val="00890593"/>
    <w:rsid w:val="00890EB4"/>
    <w:rsid w:val="00891A87"/>
    <w:rsid w:val="0089324F"/>
    <w:rsid w:val="0089387D"/>
    <w:rsid w:val="00893A6E"/>
    <w:rsid w:val="0089431B"/>
    <w:rsid w:val="00895668"/>
    <w:rsid w:val="008957DD"/>
    <w:rsid w:val="00895B18"/>
    <w:rsid w:val="00897529"/>
    <w:rsid w:val="00897D98"/>
    <w:rsid w:val="008A0B2A"/>
    <w:rsid w:val="008A0EEC"/>
    <w:rsid w:val="008A1141"/>
    <w:rsid w:val="008A1B56"/>
    <w:rsid w:val="008A2FF0"/>
    <w:rsid w:val="008A30C7"/>
    <w:rsid w:val="008A3199"/>
    <w:rsid w:val="008A3923"/>
    <w:rsid w:val="008A4405"/>
    <w:rsid w:val="008A6ABD"/>
    <w:rsid w:val="008A6DF2"/>
    <w:rsid w:val="008A7766"/>
    <w:rsid w:val="008A7807"/>
    <w:rsid w:val="008B11EF"/>
    <w:rsid w:val="008B19D2"/>
    <w:rsid w:val="008B4CC9"/>
    <w:rsid w:val="008B519B"/>
    <w:rsid w:val="008C1393"/>
    <w:rsid w:val="008C1B61"/>
    <w:rsid w:val="008C2496"/>
    <w:rsid w:val="008C330D"/>
    <w:rsid w:val="008C4F77"/>
    <w:rsid w:val="008C60B1"/>
    <w:rsid w:val="008C7B8F"/>
    <w:rsid w:val="008C7D1E"/>
    <w:rsid w:val="008D247B"/>
    <w:rsid w:val="008D28EC"/>
    <w:rsid w:val="008D35C9"/>
    <w:rsid w:val="008D4587"/>
    <w:rsid w:val="008D48D3"/>
    <w:rsid w:val="008D7232"/>
    <w:rsid w:val="008D75E4"/>
    <w:rsid w:val="008D7C99"/>
    <w:rsid w:val="008E0141"/>
    <w:rsid w:val="008E0771"/>
    <w:rsid w:val="008E0FCB"/>
    <w:rsid w:val="008E4E78"/>
    <w:rsid w:val="008E5296"/>
    <w:rsid w:val="008E5D5E"/>
    <w:rsid w:val="008F1D0A"/>
    <w:rsid w:val="008F20C5"/>
    <w:rsid w:val="008F3DB6"/>
    <w:rsid w:val="008F5D2A"/>
    <w:rsid w:val="008F6DFE"/>
    <w:rsid w:val="008F7398"/>
    <w:rsid w:val="009031AA"/>
    <w:rsid w:val="00903A03"/>
    <w:rsid w:val="0090529F"/>
    <w:rsid w:val="00905B6F"/>
    <w:rsid w:val="00906D5D"/>
    <w:rsid w:val="00907196"/>
    <w:rsid w:val="00907DFF"/>
    <w:rsid w:val="00911861"/>
    <w:rsid w:val="00912C40"/>
    <w:rsid w:val="00914D8E"/>
    <w:rsid w:val="009161AE"/>
    <w:rsid w:val="009166F3"/>
    <w:rsid w:val="0092059B"/>
    <w:rsid w:val="009209AC"/>
    <w:rsid w:val="0092178C"/>
    <w:rsid w:val="00921ED9"/>
    <w:rsid w:val="00923AAC"/>
    <w:rsid w:val="009249B0"/>
    <w:rsid w:val="00930B88"/>
    <w:rsid w:val="009315AE"/>
    <w:rsid w:val="009325A2"/>
    <w:rsid w:val="00932665"/>
    <w:rsid w:val="009333F2"/>
    <w:rsid w:val="00933462"/>
    <w:rsid w:val="00933479"/>
    <w:rsid w:val="00933DF8"/>
    <w:rsid w:val="0093441D"/>
    <w:rsid w:val="00934C5D"/>
    <w:rsid w:val="009360CC"/>
    <w:rsid w:val="00940C78"/>
    <w:rsid w:val="00940DCC"/>
    <w:rsid w:val="0094179A"/>
    <w:rsid w:val="0094459E"/>
    <w:rsid w:val="00944DBC"/>
    <w:rsid w:val="00944FB0"/>
    <w:rsid w:val="0094609D"/>
    <w:rsid w:val="0094649F"/>
    <w:rsid w:val="00950977"/>
    <w:rsid w:val="00951220"/>
    <w:rsid w:val="00951A7B"/>
    <w:rsid w:val="00951FA8"/>
    <w:rsid w:val="00952E0C"/>
    <w:rsid w:val="0095391B"/>
    <w:rsid w:val="00954083"/>
    <w:rsid w:val="0095473C"/>
    <w:rsid w:val="009564A6"/>
    <w:rsid w:val="0095722B"/>
    <w:rsid w:val="00957769"/>
    <w:rsid w:val="00962208"/>
    <w:rsid w:val="00962A95"/>
    <w:rsid w:val="00962CC2"/>
    <w:rsid w:val="00963C73"/>
    <w:rsid w:val="00963EFA"/>
    <w:rsid w:val="00964573"/>
    <w:rsid w:val="009659B3"/>
    <w:rsid w:val="00966298"/>
    <w:rsid w:val="00966A53"/>
    <w:rsid w:val="00966A73"/>
    <w:rsid w:val="00967621"/>
    <w:rsid w:val="00967E6A"/>
    <w:rsid w:val="00970F42"/>
    <w:rsid w:val="00971776"/>
    <w:rsid w:val="009719FC"/>
    <w:rsid w:val="00972CD7"/>
    <w:rsid w:val="00974365"/>
    <w:rsid w:val="009769EB"/>
    <w:rsid w:val="00976E69"/>
    <w:rsid w:val="00977975"/>
    <w:rsid w:val="00980796"/>
    <w:rsid w:val="0098097B"/>
    <w:rsid w:val="00980B83"/>
    <w:rsid w:val="0098404C"/>
    <w:rsid w:val="00986B2A"/>
    <w:rsid w:val="009907B9"/>
    <w:rsid w:val="00990918"/>
    <w:rsid w:val="00990BD2"/>
    <w:rsid w:val="0099164F"/>
    <w:rsid w:val="00993FD5"/>
    <w:rsid w:val="00994835"/>
    <w:rsid w:val="00994C0D"/>
    <w:rsid w:val="00994DE5"/>
    <w:rsid w:val="00995D42"/>
    <w:rsid w:val="009A19D2"/>
    <w:rsid w:val="009A2C5C"/>
    <w:rsid w:val="009A34CC"/>
    <w:rsid w:val="009A3A83"/>
    <w:rsid w:val="009A410C"/>
    <w:rsid w:val="009A6291"/>
    <w:rsid w:val="009A794D"/>
    <w:rsid w:val="009B1494"/>
    <w:rsid w:val="009B20C3"/>
    <w:rsid w:val="009B2A64"/>
    <w:rsid w:val="009B33A2"/>
    <w:rsid w:val="009B3919"/>
    <w:rsid w:val="009B45D9"/>
    <w:rsid w:val="009B4A0F"/>
    <w:rsid w:val="009B77AB"/>
    <w:rsid w:val="009C02AB"/>
    <w:rsid w:val="009C0E2E"/>
    <w:rsid w:val="009C11D2"/>
    <w:rsid w:val="009C1369"/>
    <w:rsid w:val="009C4B66"/>
    <w:rsid w:val="009C590F"/>
    <w:rsid w:val="009C6A61"/>
    <w:rsid w:val="009C6C70"/>
    <w:rsid w:val="009C7B0A"/>
    <w:rsid w:val="009D0224"/>
    <w:rsid w:val="009D0B63"/>
    <w:rsid w:val="009D18FD"/>
    <w:rsid w:val="009D2DF0"/>
    <w:rsid w:val="009D3675"/>
    <w:rsid w:val="009D3A07"/>
    <w:rsid w:val="009D3B98"/>
    <w:rsid w:val="009D58F4"/>
    <w:rsid w:val="009D5C37"/>
    <w:rsid w:val="009D5CB8"/>
    <w:rsid w:val="009D7E0A"/>
    <w:rsid w:val="009E0620"/>
    <w:rsid w:val="009E307E"/>
    <w:rsid w:val="009E5D8E"/>
    <w:rsid w:val="009E5E57"/>
    <w:rsid w:val="009E64B2"/>
    <w:rsid w:val="009E656E"/>
    <w:rsid w:val="009E6C72"/>
    <w:rsid w:val="009F2B58"/>
    <w:rsid w:val="009F3CC5"/>
    <w:rsid w:val="009F63B2"/>
    <w:rsid w:val="009F64E6"/>
    <w:rsid w:val="009F6837"/>
    <w:rsid w:val="009F6C2D"/>
    <w:rsid w:val="009F7751"/>
    <w:rsid w:val="00A00116"/>
    <w:rsid w:val="00A02D46"/>
    <w:rsid w:val="00A04B49"/>
    <w:rsid w:val="00A05929"/>
    <w:rsid w:val="00A06215"/>
    <w:rsid w:val="00A0634F"/>
    <w:rsid w:val="00A06929"/>
    <w:rsid w:val="00A07870"/>
    <w:rsid w:val="00A07C54"/>
    <w:rsid w:val="00A07F19"/>
    <w:rsid w:val="00A1161B"/>
    <w:rsid w:val="00A12EB6"/>
    <w:rsid w:val="00A1348D"/>
    <w:rsid w:val="00A134CD"/>
    <w:rsid w:val="00A13C99"/>
    <w:rsid w:val="00A141B7"/>
    <w:rsid w:val="00A14471"/>
    <w:rsid w:val="00A151A9"/>
    <w:rsid w:val="00A157B8"/>
    <w:rsid w:val="00A2088D"/>
    <w:rsid w:val="00A20E38"/>
    <w:rsid w:val="00A22D6E"/>
    <w:rsid w:val="00A232EE"/>
    <w:rsid w:val="00A23848"/>
    <w:rsid w:val="00A23BBA"/>
    <w:rsid w:val="00A262D1"/>
    <w:rsid w:val="00A31C45"/>
    <w:rsid w:val="00A330FB"/>
    <w:rsid w:val="00A36692"/>
    <w:rsid w:val="00A366A1"/>
    <w:rsid w:val="00A37577"/>
    <w:rsid w:val="00A404D3"/>
    <w:rsid w:val="00A4175F"/>
    <w:rsid w:val="00A42DD5"/>
    <w:rsid w:val="00A44411"/>
    <w:rsid w:val="00A469FA"/>
    <w:rsid w:val="00A46CDC"/>
    <w:rsid w:val="00A50129"/>
    <w:rsid w:val="00A50485"/>
    <w:rsid w:val="00A533D8"/>
    <w:rsid w:val="00A53662"/>
    <w:rsid w:val="00A53A36"/>
    <w:rsid w:val="00A55B01"/>
    <w:rsid w:val="00A56146"/>
    <w:rsid w:val="00A569C7"/>
    <w:rsid w:val="00A56B5B"/>
    <w:rsid w:val="00A56FA2"/>
    <w:rsid w:val="00A57567"/>
    <w:rsid w:val="00A5764A"/>
    <w:rsid w:val="00A603FF"/>
    <w:rsid w:val="00A60B76"/>
    <w:rsid w:val="00A619B6"/>
    <w:rsid w:val="00A63B2D"/>
    <w:rsid w:val="00A648CA"/>
    <w:rsid w:val="00A657DD"/>
    <w:rsid w:val="00A65E20"/>
    <w:rsid w:val="00A666A6"/>
    <w:rsid w:val="00A675FD"/>
    <w:rsid w:val="00A67D50"/>
    <w:rsid w:val="00A70596"/>
    <w:rsid w:val="00A705B9"/>
    <w:rsid w:val="00A70FB7"/>
    <w:rsid w:val="00A72437"/>
    <w:rsid w:val="00A727B6"/>
    <w:rsid w:val="00A744BF"/>
    <w:rsid w:val="00A7590C"/>
    <w:rsid w:val="00A7617F"/>
    <w:rsid w:val="00A779E0"/>
    <w:rsid w:val="00A80459"/>
    <w:rsid w:val="00A8048B"/>
    <w:rsid w:val="00A80611"/>
    <w:rsid w:val="00A81921"/>
    <w:rsid w:val="00A83D09"/>
    <w:rsid w:val="00A845BB"/>
    <w:rsid w:val="00A84BA5"/>
    <w:rsid w:val="00A84D20"/>
    <w:rsid w:val="00A84D7D"/>
    <w:rsid w:val="00A85FD0"/>
    <w:rsid w:val="00A87086"/>
    <w:rsid w:val="00A87B71"/>
    <w:rsid w:val="00A87C55"/>
    <w:rsid w:val="00A91FAA"/>
    <w:rsid w:val="00A94344"/>
    <w:rsid w:val="00A96324"/>
    <w:rsid w:val="00A96345"/>
    <w:rsid w:val="00A9713B"/>
    <w:rsid w:val="00AA0B6A"/>
    <w:rsid w:val="00AA2E43"/>
    <w:rsid w:val="00AA3811"/>
    <w:rsid w:val="00AA3C7E"/>
    <w:rsid w:val="00AA42DB"/>
    <w:rsid w:val="00AA5BF4"/>
    <w:rsid w:val="00AB1A8B"/>
    <w:rsid w:val="00AB20EE"/>
    <w:rsid w:val="00AB3595"/>
    <w:rsid w:val="00AB402B"/>
    <w:rsid w:val="00AB43CC"/>
    <w:rsid w:val="00AB525C"/>
    <w:rsid w:val="00AB5340"/>
    <w:rsid w:val="00AB5362"/>
    <w:rsid w:val="00AB5D9C"/>
    <w:rsid w:val="00AC0A62"/>
    <w:rsid w:val="00AC0A89"/>
    <w:rsid w:val="00AC2846"/>
    <w:rsid w:val="00AC4B79"/>
    <w:rsid w:val="00AC5DA5"/>
    <w:rsid w:val="00AC61C3"/>
    <w:rsid w:val="00AC6D08"/>
    <w:rsid w:val="00AC7C96"/>
    <w:rsid w:val="00AD03B7"/>
    <w:rsid w:val="00AD2405"/>
    <w:rsid w:val="00AD25E2"/>
    <w:rsid w:val="00AD275F"/>
    <w:rsid w:val="00AD2BBD"/>
    <w:rsid w:val="00AD3265"/>
    <w:rsid w:val="00AD41D0"/>
    <w:rsid w:val="00AD4D2C"/>
    <w:rsid w:val="00AD4E2B"/>
    <w:rsid w:val="00AD5B9D"/>
    <w:rsid w:val="00AE1DEB"/>
    <w:rsid w:val="00AE237D"/>
    <w:rsid w:val="00AE3FB6"/>
    <w:rsid w:val="00AE502A"/>
    <w:rsid w:val="00AE55C3"/>
    <w:rsid w:val="00AE5FF6"/>
    <w:rsid w:val="00AE67CE"/>
    <w:rsid w:val="00AF0010"/>
    <w:rsid w:val="00AF02C8"/>
    <w:rsid w:val="00AF2882"/>
    <w:rsid w:val="00AF2C1F"/>
    <w:rsid w:val="00AF37DE"/>
    <w:rsid w:val="00AF7C07"/>
    <w:rsid w:val="00B009DB"/>
    <w:rsid w:val="00B012A5"/>
    <w:rsid w:val="00B040D6"/>
    <w:rsid w:val="00B0443A"/>
    <w:rsid w:val="00B04AA9"/>
    <w:rsid w:val="00B05F26"/>
    <w:rsid w:val="00B06C64"/>
    <w:rsid w:val="00B10FA6"/>
    <w:rsid w:val="00B11CAC"/>
    <w:rsid w:val="00B11CDB"/>
    <w:rsid w:val="00B15A29"/>
    <w:rsid w:val="00B165E5"/>
    <w:rsid w:val="00B1710C"/>
    <w:rsid w:val="00B174A7"/>
    <w:rsid w:val="00B17F33"/>
    <w:rsid w:val="00B21A9B"/>
    <w:rsid w:val="00B221E9"/>
    <w:rsid w:val="00B22C93"/>
    <w:rsid w:val="00B2319B"/>
    <w:rsid w:val="00B25EB5"/>
    <w:rsid w:val="00B27563"/>
    <w:rsid w:val="00B27589"/>
    <w:rsid w:val="00B27883"/>
    <w:rsid w:val="00B27ECA"/>
    <w:rsid w:val="00B343D5"/>
    <w:rsid w:val="00B34B9C"/>
    <w:rsid w:val="00B358F2"/>
    <w:rsid w:val="00B3593A"/>
    <w:rsid w:val="00B35F1D"/>
    <w:rsid w:val="00B36199"/>
    <w:rsid w:val="00B36D96"/>
    <w:rsid w:val="00B37C94"/>
    <w:rsid w:val="00B405B7"/>
    <w:rsid w:val="00B40931"/>
    <w:rsid w:val="00B41BB6"/>
    <w:rsid w:val="00B44468"/>
    <w:rsid w:val="00B458CF"/>
    <w:rsid w:val="00B46455"/>
    <w:rsid w:val="00B504D5"/>
    <w:rsid w:val="00B52222"/>
    <w:rsid w:val="00B529FD"/>
    <w:rsid w:val="00B531DA"/>
    <w:rsid w:val="00B54027"/>
    <w:rsid w:val="00B54895"/>
    <w:rsid w:val="00B54FE7"/>
    <w:rsid w:val="00B55202"/>
    <w:rsid w:val="00B55BE2"/>
    <w:rsid w:val="00B55E13"/>
    <w:rsid w:val="00B5645E"/>
    <w:rsid w:val="00B56DD8"/>
    <w:rsid w:val="00B57B0A"/>
    <w:rsid w:val="00B61058"/>
    <w:rsid w:val="00B61BE4"/>
    <w:rsid w:val="00B627EF"/>
    <w:rsid w:val="00B62D45"/>
    <w:rsid w:val="00B647C6"/>
    <w:rsid w:val="00B64B19"/>
    <w:rsid w:val="00B655F9"/>
    <w:rsid w:val="00B65A75"/>
    <w:rsid w:val="00B66901"/>
    <w:rsid w:val="00B66FF7"/>
    <w:rsid w:val="00B71E6D"/>
    <w:rsid w:val="00B72070"/>
    <w:rsid w:val="00B726D5"/>
    <w:rsid w:val="00B75F1F"/>
    <w:rsid w:val="00B779E1"/>
    <w:rsid w:val="00B77AC7"/>
    <w:rsid w:val="00B77B3E"/>
    <w:rsid w:val="00B81E3A"/>
    <w:rsid w:val="00B84FE8"/>
    <w:rsid w:val="00B85CFB"/>
    <w:rsid w:val="00B91EE1"/>
    <w:rsid w:val="00B92490"/>
    <w:rsid w:val="00B932A3"/>
    <w:rsid w:val="00B942EA"/>
    <w:rsid w:val="00B94602"/>
    <w:rsid w:val="00B959C3"/>
    <w:rsid w:val="00B961E1"/>
    <w:rsid w:val="00B96396"/>
    <w:rsid w:val="00BA0090"/>
    <w:rsid w:val="00BA0C83"/>
    <w:rsid w:val="00BA1A67"/>
    <w:rsid w:val="00BA47C7"/>
    <w:rsid w:val="00BA6248"/>
    <w:rsid w:val="00BA6940"/>
    <w:rsid w:val="00BA6A80"/>
    <w:rsid w:val="00BA7FA2"/>
    <w:rsid w:val="00BB0841"/>
    <w:rsid w:val="00BB0AFD"/>
    <w:rsid w:val="00BB457B"/>
    <w:rsid w:val="00BB46B4"/>
    <w:rsid w:val="00BB4ABB"/>
    <w:rsid w:val="00BB6974"/>
    <w:rsid w:val="00BB7319"/>
    <w:rsid w:val="00BC1147"/>
    <w:rsid w:val="00BC1782"/>
    <w:rsid w:val="00BC17F7"/>
    <w:rsid w:val="00BC1812"/>
    <w:rsid w:val="00BC1EA4"/>
    <w:rsid w:val="00BC3796"/>
    <w:rsid w:val="00BC6988"/>
    <w:rsid w:val="00BC7959"/>
    <w:rsid w:val="00BC79A9"/>
    <w:rsid w:val="00BD4C6E"/>
    <w:rsid w:val="00BD7163"/>
    <w:rsid w:val="00BE2FDD"/>
    <w:rsid w:val="00BE4077"/>
    <w:rsid w:val="00BE5339"/>
    <w:rsid w:val="00BE5944"/>
    <w:rsid w:val="00BE5B5F"/>
    <w:rsid w:val="00BE71F1"/>
    <w:rsid w:val="00BE7993"/>
    <w:rsid w:val="00BE7BD9"/>
    <w:rsid w:val="00BF0198"/>
    <w:rsid w:val="00BF093B"/>
    <w:rsid w:val="00BF13C7"/>
    <w:rsid w:val="00BF1A22"/>
    <w:rsid w:val="00BF25FE"/>
    <w:rsid w:val="00BF31B8"/>
    <w:rsid w:val="00BF3AFD"/>
    <w:rsid w:val="00BF4156"/>
    <w:rsid w:val="00BF461D"/>
    <w:rsid w:val="00BF4DD4"/>
    <w:rsid w:val="00BF5269"/>
    <w:rsid w:val="00BF5C73"/>
    <w:rsid w:val="00BF67D1"/>
    <w:rsid w:val="00C016B5"/>
    <w:rsid w:val="00C04B80"/>
    <w:rsid w:val="00C05211"/>
    <w:rsid w:val="00C0782B"/>
    <w:rsid w:val="00C13752"/>
    <w:rsid w:val="00C13DD3"/>
    <w:rsid w:val="00C145EA"/>
    <w:rsid w:val="00C14891"/>
    <w:rsid w:val="00C153B3"/>
    <w:rsid w:val="00C15B3B"/>
    <w:rsid w:val="00C15C50"/>
    <w:rsid w:val="00C1621A"/>
    <w:rsid w:val="00C172D1"/>
    <w:rsid w:val="00C2225F"/>
    <w:rsid w:val="00C23E00"/>
    <w:rsid w:val="00C2482E"/>
    <w:rsid w:val="00C2536E"/>
    <w:rsid w:val="00C25808"/>
    <w:rsid w:val="00C26F2E"/>
    <w:rsid w:val="00C26F55"/>
    <w:rsid w:val="00C27788"/>
    <w:rsid w:val="00C277BD"/>
    <w:rsid w:val="00C27FBA"/>
    <w:rsid w:val="00C304AA"/>
    <w:rsid w:val="00C30A6B"/>
    <w:rsid w:val="00C30C63"/>
    <w:rsid w:val="00C30CD2"/>
    <w:rsid w:val="00C30FF3"/>
    <w:rsid w:val="00C32A0C"/>
    <w:rsid w:val="00C3306E"/>
    <w:rsid w:val="00C34176"/>
    <w:rsid w:val="00C36B8B"/>
    <w:rsid w:val="00C37363"/>
    <w:rsid w:val="00C37596"/>
    <w:rsid w:val="00C409D0"/>
    <w:rsid w:val="00C415C1"/>
    <w:rsid w:val="00C41D2B"/>
    <w:rsid w:val="00C420F0"/>
    <w:rsid w:val="00C4446E"/>
    <w:rsid w:val="00C459CD"/>
    <w:rsid w:val="00C47DBF"/>
    <w:rsid w:val="00C50047"/>
    <w:rsid w:val="00C52454"/>
    <w:rsid w:val="00C552FF"/>
    <w:rsid w:val="00C558DA"/>
    <w:rsid w:val="00C55AF3"/>
    <w:rsid w:val="00C61A6E"/>
    <w:rsid w:val="00C6317E"/>
    <w:rsid w:val="00C64B37"/>
    <w:rsid w:val="00C65616"/>
    <w:rsid w:val="00C65BD3"/>
    <w:rsid w:val="00C661BB"/>
    <w:rsid w:val="00C67820"/>
    <w:rsid w:val="00C70D60"/>
    <w:rsid w:val="00C71051"/>
    <w:rsid w:val="00C771A9"/>
    <w:rsid w:val="00C77BE7"/>
    <w:rsid w:val="00C81511"/>
    <w:rsid w:val="00C840DF"/>
    <w:rsid w:val="00C844B2"/>
    <w:rsid w:val="00C84759"/>
    <w:rsid w:val="00C84A7A"/>
    <w:rsid w:val="00C871FE"/>
    <w:rsid w:val="00C90322"/>
    <w:rsid w:val="00C92893"/>
    <w:rsid w:val="00C94368"/>
    <w:rsid w:val="00CA0EA2"/>
    <w:rsid w:val="00CA18AB"/>
    <w:rsid w:val="00CA258F"/>
    <w:rsid w:val="00CA2842"/>
    <w:rsid w:val="00CA321B"/>
    <w:rsid w:val="00CA3712"/>
    <w:rsid w:val="00CA4915"/>
    <w:rsid w:val="00CA5CA9"/>
    <w:rsid w:val="00CA5EAA"/>
    <w:rsid w:val="00CA665B"/>
    <w:rsid w:val="00CA6C7F"/>
    <w:rsid w:val="00CA7573"/>
    <w:rsid w:val="00CA7D30"/>
    <w:rsid w:val="00CB0EB4"/>
    <w:rsid w:val="00CB1596"/>
    <w:rsid w:val="00CB15B1"/>
    <w:rsid w:val="00CB2CD7"/>
    <w:rsid w:val="00CB46F2"/>
    <w:rsid w:val="00CB5681"/>
    <w:rsid w:val="00CB67CB"/>
    <w:rsid w:val="00CC0C01"/>
    <w:rsid w:val="00CC0FC7"/>
    <w:rsid w:val="00CC10A6"/>
    <w:rsid w:val="00CC191A"/>
    <w:rsid w:val="00CC25A8"/>
    <w:rsid w:val="00CC342E"/>
    <w:rsid w:val="00CC49B2"/>
    <w:rsid w:val="00CC49DF"/>
    <w:rsid w:val="00CC4B23"/>
    <w:rsid w:val="00CC4ED2"/>
    <w:rsid w:val="00CC5464"/>
    <w:rsid w:val="00CD0D88"/>
    <w:rsid w:val="00CD10A5"/>
    <w:rsid w:val="00CD13CA"/>
    <w:rsid w:val="00CD2563"/>
    <w:rsid w:val="00CD276E"/>
    <w:rsid w:val="00CD2D4F"/>
    <w:rsid w:val="00CD35C5"/>
    <w:rsid w:val="00CD366D"/>
    <w:rsid w:val="00CD44C8"/>
    <w:rsid w:val="00CD4CE2"/>
    <w:rsid w:val="00CD5EB8"/>
    <w:rsid w:val="00CD608A"/>
    <w:rsid w:val="00CD6354"/>
    <w:rsid w:val="00CD6B71"/>
    <w:rsid w:val="00CD7044"/>
    <w:rsid w:val="00CD7E63"/>
    <w:rsid w:val="00CE0566"/>
    <w:rsid w:val="00CE08B9"/>
    <w:rsid w:val="00CE19FB"/>
    <w:rsid w:val="00CE2F22"/>
    <w:rsid w:val="00CE40A6"/>
    <w:rsid w:val="00CE524C"/>
    <w:rsid w:val="00CE5FE2"/>
    <w:rsid w:val="00CE7C51"/>
    <w:rsid w:val="00CF0721"/>
    <w:rsid w:val="00CF141F"/>
    <w:rsid w:val="00CF351F"/>
    <w:rsid w:val="00CF4777"/>
    <w:rsid w:val="00CF65C8"/>
    <w:rsid w:val="00CF6763"/>
    <w:rsid w:val="00CF7FE4"/>
    <w:rsid w:val="00D013F5"/>
    <w:rsid w:val="00D01D77"/>
    <w:rsid w:val="00D03CED"/>
    <w:rsid w:val="00D03DE8"/>
    <w:rsid w:val="00D05E3F"/>
    <w:rsid w:val="00D06142"/>
    <w:rsid w:val="00D0650D"/>
    <w:rsid w:val="00D067BB"/>
    <w:rsid w:val="00D06895"/>
    <w:rsid w:val="00D111B5"/>
    <w:rsid w:val="00D13356"/>
    <w:rsid w:val="00D13460"/>
    <w:rsid w:val="00D1352A"/>
    <w:rsid w:val="00D13B85"/>
    <w:rsid w:val="00D153F8"/>
    <w:rsid w:val="00D158C5"/>
    <w:rsid w:val="00D15EFE"/>
    <w:rsid w:val="00D169AF"/>
    <w:rsid w:val="00D174E5"/>
    <w:rsid w:val="00D21311"/>
    <w:rsid w:val="00D22144"/>
    <w:rsid w:val="00D22C78"/>
    <w:rsid w:val="00D23998"/>
    <w:rsid w:val="00D23C16"/>
    <w:rsid w:val="00D23E0D"/>
    <w:rsid w:val="00D23EF7"/>
    <w:rsid w:val="00D24EB0"/>
    <w:rsid w:val="00D25249"/>
    <w:rsid w:val="00D2551A"/>
    <w:rsid w:val="00D274C7"/>
    <w:rsid w:val="00D27523"/>
    <w:rsid w:val="00D319B2"/>
    <w:rsid w:val="00D31C10"/>
    <w:rsid w:val="00D321C9"/>
    <w:rsid w:val="00D325A7"/>
    <w:rsid w:val="00D33727"/>
    <w:rsid w:val="00D33E4F"/>
    <w:rsid w:val="00D3429D"/>
    <w:rsid w:val="00D348FA"/>
    <w:rsid w:val="00D34BBF"/>
    <w:rsid w:val="00D35EDB"/>
    <w:rsid w:val="00D40064"/>
    <w:rsid w:val="00D4038E"/>
    <w:rsid w:val="00D404AD"/>
    <w:rsid w:val="00D433B8"/>
    <w:rsid w:val="00D44172"/>
    <w:rsid w:val="00D45963"/>
    <w:rsid w:val="00D47BE3"/>
    <w:rsid w:val="00D50604"/>
    <w:rsid w:val="00D50A61"/>
    <w:rsid w:val="00D514B8"/>
    <w:rsid w:val="00D52962"/>
    <w:rsid w:val="00D530E5"/>
    <w:rsid w:val="00D54FAE"/>
    <w:rsid w:val="00D5579C"/>
    <w:rsid w:val="00D56BB4"/>
    <w:rsid w:val="00D605A5"/>
    <w:rsid w:val="00D61360"/>
    <w:rsid w:val="00D616AD"/>
    <w:rsid w:val="00D63B8C"/>
    <w:rsid w:val="00D67B74"/>
    <w:rsid w:val="00D71A18"/>
    <w:rsid w:val="00D739CC"/>
    <w:rsid w:val="00D740ED"/>
    <w:rsid w:val="00D76B2E"/>
    <w:rsid w:val="00D776A0"/>
    <w:rsid w:val="00D80368"/>
    <w:rsid w:val="00D8093D"/>
    <w:rsid w:val="00D8108C"/>
    <w:rsid w:val="00D81F1A"/>
    <w:rsid w:val="00D82ABE"/>
    <w:rsid w:val="00D83481"/>
    <w:rsid w:val="00D842AE"/>
    <w:rsid w:val="00D87CB0"/>
    <w:rsid w:val="00D9045F"/>
    <w:rsid w:val="00D909F3"/>
    <w:rsid w:val="00D909FE"/>
    <w:rsid w:val="00D9211C"/>
    <w:rsid w:val="00D92DE0"/>
    <w:rsid w:val="00D92FEF"/>
    <w:rsid w:val="00D93A0F"/>
    <w:rsid w:val="00D93A29"/>
    <w:rsid w:val="00D93EE4"/>
    <w:rsid w:val="00D96B1B"/>
    <w:rsid w:val="00D96BC0"/>
    <w:rsid w:val="00D97427"/>
    <w:rsid w:val="00D97684"/>
    <w:rsid w:val="00D97FC9"/>
    <w:rsid w:val="00DA0589"/>
    <w:rsid w:val="00DA068E"/>
    <w:rsid w:val="00DA0EA8"/>
    <w:rsid w:val="00DA1BCA"/>
    <w:rsid w:val="00DA1C0E"/>
    <w:rsid w:val="00DA2151"/>
    <w:rsid w:val="00DA2A55"/>
    <w:rsid w:val="00DA4CE2"/>
    <w:rsid w:val="00DA5B13"/>
    <w:rsid w:val="00DA6631"/>
    <w:rsid w:val="00DA7DFD"/>
    <w:rsid w:val="00DB12BA"/>
    <w:rsid w:val="00DB1470"/>
    <w:rsid w:val="00DB1A7B"/>
    <w:rsid w:val="00DB2328"/>
    <w:rsid w:val="00DB2725"/>
    <w:rsid w:val="00DB3053"/>
    <w:rsid w:val="00DB46F4"/>
    <w:rsid w:val="00DB53EB"/>
    <w:rsid w:val="00DB54A5"/>
    <w:rsid w:val="00DB689D"/>
    <w:rsid w:val="00DC06BB"/>
    <w:rsid w:val="00DC0E2B"/>
    <w:rsid w:val="00DC46FF"/>
    <w:rsid w:val="00DC5254"/>
    <w:rsid w:val="00DC5650"/>
    <w:rsid w:val="00DC569D"/>
    <w:rsid w:val="00DC66E9"/>
    <w:rsid w:val="00DC69D5"/>
    <w:rsid w:val="00DC70FD"/>
    <w:rsid w:val="00DD1752"/>
    <w:rsid w:val="00DD1A4F"/>
    <w:rsid w:val="00DD3107"/>
    <w:rsid w:val="00DD341A"/>
    <w:rsid w:val="00DD49F1"/>
    <w:rsid w:val="00DD5331"/>
    <w:rsid w:val="00DD6089"/>
    <w:rsid w:val="00DD6A7C"/>
    <w:rsid w:val="00DD74D9"/>
    <w:rsid w:val="00DD75DE"/>
    <w:rsid w:val="00DD7749"/>
    <w:rsid w:val="00DD7C2C"/>
    <w:rsid w:val="00DE1957"/>
    <w:rsid w:val="00DE1C5D"/>
    <w:rsid w:val="00DE42FA"/>
    <w:rsid w:val="00DE4D94"/>
    <w:rsid w:val="00DE5BDA"/>
    <w:rsid w:val="00DE77B4"/>
    <w:rsid w:val="00DF03D3"/>
    <w:rsid w:val="00DF1257"/>
    <w:rsid w:val="00DF30EF"/>
    <w:rsid w:val="00DF3A9F"/>
    <w:rsid w:val="00DF433C"/>
    <w:rsid w:val="00DF4D67"/>
    <w:rsid w:val="00DF519F"/>
    <w:rsid w:val="00DF6ACA"/>
    <w:rsid w:val="00E0035A"/>
    <w:rsid w:val="00E06797"/>
    <w:rsid w:val="00E10919"/>
    <w:rsid w:val="00E10E2F"/>
    <w:rsid w:val="00E10ECE"/>
    <w:rsid w:val="00E115C6"/>
    <w:rsid w:val="00E1265B"/>
    <w:rsid w:val="00E13485"/>
    <w:rsid w:val="00E1358D"/>
    <w:rsid w:val="00E13B48"/>
    <w:rsid w:val="00E1404F"/>
    <w:rsid w:val="00E146F6"/>
    <w:rsid w:val="00E14C7A"/>
    <w:rsid w:val="00E15465"/>
    <w:rsid w:val="00E20CCD"/>
    <w:rsid w:val="00E21C83"/>
    <w:rsid w:val="00E23AF3"/>
    <w:rsid w:val="00E248DC"/>
    <w:rsid w:val="00E24ADA"/>
    <w:rsid w:val="00E24DB8"/>
    <w:rsid w:val="00E25138"/>
    <w:rsid w:val="00E25B32"/>
    <w:rsid w:val="00E25C03"/>
    <w:rsid w:val="00E26663"/>
    <w:rsid w:val="00E27AE0"/>
    <w:rsid w:val="00E3124B"/>
    <w:rsid w:val="00E3180F"/>
    <w:rsid w:val="00E31CDC"/>
    <w:rsid w:val="00E32CF0"/>
    <w:rsid w:val="00E32F59"/>
    <w:rsid w:val="00E33F47"/>
    <w:rsid w:val="00E3421F"/>
    <w:rsid w:val="00E34695"/>
    <w:rsid w:val="00E35E87"/>
    <w:rsid w:val="00E37EE1"/>
    <w:rsid w:val="00E415BF"/>
    <w:rsid w:val="00E41908"/>
    <w:rsid w:val="00E43D9E"/>
    <w:rsid w:val="00E448CD"/>
    <w:rsid w:val="00E4529B"/>
    <w:rsid w:val="00E46D9A"/>
    <w:rsid w:val="00E47609"/>
    <w:rsid w:val="00E501F3"/>
    <w:rsid w:val="00E51DDD"/>
    <w:rsid w:val="00E51EAB"/>
    <w:rsid w:val="00E531E4"/>
    <w:rsid w:val="00E54D19"/>
    <w:rsid w:val="00E565FF"/>
    <w:rsid w:val="00E56D19"/>
    <w:rsid w:val="00E56E9F"/>
    <w:rsid w:val="00E61561"/>
    <w:rsid w:val="00E62C7B"/>
    <w:rsid w:val="00E63EC5"/>
    <w:rsid w:val="00E65388"/>
    <w:rsid w:val="00E6575D"/>
    <w:rsid w:val="00E65D2F"/>
    <w:rsid w:val="00E65FED"/>
    <w:rsid w:val="00E66408"/>
    <w:rsid w:val="00E6779E"/>
    <w:rsid w:val="00E67A13"/>
    <w:rsid w:val="00E7114D"/>
    <w:rsid w:val="00E713F5"/>
    <w:rsid w:val="00E71848"/>
    <w:rsid w:val="00E722DF"/>
    <w:rsid w:val="00E733A3"/>
    <w:rsid w:val="00E74970"/>
    <w:rsid w:val="00E7506B"/>
    <w:rsid w:val="00E7741D"/>
    <w:rsid w:val="00E808CD"/>
    <w:rsid w:val="00E811DD"/>
    <w:rsid w:val="00E82F64"/>
    <w:rsid w:val="00E830FE"/>
    <w:rsid w:val="00E832DC"/>
    <w:rsid w:val="00E8348F"/>
    <w:rsid w:val="00E83F14"/>
    <w:rsid w:val="00E842BC"/>
    <w:rsid w:val="00E85B7D"/>
    <w:rsid w:val="00E9121B"/>
    <w:rsid w:val="00E9148C"/>
    <w:rsid w:val="00E914E0"/>
    <w:rsid w:val="00E918DA"/>
    <w:rsid w:val="00E9302E"/>
    <w:rsid w:val="00E9571C"/>
    <w:rsid w:val="00E964FF"/>
    <w:rsid w:val="00E96867"/>
    <w:rsid w:val="00E976AB"/>
    <w:rsid w:val="00EA0032"/>
    <w:rsid w:val="00EA0AE2"/>
    <w:rsid w:val="00EA1541"/>
    <w:rsid w:val="00EA17CB"/>
    <w:rsid w:val="00EA1B9D"/>
    <w:rsid w:val="00EA3361"/>
    <w:rsid w:val="00EA3867"/>
    <w:rsid w:val="00EA39E5"/>
    <w:rsid w:val="00EA488F"/>
    <w:rsid w:val="00EA57A3"/>
    <w:rsid w:val="00EA7506"/>
    <w:rsid w:val="00EB00E7"/>
    <w:rsid w:val="00EB1B45"/>
    <w:rsid w:val="00EB3FF1"/>
    <w:rsid w:val="00EB46A9"/>
    <w:rsid w:val="00EB4AF4"/>
    <w:rsid w:val="00EB4BA7"/>
    <w:rsid w:val="00EB7B24"/>
    <w:rsid w:val="00EC0022"/>
    <w:rsid w:val="00EC0C51"/>
    <w:rsid w:val="00EC1744"/>
    <w:rsid w:val="00EC2392"/>
    <w:rsid w:val="00EC2813"/>
    <w:rsid w:val="00EC2E33"/>
    <w:rsid w:val="00EC3F98"/>
    <w:rsid w:val="00EC4839"/>
    <w:rsid w:val="00EC5A46"/>
    <w:rsid w:val="00EC5EE5"/>
    <w:rsid w:val="00EC63E2"/>
    <w:rsid w:val="00EC7093"/>
    <w:rsid w:val="00EC7336"/>
    <w:rsid w:val="00EC782D"/>
    <w:rsid w:val="00EC79C0"/>
    <w:rsid w:val="00ED0D4F"/>
    <w:rsid w:val="00ED11CD"/>
    <w:rsid w:val="00ED2853"/>
    <w:rsid w:val="00ED366A"/>
    <w:rsid w:val="00ED559F"/>
    <w:rsid w:val="00ED6BB7"/>
    <w:rsid w:val="00ED6F17"/>
    <w:rsid w:val="00EE0EAC"/>
    <w:rsid w:val="00EE1678"/>
    <w:rsid w:val="00EE1D30"/>
    <w:rsid w:val="00EE216A"/>
    <w:rsid w:val="00EE385C"/>
    <w:rsid w:val="00EE6068"/>
    <w:rsid w:val="00EF091F"/>
    <w:rsid w:val="00EF22B3"/>
    <w:rsid w:val="00EF3423"/>
    <w:rsid w:val="00EF3907"/>
    <w:rsid w:val="00EF3978"/>
    <w:rsid w:val="00EF4DB0"/>
    <w:rsid w:val="00EF601C"/>
    <w:rsid w:val="00EF66C8"/>
    <w:rsid w:val="00F00E02"/>
    <w:rsid w:val="00F01920"/>
    <w:rsid w:val="00F03B69"/>
    <w:rsid w:val="00F044B5"/>
    <w:rsid w:val="00F04E7A"/>
    <w:rsid w:val="00F05485"/>
    <w:rsid w:val="00F07133"/>
    <w:rsid w:val="00F071C0"/>
    <w:rsid w:val="00F07509"/>
    <w:rsid w:val="00F07A50"/>
    <w:rsid w:val="00F100B1"/>
    <w:rsid w:val="00F105E0"/>
    <w:rsid w:val="00F1129D"/>
    <w:rsid w:val="00F113DA"/>
    <w:rsid w:val="00F114BC"/>
    <w:rsid w:val="00F163D4"/>
    <w:rsid w:val="00F17E65"/>
    <w:rsid w:val="00F21671"/>
    <w:rsid w:val="00F22091"/>
    <w:rsid w:val="00F23040"/>
    <w:rsid w:val="00F24FA2"/>
    <w:rsid w:val="00F266FC"/>
    <w:rsid w:val="00F3037A"/>
    <w:rsid w:val="00F30C06"/>
    <w:rsid w:val="00F30FEB"/>
    <w:rsid w:val="00F31EFF"/>
    <w:rsid w:val="00F3465A"/>
    <w:rsid w:val="00F36BCD"/>
    <w:rsid w:val="00F3755A"/>
    <w:rsid w:val="00F37DC8"/>
    <w:rsid w:val="00F438CC"/>
    <w:rsid w:val="00F439B3"/>
    <w:rsid w:val="00F44453"/>
    <w:rsid w:val="00F46426"/>
    <w:rsid w:val="00F4748C"/>
    <w:rsid w:val="00F47DBE"/>
    <w:rsid w:val="00F47FFA"/>
    <w:rsid w:val="00F500C4"/>
    <w:rsid w:val="00F500FE"/>
    <w:rsid w:val="00F50FF3"/>
    <w:rsid w:val="00F564E6"/>
    <w:rsid w:val="00F56B7C"/>
    <w:rsid w:val="00F56E48"/>
    <w:rsid w:val="00F57165"/>
    <w:rsid w:val="00F6085A"/>
    <w:rsid w:val="00F60FCD"/>
    <w:rsid w:val="00F613F1"/>
    <w:rsid w:val="00F62706"/>
    <w:rsid w:val="00F63117"/>
    <w:rsid w:val="00F642E6"/>
    <w:rsid w:val="00F650C3"/>
    <w:rsid w:val="00F65348"/>
    <w:rsid w:val="00F65D85"/>
    <w:rsid w:val="00F669A3"/>
    <w:rsid w:val="00F6700B"/>
    <w:rsid w:val="00F70BBF"/>
    <w:rsid w:val="00F72403"/>
    <w:rsid w:val="00F72D50"/>
    <w:rsid w:val="00F73059"/>
    <w:rsid w:val="00F731A3"/>
    <w:rsid w:val="00F7362D"/>
    <w:rsid w:val="00F73686"/>
    <w:rsid w:val="00F73BE5"/>
    <w:rsid w:val="00F7490D"/>
    <w:rsid w:val="00F74F1A"/>
    <w:rsid w:val="00F8091E"/>
    <w:rsid w:val="00F80C5C"/>
    <w:rsid w:val="00F814BA"/>
    <w:rsid w:val="00F82F0D"/>
    <w:rsid w:val="00F84C8C"/>
    <w:rsid w:val="00F84E92"/>
    <w:rsid w:val="00F850A6"/>
    <w:rsid w:val="00F8615C"/>
    <w:rsid w:val="00F871EA"/>
    <w:rsid w:val="00F94B6B"/>
    <w:rsid w:val="00F967C5"/>
    <w:rsid w:val="00F969E5"/>
    <w:rsid w:val="00F97D21"/>
    <w:rsid w:val="00FA041F"/>
    <w:rsid w:val="00FA073B"/>
    <w:rsid w:val="00FA073D"/>
    <w:rsid w:val="00FA111D"/>
    <w:rsid w:val="00FA20BE"/>
    <w:rsid w:val="00FA2A06"/>
    <w:rsid w:val="00FA4972"/>
    <w:rsid w:val="00FA5621"/>
    <w:rsid w:val="00FA57FF"/>
    <w:rsid w:val="00FA6BB0"/>
    <w:rsid w:val="00FA6D9E"/>
    <w:rsid w:val="00FA75FA"/>
    <w:rsid w:val="00FB0B93"/>
    <w:rsid w:val="00FB2DBD"/>
    <w:rsid w:val="00FB4483"/>
    <w:rsid w:val="00FB4979"/>
    <w:rsid w:val="00FB551D"/>
    <w:rsid w:val="00FB763F"/>
    <w:rsid w:val="00FC4CEE"/>
    <w:rsid w:val="00FC642D"/>
    <w:rsid w:val="00FC7A16"/>
    <w:rsid w:val="00FC7B20"/>
    <w:rsid w:val="00FD1408"/>
    <w:rsid w:val="00FD324F"/>
    <w:rsid w:val="00FD3D60"/>
    <w:rsid w:val="00FD3EB7"/>
    <w:rsid w:val="00FD3F2B"/>
    <w:rsid w:val="00FD484C"/>
    <w:rsid w:val="00FD48DF"/>
    <w:rsid w:val="00FD5860"/>
    <w:rsid w:val="00FD6C08"/>
    <w:rsid w:val="00FD7332"/>
    <w:rsid w:val="00FE018B"/>
    <w:rsid w:val="00FE043B"/>
    <w:rsid w:val="00FE352D"/>
    <w:rsid w:val="00FE39FD"/>
    <w:rsid w:val="00FE40EB"/>
    <w:rsid w:val="00FE4713"/>
    <w:rsid w:val="00FE4A5D"/>
    <w:rsid w:val="00FE4D02"/>
    <w:rsid w:val="00FE5B50"/>
    <w:rsid w:val="00FE6308"/>
    <w:rsid w:val="00FE63D3"/>
    <w:rsid w:val="00FE7D62"/>
    <w:rsid w:val="00FF03E4"/>
    <w:rsid w:val="00FF150E"/>
    <w:rsid w:val="00FF18A9"/>
    <w:rsid w:val="00FF1C33"/>
    <w:rsid w:val="00FF2FC3"/>
    <w:rsid w:val="00FF3819"/>
    <w:rsid w:val="00FF4420"/>
    <w:rsid w:val="00FF4912"/>
    <w:rsid w:val="00FF4C99"/>
    <w:rsid w:val="00FF683C"/>
    <w:rsid w:val="00FF6F42"/>
    <w:rsid w:val="00FF7F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323B4B"/>
  <w15:docId w15:val="{813D794A-A9D4-4A4F-8172-72672CA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F89"/>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F3A9F"/>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27"/>
      </w:numPr>
    </w:pPr>
  </w:style>
  <w:style w:type="numbering" w:customStyle="1" w:styleId="Importeradestilen9">
    <w:name w:val="Importerade stilen 9"/>
    <w:rsid w:val="008E0141"/>
    <w:pPr>
      <w:numPr>
        <w:numId w:val="39"/>
      </w:numPr>
    </w:pPr>
  </w:style>
  <w:style w:type="numbering" w:customStyle="1" w:styleId="Importeradestilen5">
    <w:name w:val="Importerade stilen 5"/>
    <w:rsid w:val="008E0141"/>
    <w:pPr>
      <w:numPr>
        <w:numId w:val="29"/>
      </w:numPr>
    </w:pPr>
  </w:style>
  <w:style w:type="numbering" w:customStyle="1" w:styleId="Importeradestilen6">
    <w:name w:val="Importerade stilen 6"/>
    <w:rsid w:val="008E0141"/>
    <w:pPr>
      <w:numPr>
        <w:numId w:val="31"/>
      </w:numPr>
    </w:pPr>
  </w:style>
  <w:style w:type="numbering" w:customStyle="1" w:styleId="Importeradestilen8">
    <w:name w:val="Importerade stilen 8"/>
    <w:rsid w:val="008E0141"/>
    <w:pPr>
      <w:numPr>
        <w:numId w:val="36"/>
      </w:numPr>
    </w:pPr>
  </w:style>
  <w:style w:type="numbering" w:customStyle="1" w:styleId="Importeradestilen7">
    <w:name w:val="Importerade stilen 7"/>
    <w:rsid w:val="008E0141"/>
    <w:pPr>
      <w:numPr>
        <w:numId w:val="33"/>
      </w:numPr>
    </w:pPr>
  </w:style>
  <w:style w:type="numbering" w:customStyle="1" w:styleId="Importeradestilen3">
    <w:name w:val="Importerade stilen 3"/>
    <w:rsid w:val="008E0141"/>
    <w:pPr>
      <w:numPr>
        <w:numId w:val="25"/>
      </w:numPr>
    </w:pPr>
  </w:style>
  <w:style w:type="character" w:customStyle="1" w:styleId="FooterChar">
    <w:name w:val="Footer Char"/>
    <w:basedOn w:val="DefaultParagraphFont"/>
    <w:link w:val="Footer"/>
    <w:uiPriority w:val="99"/>
    <w:rsid w:val="00034F89"/>
    <w:rPr>
      <w:sz w:val="18"/>
      <w:lang w:eastAsia="en-US"/>
    </w:rPr>
  </w:style>
  <w:style w:type="character" w:styleId="Emphasis">
    <w:name w:val="Emphasis"/>
    <w:basedOn w:val="DefaultParagraphFont"/>
    <w:qFormat/>
    <w:rsid w:val="00D909FE"/>
    <w:rPr>
      <w:i/>
      <w:iCs/>
    </w:rPr>
  </w:style>
  <w:style w:type="character" w:customStyle="1" w:styleId="NormalnumberChar">
    <w:name w:val="Normal_number Char"/>
    <w:link w:val="Normalnumber"/>
    <w:locked/>
    <w:rsid w:val="003463B8"/>
    <w:rPr>
      <w:lang w:eastAsia="en-US"/>
    </w:rPr>
  </w:style>
  <w:style w:type="paragraph" w:styleId="Revision">
    <w:name w:val="Revision"/>
    <w:hidden/>
    <w:uiPriority w:val="99"/>
    <w:semiHidden/>
    <w:rsid w:val="00CA7D30"/>
    <w:rPr>
      <w:lang w:eastAsia="en-US"/>
    </w:rPr>
  </w:style>
  <w:style w:type="paragraph" w:styleId="Caption">
    <w:name w:val="caption"/>
    <w:basedOn w:val="Normal"/>
    <w:next w:val="Normal"/>
    <w:qFormat/>
    <w:rsid w:val="0041238C"/>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41238C"/>
    <w:rPr>
      <w:b/>
      <w:lang w:eastAsia="en-US"/>
    </w:rPr>
  </w:style>
  <w:style w:type="paragraph" w:customStyle="1" w:styleId="Style10ptLeft043Firstline043After6pt">
    <w:name w:val="Style 10 pt Left:  0.43&quot; First line:  0.43&quot; After:  6 pt"/>
    <w:basedOn w:val="Normal"/>
    <w:uiPriority w:val="99"/>
    <w:rsid w:val="0041238C"/>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41238C"/>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41238C"/>
    <w:rPr>
      <w:sz w:val="24"/>
      <w:lang w:eastAsia="en-US"/>
    </w:rPr>
  </w:style>
  <w:style w:type="paragraph" w:customStyle="1" w:styleId="Default">
    <w:name w:val="Default"/>
    <w:rsid w:val="0041238C"/>
    <w:pPr>
      <w:autoSpaceDE w:val="0"/>
      <w:autoSpaceDN w:val="0"/>
      <w:adjustRightInd w:val="0"/>
    </w:pPr>
    <w:rPr>
      <w:color w:val="000000"/>
      <w:sz w:val="24"/>
      <w:szCs w:val="24"/>
    </w:rPr>
  </w:style>
  <w:style w:type="paragraph" w:customStyle="1" w:styleId="ColorfulShading-Accent11">
    <w:name w:val="Colorful Shading - Accent 11"/>
    <w:hidden/>
    <w:uiPriority w:val="71"/>
    <w:rsid w:val="0041238C"/>
    <w:rPr>
      <w:lang w:eastAsia="en-US"/>
    </w:rPr>
  </w:style>
  <w:style w:type="paragraph" w:customStyle="1" w:styleId="ColorfulList-Accent11">
    <w:name w:val="Colorful List - Accent 11"/>
    <w:basedOn w:val="Normal"/>
    <w:uiPriority w:val="72"/>
    <w:rsid w:val="0041238C"/>
    <w:pPr>
      <w:ind w:left="720"/>
      <w:contextualSpacing/>
    </w:pPr>
  </w:style>
  <w:style w:type="numbering" w:styleId="111111">
    <w:name w:val="Outline List 2"/>
    <w:basedOn w:val="NoList"/>
    <w:semiHidden/>
    <w:unhideWhenUsed/>
    <w:rsid w:val="0041238C"/>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9550689">
      <w:bodyDiv w:val="1"/>
      <w:marLeft w:val="0"/>
      <w:marRight w:val="0"/>
      <w:marTop w:val="0"/>
      <w:marBottom w:val="0"/>
      <w:divBdr>
        <w:top w:val="none" w:sz="0" w:space="0" w:color="auto"/>
        <w:left w:val="none" w:sz="0" w:space="0" w:color="auto"/>
        <w:bottom w:val="none" w:sz="0" w:space="0" w:color="auto"/>
        <w:right w:val="none" w:sz="0" w:space="0" w:color="auto"/>
      </w:divBdr>
    </w:div>
    <w:div w:id="753480655">
      <w:bodyDiv w:val="1"/>
      <w:marLeft w:val="0"/>
      <w:marRight w:val="0"/>
      <w:marTop w:val="0"/>
      <w:marBottom w:val="0"/>
      <w:divBdr>
        <w:top w:val="none" w:sz="0" w:space="0" w:color="auto"/>
        <w:left w:val="none" w:sz="0" w:space="0" w:color="auto"/>
        <w:bottom w:val="none" w:sz="0" w:space="0" w:color="auto"/>
        <w:right w:val="none" w:sz="0" w:space="0" w:color="auto"/>
      </w:divBdr>
    </w:div>
    <w:div w:id="784496417">
      <w:bodyDiv w:val="1"/>
      <w:marLeft w:val="0"/>
      <w:marRight w:val="0"/>
      <w:marTop w:val="0"/>
      <w:marBottom w:val="0"/>
      <w:divBdr>
        <w:top w:val="none" w:sz="0" w:space="0" w:color="auto"/>
        <w:left w:val="none" w:sz="0" w:space="0" w:color="auto"/>
        <w:bottom w:val="none" w:sz="0" w:space="0" w:color="auto"/>
        <w:right w:val="none" w:sz="0" w:space="0" w:color="auto"/>
      </w:divBdr>
    </w:div>
    <w:div w:id="805506296">
      <w:bodyDiv w:val="1"/>
      <w:marLeft w:val="0"/>
      <w:marRight w:val="0"/>
      <w:marTop w:val="0"/>
      <w:marBottom w:val="0"/>
      <w:divBdr>
        <w:top w:val="none" w:sz="0" w:space="0" w:color="auto"/>
        <w:left w:val="none" w:sz="0" w:space="0" w:color="auto"/>
        <w:bottom w:val="none" w:sz="0" w:space="0" w:color="auto"/>
        <w:right w:val="none" w:sz="0" w:space="0" w:color="auto"/>
      </w:divBdr>
    </w:div>
    <w:div w:id="878859829">
      <w:bodyDiv w:val="1"/>
      <w:marLeft w:val="0"/>
      <w:marRight w:val="0"/>
      <w:marTop w:val="0"/>
      <w:marBottom w:val="0"/>
      <w:divBdr>
        <w:top w:val="none" w:sz="0" w:space="0" w:color="auto"/>
        <w:left w:val="none" w:sz="0" w:space="0" w:color="auto"/>
        <w:bottom w:val="none" w:sz="0" w:space="0" w:color="auto"/>
        <w:right w:val="none" w:sz="0" w:space="0" w:color="auto"/>
      </w:divBdr>
    </w:div>
    <w:div w:id="887230022">
      <w:bodyDiv w:val="1"/>
      <w:marLeft w:val="0"/>
      <w:marRight w:val="0"/>
      <w:marTop w:val="0"/>
      <w:marBottom w:val="0"/>
      <w:divBdr>
        <w:top w:val="none" w:sz="0" w:space="0" w:color="auto"/>
        <w:left w:val="none" w:sz="0" w:space="0" w:color="auto"/>
        <w:bottom w:val="none" w:sz="0" w:space="0" w:color="auto"/>
        <w:right w:val="none" w:sz="0" w:space="0" w:color="auto"/>
      </w:divBdr>
    </w:div>
    <w:div w:id="925727152">
      <w:bodyDiv w:val="1"/>
      <w:marLeft w:val="0"/>
      <w:marRight w:val="0"/>
      <w:marTop w:val="0"/>
      <w:marBottom w:val="0"/>
      <w:divBdr>
        <w:top w:val="none" w:sz="0" w:space="0" w:color="auto"/>
        <w:left w:val="none" w:sz="0" w:space="0" w:color="auto"/>
        <w:bottom w:val="none" w:sz="0" w:space="0" w:color="auto"/>
        <w:right w:val="none" w:sz="0" w:space="0" w:color="auto"/>
      </w:divBdr>
    </w:div>
    <w:div w:id="985281943">
      <w:bodyDiv w:val="1"/>
      <w:marLeft w:val="0"/>
      <w:marRight w:val="0"/>
      <w:marTop w:val="0"/>
      <w:marBottom w:val="0"/>
      <w:divBdr>
        <w:top w:val="none" w:sz="0" w:space="0" w:color="auto"/>
        <w:left w:val="none" w:sz="0" w:space="0" w:color="auto"/>
        <w:bottom w:val="none" w:sz="0" w:space="0" w:color="auto"/>
        <w:right w:val="none" w:sz="0" w:space="0" w:color="auto"/>
      </w:divBdr>
    </w:div>
    <w:div w:id="1010254287">
      <w:bodyDiv w:val="1"/>
      <w:marLeft w:val="0"/>
      <w:marRight w:val="0"/>
      <w:marTop w:val="0"/>
      <w:marBottom w:val="0"/>
      <w:divBdr>
        <w:top w:val="none" w:sz="0" w:space="0" w:color="auto"/>
        <w:left w:val="none" w:sz="0" w:space="0" w:color="auto"/>
        <w:bottom w:val="none" w:sz="0" w:space="0" w:color="auto"/>
        <w:right w:val="none" w:sz="0" w:space="0" w:color="auto"/>
      </w:divBdr>
      <w:divsChild>
        <w:div w:id="1074619753">
          <w:marLeft w:val="0"/>
          <w:marRight w:val="0"/>
          <w:marTop w:val="0"/>
          <w:marBottom w:val="0"/>
          <w:divBdr>
            <w:top w:val="none" w:sz="0" w:space="0" w:color="auto"/>
            <w:left w:val="none" w:sz="0" w:space="0" w:color="auto"/>
            <w:bottom w:val="none" w:sz="0" w:space="0" w:color="auto"/>
            <w:right w:val="none" w:sz="0" w:space="0" w:color="auto"/>
          </w:divBdr>
        </w:div>
        <w:div w:id="105079996">
          <w:marLeft w:val="0"/>
          <w:marRight w:val="0"/>
          <w:marTop w:val="0"/>
          <w:marBottom w:val="0"/>
          <w:divBdr>
            <w:top w:val="none" w:sz="0" w:space="0" w:color="auto"/>
            <w:left w:val="none" w:sz="0" w:space="0" w:color="auto"/>
            <w:bottom w:val="none" w:sz="0" w:space="0" w:color="auto"/>
            <w:right w:val="none" w:sz="0" w:space="0" w:color="auto"/>
          </w:divBdr>
        </w:div>
        <w:div w:id="828981014">
          <w:marLeft w:val="0"/>
          <w:marRight w:val="0"/>
          <w:marTop w:val="0"/>
          <w:marBottom w:val="0"/>
          <w:divBdr>
            <w:top w:val="none" w:sz="0" w:space="0" w:color="auto"/>
            <w:left w:val="none" w:sz="0" w:space="0" w:color="auto"/>
            <w:bottom w:val="none" w:sz="0" w:space="0" w:color="auto"/>
            <w:right w:val="none" w:sz="0" w:space="0" w:color="auto"/>
          </w:divBdr>
        </w:div>
        <w:div w:id="1310744640">
          <w:marLeft w:val="0"/>
          <w:marRight w:val="0"/>
          <w:marTop w:val="0"/>
          <w:marBottom w:val="0"/>
          <w:divBdr>
            <w:top w:val="none" w:sz="0" w:space="0" w:color="auto"/>
            <w:left w:val="none" w:sz="0" w:space="0" w:color="auto"/>
            <w:bottom w:val="none" w:sz="0" w:space="0" w:color="auto"/>
            <w:right w:val="none" w:sz="0" w:space="0" w:color="auto"/>
          </w:divBdr>
        </w:div>
        <w:div w:id="450052694">
          <w:marLeft w:val="0"/>
          <w:marRight w:val="0"/>
          <w:marTop w:val="0"/>
          <w:marBottom w:val="0"/>
          <w:divBdr>
            <w:top w:val="none" w:sz="0" w:space="0" w:color="auto"/>
            <w:left w:val="none" w:sz="0" w:space="0" w:color="auto"/>
            <w:bottom w:val="none" w:sz="0" w:space="0" w:color="auto"/>
            <w:right w:val="none" w:sz="0" w:space="0" w:color="auto"/>
          </w:divBdr>
        </w:div>
        <w:div w:id="2081057500">
          <w:marLeft w:val="0"/>
          <w:marRight w:val="0"/>
          <w:marTop w:val="0"/>
          <w:marBottom w:val="0"/>
          <w:divBdr>
            <w:top w:val="none" w:sz="0" w:space="0" w:color="auto"/>
            <w:left w:val="none" w:sz="0" w:space="0" w:color="auto"/>
            <w:bottom w:val="none" w:sz="0" w:space="0" w:color="auto"/>
            <w:right w:val="none" w:sz="0" w:space="0" w:color="auto"/>
          </w:divBdr>
        </w:div>
        <w:div w:id="796533121">
          <w:marLeft w:val="0"/>
          <w:marRight w:val="0"/>
          <w:marTop w:val="0"/>
          <w:marBottom w:val="0"/>
          <w:divBdr>
            <w:top w:val="none" w:sz="0" w:space="0" w:color="auto"/>
            <w:left w:val="none" w:sz="0" w:space="0" w:color="auto"/>
            <w:bottom w:val="none" w:sz="0" w:space="0" w:color="auto"/>
            <w:right w:val="none" w:sz="0" w:space="0" w:color="auto"/>
          </w:divBdr>
        </w:div>
        <w:div w:id="1694914981">
          <w:marLeft w:val="0"/>
          <w:marRight w:val="0"/>
          <w:marTop w:val="0"/>
          <w:marBottom w:val="0"/>
          <w:divBdr>
            <w:top w:val="none" w:sz="0" w:space="0" w:color="auto"/>
            <w:left w:val="none" w:sz="0" w:space="0" w:color="auto"/>
            <w:bottom w:val="none" w:sz="0" w:space="0" w:color="auto"/>
            <w:right w:val="none" w:sz="0" w:space="0" w:color="auto"/>
          </w:divBdr>
        </w:div>
      </w:divsChild>
    </w:div>
    <w:div w:id="106595408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822329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2322128">
      <w:bodyDiv w:val="1"/>
      <w:marLeft w:val="0"/>
      <w:marRight w:val="0"/>
      <w:marTop w:val="0"/>
      <w:marBottom w:val="0"/>
      <w:divBdr>
        <w:top w:val="none" w:sz="0" w:space="0" w:color="auto"/>
        <w:left w:val="none" w:sz="0" w:space="0" w:color="auto"/>
        <w:bottom w:val="none" w:sz="0" w:space="0" w:color="auto"/>
        <w:right w:val="none" w:sz="0" w:space="0" w:color="auto"/>
      </w:divBdr>
    </w:div>
    <w:div w:id="1359085598">
      <w:bodyDiv w:val="1"/>
      <w:marLeft w:val="0"/>
      <w:marRight w:val="0"/>
      <w:marTop w:val="0"/>
      <w:marBottom w:val="0"/>
      <w:divBdr>
        <w:top w:val="none" w:sz="0" w:space="0" w:color="auto"/>
        <w:left w:val="none" w:sz="0" w:space="0" w:color="auto"/>
        <w:bottom w:val="none" w:sz="0" w:space="0" w:color="auto"/>
        <w:right w:val="none" w:sz="0" w:space="0" w:color="auto"/>
      </w:divBdr>
    </w:div>
    <w:div w:id="1612780036">
      <w:bodyDiv w:val="1"/>
      <w:marLeft w:val="0"/>
      <w:marRight w:val="0"/>
      <w:marTop w:val="0"/>
      <w:marBottom w:val="0"/>
      <w:divBdr>
        <w:top w:val="none" w:sz="0" w:space="0" w:color="auto"/>
        <w:left w:val="none" w:sz="0" w:space="0" w:color="auto"/>
        <w:bottom w:val="none" w:sz="0" w:space="0" w:color="auto"/>
        <w:right w:val="none" w:sz="0" w:space="0" w:color="auto"/>
      </w:divBdr>
    </w:div>
    <w:div w:id="1780445092">
      <w:bodyDiv w:val="1"/>
      <w:marLeft w:val="0"/>
      <w:marRight w:val="0"/>
      <w:marTop w:val="0"/>
      <w:marBottom w:val="0"/>
      <w:divBdr>
        <w:top w:val="none" w:sz="0" w:space="0" w:color="auto"/>
        <w:left w:val="none" w:sz="0" w:space="0" w:color="auto"/>
        <w:bottom w:val="none" w:sz="0" w:space="0" w:color="auto"/>
        <w:right w:val="none" w:sz="0" w:space="0" w:color="auto"/>
      </w:divBdr>
    </w:div>
    <w:div w:id="1853955021">
      <w:bodyDiv w:val="1"/>
      <w:marLeft w:val="0"/>
      <w:marRight w:val="0"/>
      <w:marTop w:val="0"/>
      <w:marBottom w:val="0"/>
      <w:divBdr>
        <w:top w:val="none" w:sz="0" w:space="0" w:color="auto"/>
        <w:left w:val="none" w:sz="0" w:space="0" w:color="auto"/>
        <w:bottom w:val="none" w:sz="0" w:space="0" w:color="auto"/>
        <w:right w:val="none" w:sz="0" w:space="0" w:color="auto"/>
      </w:divBdr>
      <w:divsChild>
        <w:div w:id="650787438">
          <w:marLeft w:val="0"/>
          <w:marRight w:val="0"/>
          <w:marTop w:val="0"/>
          <w:marBottom w:val="0"/>
          <w:divBdr>
            <w:top w:val="none" w:sz="0" w:space="0" w:color="auto"/>
            <w:left w:val="none" w:sz="0" w:space="0" w:color="auto"/>
            <w:bottom w:val="none" w:sz="0" w:space="0" w:color="auto"/>
            <w:right w:val="none" w:sz="0" w:space="0" w:color="auto"/>
          </w:divBdr>
        </w:div>
        <w:div w:id="789520312">
          <w:marLeft w:val="0"/>
          <w:marRight w:val="0"/>
          <w:marTop w:val="0"/>
          <w:marBottom w:val="0"/>
          <w:divBdr>
            <w:top w:val="none" w:sz="0" w:space="0" w:color="auto"/>
            <w:left w:val="none" w:sz="0" w:space="0" w:color="auto"/>
            <w:bottom w:val="none" w:sz="0" w:space="0" w:color="auto"/>
            <w:right w:val="none" w:sz="0" w:space="0" w:color="auto"/>
          </w:divBdr>
        </w:div>
        <w:div w:id="1660884375">
          <w:marLeft w:val="0"/>
          <w:marRight w:val="0"/>
          <w:marTop w:val="0"/>
          <w:marBottom w:val="0"/>
          <w:divBdr>
            <w:top w:val="none" w:sz="0" w:space="0" w:color="auto"/>
            <w:left w:val="none" w:sz="0" w:space="0" w:color="auto"/>
            <w:bottom w:val="none" w:sz="0" w:space="0" w:color="auto"/>
            <w:right w:val="none" w:sz="0" w:space="0" w:color="auto"/>
          </w:divBdr>
        </w:div>
        <w:div w:id="1361709211">
          <w:marLeft w:val="0"/>
          <w:marRight w:val="0"/>
          <w:marTop w:val="0"/>
          <w:marBottom w:val="0"/>
          <w:divBdr>
            <w:top w:val="none" w:sz="0" w:space="0" w:color="auto"/>
            <w:left w:val="none" w:sz="0" w:space="0" w:color="auto"/>
            <w:bottom w:val="none" w:sz="0" w:space="0" w:color="auto"/>
            <w:right w:val="none" w:sz="0" w:space="0" w:color="auto"/>
          </w:divBdr>
        </w:div>
        <w:div w:id="503008392">
          <w:marLeft w:val="0"/>
          <w:marRight w:val="0"/>
          <w:marTop w:val="0"/>
          <w:marBottom w:val="0"/>
          <w:divBdr>
            <w:top w:val="none" w:sz="0" w:space="0" w:color="auto"/>
            <w:left w:val="none" w:sz="0" w:space="0" w:color="auto"/>
            <w:bottom w:val="none" w:sz="0" w:space="0" w:color="auto"/>
            <w:right w:val="none" w:sz="0" w:space="0" w:color="auto"/>
          </w:divBdr>
        </w:div>
        <w:div w:id="667711627">
          <w:marLeft w:val="0"/>
          <w:marRight w:val="0"/>
          <w:marTop w:val="0"/>
          <w:marBottom w:val="0"/>
          <w:divBdr>
            <w:top w:val="none" w:sz="0" w:space="0" w:color="auto"/>
            <w:left w:val="none" w:sz="0" w:space="0" w:color="auto"/>
            <w:bottom w:val="none" w:sz="0" w:space="0" w:color="auto"/>
            <w:right w:val="none" w:sz="0" w:space="0" w:color="auto"/>
          </w:divBdr>
        </w:div>
        <w:div w:id="317927394">
          <w:marLeft w:val="0"/>
          <w:marRight w:val="0"/>
          <w:marTop w:val="0"/>
          <w:marBottom w:val="0"/>
          <w:divBdr>
            <w:top w:val="none" w:sz="0" w:space="0" w:color="auto"/>
            <w:left w:val="none" w:sz="0" w:space="0" w:color="auto"/>
            <w:bottom w:val="none" w:sz="0" w:space="0" w:color="auto"/>
            <w:right w:val="none" w:sz="0" w:space="0" w:color="auto"/>
          </w:divBdr>
        </w:div>
        <w:div w:id="102770053">
          <w:marLeft w:val="0"/>
          <w:marRight w:val="0"/>
          <w:marTop w:val="0"/>
          <w:marBottom w:val="0"/>
          <w:divBdr>
            <w:top w:val="none" w:sz="0" w:space="0" w:color="auto"/>
            <w:left w:val="none" w:sz="0" w:space="0" w:color="auto"/>
            <w:bottom w:val="none" w:sz="0" w:space="0" w:color="auto"/>
            <w:right w:val="none" w:sz="0" w:space="0" w:color="auto"/>
          </w:divBdr>
        </w:div>
      </w:divsChild>
    </w:div>
    <w:div w:id="1855415746">
      <w:bodyDiv w:val="1"/>
      <w:marLeft w:val="0"/>
      <w:marRight w:val="0"/>
      <w:marTop w:val="0"/>
      <w:marBottom w:val="0"/>
      <w:divBdr>
        <w:top w:val="none" w:sz="0" w:space="0" w:color="auto"/>
        <w:left w:val="none" w:sz="0" w:space="0" w:color="auto"/>
        <w:bottom w:val="none" w:sz="0" w:space="0" w:color="auto"/>
        <w:right w:val="none" w:sz="0" w:space="0" w:color="auto"/>
      </w:divBdr>
    </w:div>
    <w:div w:id="1983194424">
      <w:bodyDiv w:val="1"/>
      <w:marLeft w:val="0"/>
      <w:marRight w:val="0"/>
      <w:marTop w:val="0"/>
      <w:marBottom w:val="0"/>
      <w:divBdr>
        <w:top w:val="none" w:sz="0" w:space="0" w:color="auto"/>
        <w:left w:val="none" w:sz="0" w:space="0" w:color="auto"/>
        <w:bottom w:val="none" w:sz="0" w:space="0" w:color="auto"/>
        <w:right w:val="none" w:sz="0" w:space="0" w:color="auto"/>
      </w:divBdr>
    </w:div>
    <w:div w:id="20392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6D8C-ED2C-42E8-8EA1-2FCF0358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14660</Words>
  <Characters>83566</Characters>
  <Application>Microsoft Office Word</Application>
  <DocSecurity>0</DocSecurity>
  <Lines>696</Lines>
  <Paragraphs>196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Eliane Rakoto</cp:lastModifiedBy>
  <cp:revision>2</cp:revision>
  <cp:lastPrinted>2017-09-20T13:35:00Z</cp:lastPrinted>
  <dcterms:created xsi:type="dcterms:W3CDTF">2017-09-21T11:08:00Z</dcterms:created>
  <dcterms:modified xsi:type="dcterms:W3CDTF">2017-09-21T11:08:00Z</dcterms:modified>
</cp:coreProperties>
</file>