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2"/>
        <w:gridCol w:w="4749"/>
        <w:gridCol w:w="3411"/>
      </w:tblGrid>
      <w:tr w:rsidR="006744EA" w:rsidRPr="00450879" w14:paraId="44ABF3BB" w14:textId="77777777" w:rsidTr="00C37ED7">
        <w:trPr>
          <w:cantSplit/>
          <w:trHeight w:val="850"/>
          <w:jc w:val="right"/>
        </w:trPr>
        <w:tc>
          <w:tcPr>
            <w:tcW w:w="1518" w:type="dxa"/>
          </w:tcPr>
          <w:p w14:paraId="30DE5B3F" w14:textId="7F0651F4" w:rsidR="006744EA" w:rsidRPr="00450879" w:rsidRDefault="00C37ED7" w:rsidP="00324C70">
            <w:pPr>
              <w:rPr>
                <w:rFonts w:ascii="Univers" w:hAnsi="Univers"/>
                <w:b/>
                <w:noProof/>
                <w:sz w:val="27"/>
                <w:szCs w:val="27"/>
                <w:lang w:val="fr-FR"/>
              </w:rPr>
            </w:pPr>
            <w:r w:rsidRPr="00450879">
              <w:rPr>
                <w:rFonts w:ascii="Arial" w:hAnsi="Arial" w:cs="Arial"/>
                <w:b/>
                <w:noProof/>
                <w:sz w:val="27"/>
                <w:szCs w:val="27"/>
                <w:lang w:val="fr-FR"/>
              </w:rPr>
              <w:t>N</w:t>
            </w:r>
            <w:bookmarkStart w:id="0" w:name="_GoBack"/>
            <w:bookmarkEnd w:id="0"/>
            <w:r w:rsidRPr="00450879">
              <w:rPr>
                <w:rFonts w:ascii="Arial" w:hAnsi="Arial" w:cs="Arial"/>
                <w:b/>
                <w:noProof/>
                <w:sz w:val="27"/>
                <w:szCs w:val="27"/>
                <w:lang w:val="fr-FR"/>
              </w:rPr>
              <w:t>ATIONS</w:t>
            </w:r>
            <w:r w:rsidR="006744EA" w:rsidRPr="00450879">
              <w:rPr>
                <w:rFonts w:ascii="Arial" w:hAnsi="Arial" w:cs="Arial"/>
                <w:b/>
                <w:noProof/>
                <w:sz w:val="27"/>
                <w:szCs w:val="27"/>
                <w:lang w:val="fr-FR"/>
              </w:rPr>
              <w:br/>
            </w:r>
            <w:r w:rsidRPr="00450879">
              <w:rPr>
                <w:rFonts w:ascii="Arial" w:hAnsi="Arial" w:cs="Arial"/>
                <w:b/>
                <w:noProof/>
                <w:sz w:val="27"/>
                <w:szCs w:val="27"/>
                <w:lang w:val="fr-FR"/>
              </w:rPr>
              <w:t>UNIES</w:t>
            </w:r>
          </w:p>
        </w:tc>
        <w:tc>
          <w:tcPr>
            <w:tcW w:w="4643" w:type="dxa"/>
          </w:tcPr>
          <w:p w14:paraId="5D5F43EC" w14:textId="77777777" w:rsidR="006744EA" w:rsidRPr="00450879" w:rsidRDefault="006744EA" w:rsidP="00324C70">
            <w:pPr>
              <w:rPr>
                <w:rFonts w:ascii="Univers" w:hAnsi="Univers"/>
                <w:b/>
                <w:sz w:val="27"/>
                <w:szCs w:val="27"/>
                <w:lang w:val="fr-FR"/>
              </w:rPr>
            </w:pPr>
          </w:p>
        </w:tc>
        <w:tc>
          <w:tcPr>
            <w:tcW w:w="3335" w:type="dxa"/>
          </w:tcPr>
          <w:p w14:paraId="2ABD8BE1" w14:textId="77777777" w:rsidR="006744EA" w:rsidRPr="00450879" w:rsidRDefault="006744EA" w:rsidP="00324C70">
            <w:pPr>
              <w:jc w:val="right"/>
              <w:rPr>
                <w:rFonts w:ascii="Arial" w:hAnsi="Arial" w:cs="Arial"/>
                <w:b/>
                <w:sz w:val="64"/>
                <w:szCs w:val="64"/>
                <w:lang w:val="fr-FR"/>
              </w:rPr>
            </w:pPr>
            <w:r w:rsidRPr="00450879">
              <w:rPr>
                <w:rFonts w:ascii="Arial" w:hAnsi="Arial" w:cs="Arial"/>
                <w:b/>
                <w:sz w:val="64"/>
                <w:szCs w:val="64"/>
                <w:lang w:val="fr-FR"/>
              </w:rPr>
              <w:t>MC</w:t>
            </w:r>
          </w:p>
        </w:tc>
      </w:tr>
      <w:tr w:rsidR="006744EA" w:rsidRPr="00450879" w14:paraId="30157E77" w14:textId="77777777" w:rsidTr="00C37ED7">
        <w:trPr>
          <w:cantSplit/>
          <w:trHeight w:val="281"/>
          <w:jc w:val="right"/>
        </w:trPr>
        <w:tc>
          <w:tcPr>
            <w:tcW w:w="1518" w:type="dxa"/>
            <w:tcBorders>
              <w:bottom w:val="single" w:sz="4" w:space="0" w:color="auto"/>
            </w:tcBorders>
          </w:tcPr>
          <w:p w14:paraId="13B2213B" w14:textId="77777777" w:rsidR="006744EA" w:rsidRPr="00450879" w:rsidRDefault="006744EA" w:rsidP="00324C70">
            <w:pPr>
              <w:rPr>
                <w:noProof/>
                <w:sz w:val="18"/>
                <w:szCs w:val="18"/>
                <w:lang w:val="fr-FR"/>
              </w:rPr>
            </w:pPr>
          </w:p>
        </w:tc>
        <w:tc>
          <w:tcPr>
            <w:tcW w:w="4643" w:type="dxa"/>
            <w:tcBorders>
              <w:bottom w:val="single" w:sz="4" w:space="0" w:color="auto"/>
            </w:tcBorders>
          </w:tcPr>
          <w:p w14:paraId="33B1952C" w14:textId="77777777" w:rsidR="006744EA" w:rsidRPr="00450879" w:rsidRDefault="006744EA" w:rsidP="00324C70">
            <w:pPr>
              <w:rPr>
                <w:rFonts w:ascii="Univers" w:hAnsi="Univers"/>
                <w:b/>
                <w:sz w:val="18"/>
                <w:szCs w:val="18"/>
                <w:lang w:val="fr-FR"/>
              </w:rPr>
            </w:pPr>
          </w:p>
        </w:tc>
        <w:tc>
          <w:tcPr>
            <w:tcW w:w="3335" w:type="dxa"/>
            <w:tcBorders>
              <w:bottom w:val="single" w:sz="4" w:space="0" w:color="auto"/>
            </w:tcBorders>
          </w:tcPr>
          <w:p w14:paraId="3EB4906D" w14:textId="0FE23F8C" w:rsidR="006744EA" w:rsidRPr="00450879" w:rsidRDefault="006744EA" w:rsidP="00324C70">
            <w:pPr>
              <w:rPr>
                <w:noProof/>
                <w:sz w:val="18"/>
                <w:szCs w:val="18"/>
                <w:lang w:val="fr-FR"/>
              </w:rPr>
            </w:pPr>
            <w:r w:rsidRPr="00450879">
              <w:rPr>
                <w:b/>
                <w:bCs/>
                <w:sz w:val="28"/>
                <w:lang w:val="fr-FR"/>
              </w:rPr>
              <w:t>UNEP/</w:t>
            </w:r>
            <w:r w:rsidRPr="00450879">
              <w:rPr>
                <w:lang w:val="fr-FR"/>
              </w:rPr>
              <w:t>MC/COP.1/12</w:t>
            </w:r>
          </w:p>
        </w:tc>
      </w:tr>
      <w:bookmarkStart w:id="1" w:name="_MON_1021710510"/>
      <w:bookmarkEnd w:id="1"/>
      <w:tr w:rsidR="006744EA" w:rsidRPr="008433FD" w14:paraId="0BC7C9E9" w14:textId="77777777" w:rsidTr="00C37ED7">
        <w:trPr>
          <w:cantSplit/>
          <w:trHeight w:val="2549"/>
          <w:jc w:val="right"/>
        </w:trPr>
        <w:tc>
          <w:tcPr>
            <w:tcW w:w="1518" w:type="dxa"/>
            <w:tcBorders>
              <w:top w:val="single" w:sz="4" w:space="0" w:color="auto"/>
              <w:bottom w:val="single" w:sz="24" w:space="0" w:color="auto"/>
            </w:tcBorders>
          </w:tcPr>
          <w:p w14:paraId="43A15F0A" w14:textId="77777777" w:rsidR="006744EA" w:rsidRPr="00450879" w:rsidRDefault="006744EA" w:rsidP="00324C70">
            <w:pPr>
              <w:rPr>
                <w:noProof/>
                <w:lang w:val="fr-FR"/>
              </w:rPr>
            </w:pPr>
            <w:r w:rsidRPr="00450879">
              <w:rPr>
                <w:noProof/>
                <w:lang w:val="fr-FR"/>
              </w:rPr>
              <w:object w:dxaOrig="1831" w:dyaOrig="1726" w14:anchorId="32CE5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62pt" o:ole="" fillcolor="window">
                  <v:imagedata r:id="rId9" o:title=""/>
                </v:shape>
                <o:OLEObject Type="Embed" ProgID="Word.Picture.8" ShapeID="_x0000_i1025" DrawAspect="Content" ObjectID="_1559717101" r:id="rId10"/>
              </w:object>
            </w:r>
            <w:r w:rsidRPr="00450879">
              <w:rPr>
                <w:noProof/>
                <w:lang w:val="en-US"/>
              </w:rPr>
              <w:drawing>
                <wp:inline distT="0" distB="0" distL="0" distR="0" wp14:anchorId="17EEAC30" wp14:editId="3A505AC5">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0C7EB3C" w14:textId="52ECCE81" w:rsidR="006744EA" w:rsidRPr="00450879" w:rsidRDefault="00C37ED7" w:rsidP="00324C70">
            <w:pPr>
              <w:spacing w:before="1200"/>
              <w:rPr>
                <w:rFonts w:ascii="Arial" w:hAnsi="Arial" w:cs="Arial"/>
                <w:b/>
                <w:sz w:val="28"/>
                <w:lang w:val="fr-FR"/>
              </w:rPr>
            </w:pPr>
            <w:r w:rsidRPr="00450879">
              <w:rPr>
                <w:rFonts w:ascii="Arial" w:hAnsi="Arial" w:cs="Arial"/>
                <w:b/>
                <w:sz w:val="32"/>
                <w:szCs w:val="32"/>
                <w:lang w:val="fr-FR"/>
              </w:rPr>
              <w:t>Programme</w:t>
            </w:r>
            <w:r w:rsidRPr="00450879">
              <w:rPr>
                <w:rFonts w:ascii="Arial" w:hAnsi="Arial" w:cs="Arial"/>
                <w:b/>
                <w:sz w:val="32"/>
                <w:szCs w:val="32"/>
                <w:lang w:val="fr-FR"/>
              </w:rPr>
              <w:br/>
              <w:t>des Nations Unies</w:t>
            </w:r>
            <w:r w:rsidRPr="00450879">
              <w:rPr>
                <w:rFonts w:ascii="Arial" w:hAnsi="Arial" w:cs="Arial"/>
                <w:b/>
                <w:sz w:val="32"/>
                <w:szCs w:val="32"/>
                <w:lang w:val="fr-FR"/>
              </w:rPr>
              <w:br/>
              <w:t>pour l’environnement</w:t>
            </w:r>
          </w:p>
        </w:tc>
        <w:tc>
          <w:tcPr>
            <w:tcW w:w="3335" w:type="dxa"/>
            <w:tcBorders>
              <w:top w:val="single" w:sz="4" w:space="0" w:color="auto"/>
              <w:bottom w:val="single" w:sz="24" w:space="0" w:color="auto"/>
            </w:tcBorders>
          </w:tcPr>
          <w:p w14:paraId="30982627" w14:textId="7A17CF7B" w:rsidR="006744EA" w:rsidRPr="00450879" w:rsidRDefault="006744EA" w:rsidP="00324C70">
            <w:pPr>
              <w:spacing w:before="120"/>
              <w:rPr>
                <w:lang w:val="fr-FR"/>
              </w:rPr>
            </w:pPr>
            <w:proofErr w:type="spellStart"/>
            <w:r w:rsidRPr="00450879">
              <w:rPr>
                <w:lang w:val="fr-FR"/>
              </w:rPr>
              <w:t>Distr</w:t>
            </w:r>
            <w:proofErr w:type="spellEnd"/>
            <w:r w:rsidRPr="00450879">
              <w:rPr>
                <w:lang w:val="fr-FR"/>
              </w:rPr>
              <w:t>.</w:t>
            </w:r>
            <w:r w:rsidR="007E3707" w:rsidRPr="00450879">
              <w:rPr>
                <w:lang w:val="fr-FR"/>
              </w:rPr>
              <w:t xml:space="preserve"> générale</w:t>
            </w:r>
            <w:r w:rsidRPr="00450879">
              <w:rPr>
                <w:lang w:val="fr-FR"/>
              </w:rPr>
              <w:br w:type="textWrapping" w:clear="all"/>
            </w:r>
            <w:r w:rsidR="007E3707" w:rsidRPr="00450879">
              <w:rPr>
                <w:lang w:val="fr-FR"/>
              </w:rPr>
              <w:t>15 mai </w:t>
            </w:r>
            <w:r w:rsidRPr="00450879">
              <w:rPr>
                <w:lang w:val="fr-FR"/>
              </w:rPr>
              <w:t>2017</w:t>
            </w:r>
          </w:p>
          <w:p w14:paraId="150CF073" w14:textId="77777777" w:rsidR="007E3707" w:rsidRPr="00450879" w:rsidRDefault="007E3707" w:rsidP="007E3707">
            <w:pPr>
              <w:rPr>
                <w:lang w:val="fr-FR"/>
              </w:rPr>
            </w:pPr>
          </w:p>
          <w:p w14:paraId="0D74F382" w14:textId="6445F271" w:rsidR="007E3707" w:rsidRPr="00450879" w:rsidRDefault="007E3707" w:rsidP="007E3707">
            <w:pPr>
              <w:rPr>
                <w:lang w:val="fr-FR"/>
              </w:rPr>
            </w:pPr>
            <w:r w:rsidRPr="00450879">
              <w:rPr>
                <w:lang w:val="fr-FR"/>
              </w:rPr>
              <w:t>Français</w:t>
            </w:r>
          </w:p>
          <w:p w14:paraId="57FC7956" w14:textId="53834465" w:rsidR="006744EA" w:rsidRPr="00450879" w:rsidRDefault="006744EA" w:rsidP="007E3707">
            <w:pPr>
              <w:rPr>
                <w:lang w:val="fr-FR"/>
              </w:rPr>
            </w:pPr>
            <w:r w:rsidRPr="00450879">
              <w:rPr>
                <w:lang w:val="fr-FR"/>
              </w:rPr>
              <w:t>Original</w:t>
            </w:r>
            <w:r w:rsidR="007E3707" w:rsidRPr="00450879">
              <w:rPr>
                <w:lang w:val="fr-FR"/>
              </w:rPr>
              <w:t> </w:t>
            </w:r>
            <w:r w:rsidRPr="00450879">
              <w:rPr>
                <w:lang w:val="fr-FR"/>
              </w:rPr>
              <w:t xml:space="preserve">: </w:t>
            </w:r>
            <w:r w:rsidR="007E3707" w:rsidRPr="00450879">
              <w:rPr>
                <w:lang w:val="fr-FR"/>
              </w:rPr>
              <w:t>anglais</w:t>
            </w:r>
          </w:p>
        </w:tc>
      </w:tr>
    </w:tbl>
    <w:p w14:paraId="387A175A" w14:textId="1B5A6D39" w:rsidR="00E976AB" w:rsidRPr="00450879" w:rsidRDefault="00C37ED7" w:rsidP="001C523D">
      <w:pPr>
        <w:pStyle w:val="AATitle"/>
        <w:keepNext w:val="0"/>
        <w:keepLines w:val="0"/>
        <w:tabs>
          <w:tab w:val="left" w:pos="4962"/>
        </w:tabs>
        <w:ind w:right="4534"/>
        <w:rPr>
          <w:lang w:val="fr-FR"/>
        </w:rPr>
      </w:pPr>
      <w:r w:rsidRPr="00450879">
        <w:rPr>
          <w:lang w:val="fr-FR"/>
        </w:rPr>
        <w:t xml:space="preserve">Conférence des Parties à la Convention de Minamata </w:t>
      </w:r>
      <w:r w:rsidR="001C523D">
        <w:rPr>
          <w:lang w:val="fr-FR"/>
        </w:rPr>
        <w:br/>
      </w:r>
      <w:r w:rsidRPr="00450879">
        <w:rPr>
          <w:lang w:val="fr-FR"/>
        </w:rPr>
        <w:t>sur le mercure</w:t>
      </w:r>
    </w:p>
    <w:p w14:paraId="3EDEBA27" w14:textId="12A579F5" w:rsidR="00E976AB" w:rsidRPr="00450879" w:rsidRDefault="00C37ED7" w:rsidP="00945EA0">
      <w:pPr>
        <w:pStyle w:val="AATitle"/>
        <w:keepNext w:val="0"/>
        <w:keepLines w:val="0"/>
        <w:rPr>
          <w:lang w:val="fr-FR"/>
        </w:rPr>
      </w:pPr>
      <w:r w:rsidRPr="00450879">
        <w:rPr>
          <w:lang w:val="fr-FR"/>
        </w:rPr>
        <w:t>Première réunion</w:t>
      </w:r>
    </w:p>
    <w:p w14:paraId="01983793" w14:textId="3589431B" w:rsidR="00E976AB" w:rsidRPr="00450879" w:rsidRDefault="00FA44CB" w:rsidP="00061BD9">
      <w:pPr>
        <w:pStyle w:val="AATitle"/>
        <w:rPr>
          <w:b w:val="0"/>
          <w:lang w:val="fr-FR"/>
        </w:rPr>
      </w:pPr>
      <w:r>
        <w:rPr>
          <w:b w:val="0"/>
          <w:lang w:val="fr-FR"/>
        </w:rPr>
        <w:t>Genève, 24–29 septembre </w:t>
      </w:r>
      <w:r w:rsidR="007E3707" w:rsidRPr="00450879">
        <w:rPr>
          <w:b w:val="0"/>
          <w:lang w:val="fr-FR"/>
        </w:rPr>
        <w:t>2017</w:t>
      </w:r>
    </w:p>
    <w:p w14:paraId="4798A7DE" w14:textId="1AD4EAC7" w:rsidR="00312543" w:rsidRPr="00450879" w:rsidRDefault="007E3707" w:rsidP="00236C0F">
      <w:pPr>
        <w:pStyle w:val="AATitle"/>
        <w:keepNext w:val="0"/>
        <w:keepLines w:val="0"/>
        <w:rPr>
          <w:b w:val="0"/>
          <w:lang w:val="fr-FR"/>
        </w:rPr>
      </w:pPr>
      <w:r w:rsidRPr="00450879">
        <w:rPr>
          <w:b w:val="0"/>
          <w:lang w:val="fr-FR"/>
        </w:rPr>
        <w:t>Point </w:t>
      </w:r>
      <w:r w:rsidR="00ED4F25" w:rsidRPr="00450879">
        <w:rPr>
          <w:b w:val="0"/>
          <w:lang w:val="fr-FR"/>
        </w:rPr>
        <w:t>5</w:t>
      </w:r>
      <w:r w:rsidRPr="00450879">
        <w:rPr>
          <w:b w:val="0"/>
          <w:lang w:val="fr-FR"/>
        </w:rPr>
        <w:t> </w:t>
      </w:r>
      <w:r w:rsidR="00ED4F25" w:rsidRPr="00450879">
        <w:rPr>
          <w:b w:val="0"/>
          <w:lang w:val="fr-FR"/>
        </w:rPr>
        <w:t>a</w:t>
      </w:r>
      <w:r w:rsidR="00F70E4F" w:rsidRPr="00450879">
        <w:rPr>
          <w:b w:val="0"/>
          <w:lang w:val="fr-FR"/>
        </w:rPr>
        <w:t>)</w:t>
      </w:r>
      <w:r w:rsidRPr="00450879">
        <w:rPr>
          <w:b w:val="0"/>
          <w:lang w:val="fr-FR"/>
        </w:rPr>
        <w:t> </w:t>
      </w:r>
      <w:r w:rsidR="00ED4F25" w:rsidRPr="00450879">
        <w:rPr>
          <w:b w:val="0"/>
          <w:lang w:val="fr-FR"/>
        </w:rPr>
        <w:t>vii)</w:t>
      </w:r>
      <w:r w:rsidR="00312543" w:rsidRPr="00450879">
        <w:rPr>
          <w:b w:val="0"/>
          <w:lang w:val="fr-FR"/>
        </w:rPr>
        <w:t xml:space="preserve"> </w:t>
      </w:r>
      <w:r w:rsidRPr="00450879">
        <w:rPr>
          <w:b w:val="0"/>
          <w:lang w:val="fr-FR"/>
        </w:rPr>
        <w:t>de l’ordre du jour provisoire</w:t>
      </w:r>
      <w:r w:rsidR="00312543" w:rsidRPr="00450879">
        <w:rPr>
          <w:b w:val="0"/>
          <w:lang w:val="fr-FR"/>
        </w:rPr>
        <w:footnoteReference w:customMarkFollows="1" w:id="2"/>
        <w:t>*</w:t>
      </w:r>
    </w:p>
    <w:p w14:paraId="466CC298" w14:textId="435CAD11" w:rsidR="00787688" w:rsidRPr="00450879" w:rsidRDefault="007E3707" w:rsidP="00B453EF">
      <w:pPr>
        <w:pStyle w:val="AATitle2"/>
        <w:spacing w:before="60" w:after="60"/>
        <w:rPr>
          <w:lang w:val="fr-FR"/>
        </w:rPr>
      </w:pPr>
      <w:r w:rsidRPr="00450879">
        <w:rPr>
          <w:bCs/>
          <w:lang w:val="fr-FR"/>
        </w:rPr>
        <w:t>Questions appelant un</w:t>
      </w:r>
      <w:r w:rsidR="001C523D">
        <w:rPr>
          <w:bCs/>
          <w:lang w:val="fr-FR"/>
        </w:rPr>
        <w:t>e décision de la Conférence des </w:t>
      </w:r>
      <w:r w:rsidRPr="00450879">
        <w:rPr>
          <w:bCs/>
          <w:lang w:val="fr-FR"/>
        </w:rPr>
        <w:t>Parties à sa première réunion </w:t>
      </w:r>
      <w:r w:rsidR="00312543" w:rsidRPr="00450879">
        <w:rPr>
          <w:lang w:val="fr-FR"/>
        </w:rPr>
        <w:t>:</w:t>
      </w:r>
      <w:r w:rsidR="00F70E4F" w:rsidRPr="00450879">
        <w:rPr>
          <w:lang w:val="fr-FR"/>
        </w:rPr>
        <w:t xml:space="preserve"> </w:t>
      </w:r>
      <w:r w:rsidRPr="00450879">
        <w:rPr>
          <w:lang w:val="fr-FR"/>
        </w:rPr>
        <w:t>questions prévues dans la Convention </w:t>
      </w:r>
      <w:r w:rsidR="00ED4F25" w:rsidRPr="00450879">
        <w:rPr>
          <w:lang w:val="fr-FR"/>
        </w:rPr>
        <w:t xml:space="preserve">: </w:t>
      </w:r>
      <w:r w:rsidR="001C523D">
        <w:rPr>
          <w:lang w:val="fr-FR"/>
        </w:rPr>
        <w:t>mise en place d’arrangements en </w:t>
      </w:r>
      <w:r w:rsidRPr="00450879">
        <w:rPr>
          <w:lang w:val="fr-FR"/>
        </w:rPr>
        <w:t>matière d’évaluation de l’efficacité (art. 22, par. 2)</w:t>
      </w:r>
    </w:p>
    <w:p w14:paraId="17ACC74B" w14:textId="6377971C" w:rsidR="00312543" w:rsidRPr="00450879" w:rsidRDefault="007E3707" w:rsidP="00313AE4">
      <w:pPr>
        <w:pStyle w:val="BBTitle"/>
        <w:rPr>
          <w:lang w:val="fr-FR"/>
        </w:rPr>
      </w:pPr>
      <w:r w:rsidRPr="00450879">
        <w:rPr>
          <w:lang w:val="fr-FR"/>
        </w:rPr>
        <w:t>Mise en place d’arrangem</w:t>
      </w:r>
      <w:r w:rsidR="00AD33AB">
        <w:rPr>
          <w:lang w:val="fr-FR"/>
        </w:rPr>
        <w:t>ents en matière d’évaluation de </w:t>
      </w:r>
      <w:r w:rsidRPr="00450879">
        <w:rPr>
          <w:lang w:val="fr-FR"/>
        </w:rPr>
        <w:t>l’efficacité (art. 22, par. 2)</w:t>
      </w:r>
    </w:p>
    <w:p w14:paraId="5A6649A8" w14:textId="0CAEF6CE" w:rsidR="00312543" w:rsidRPr="00450879" w:rsidRDefault="00312543" w:rsidP="008908B6">
      <w:pPr>
        <w:pStyle w:val="CH2"/>
        <w:rPr>
          <w:lang w:val="fr-FR"/>
        </w:rPr>
      </w:pPr>
      <w:r w:rsidRPr="00450879">
        <w:rPr>
          <w:lang w:val="fr-FR"/>
        </w:rPr>
        <w:tab/>
      </w:r>
      <w:r w:rsidRPr="00450879">
        <w:rPr>
          <w:lang w:val="fr-FR"/>
        </w:rPr>
        <w:tab/>
        <w:t xml:space="preserve">Note </w:t>
      </w:r>
      <w:r w:rsidR="007E3707" w:rsidRPr="00450879">
        <w:rPr>
          <w:lang w:val="fr-FR"/>
        </w:rPr>
        <w:t>du secrétariat</w:t>
      </w:r>
    </w:p>
    <w:p w14:paraId="2124A1D4" w14:textId="3D20FF00" w:rsidR="00312543" w:rsidRPr="00450879" w:rsidRDefault="00DC4F40" w:rsidP="00F74134">
      <w:pPr>
        <w:pStyle w:val="Normalnumber"/>
        <w:rPr>
          <w:lang w:val="fr-FR"/>
        </w:rPr>
      </w:pPr>
      <w:r w:rsidRPr="00450879">
        <w:rPr>
          <w:lang w:val="fr-FR"/>
        </w:rPr>
        <w:t>Le paragraphe 1 de l’article 22 de la Convention de Minamata sur le mercure prévoit que la Conférence des Parties évalue</w:t>
      </w:r>
      <w:r w:rsidR="0099193B" w:rsidRPr="00450879">
        <w:rPr>
          <w:lang w:val="fr-FR"/>
        </w:rPr>
        <w:t xml:space="preserve"> </w:t>
      </w:r>
      <w:r w:rsidRPr="00450879">
        <w:rPr>
          <w:lang w:val="fr-FR"/>
        </w:rPr>
        <w:t>l’efficacité de la Convention au plus tard six ans après sa date d’entrée en vigueur et, par la suite, périodiquement, à des intervalles dont elle décidera</w:t>
      </w:r>
      <w:r w:rsidR="00E13D24" w:rsidRPr="00450879">
        <w:rPr>
          <w:lang w:val="fr-FR"/>
        </w:rPr>
        <w:t>.</w:t>
      </w:r>
      <w:r w:rsidRPr="00450879">
        <w:rPr>
          <w:lang w:val="fr-FR"/>
        </w:rPr>
        <w:t xml:space="preserve"> </w:t>
      </w:r>
      <w:r w:rsidR="00F74134" w:rsidRPr="00450879">
        <w:rPr>
          <w:lang w:val="fr-FR"/>
        </w:rPr>
        <w:t>Aux termes du</w:t>
      </w:r>
      <w:r w:rsidRPr="00450879">
        <w:rPr>
          <w:lang w:val="fr-FR"/>
        </w:rPr>
        <w:t xml:space="preserve"> paragraphe 2 du même article</w:t>
      </w:r>
      <w:r w:rsidR="00F74134" w:rsidRPr="00450879">
        <w:rPr>
          <w:lang w:val="fr-FR"/>
        </w:rPr>
        <w:t>,</w:t>
      </w:r>
      <w:r w:rsidRPr="00450879">
        <w:rPr>
          <w:lang w:val="fr-FR"/>
        </w:rPr>
        <w:t xml:space="preserve"> la Conférence des Parties</w:t>
      </w:r>
      <w:r w:rsidR="00E13D24" w:rsidRPr="00450879">
        <w:rPr>
          <w:lang w:val="fr-FR"/>
        </w:rPr>
        <w:t xml:space="preserve"> </w:t>
      </w:r>
      <w:r w:rsidR="00F74134" w:rsidRPr="00450879">
        <w:rPr>
          <w:lang w:val="fr-FR"/>
        </w:rPr>
        <w:t>lance, à sa première réunion, la mise en place d’arrangements pour obtenir des données de surveillance comparables sur la présence et les mouvements de mercure et de composés du mercure dans l’environnement ainsi que sur les tendances des concentrations de mercure et de composés du mercure observées dans les milieux biotiques et chez les populations vulnérables</w:t>
      </w:r>
      <w:r w:rsidR="00ED4F25" w:rsidRPr="00450879">
        <w:rPr>
          <w:lang w:val="fr-FR"/>
        </w:rPr>
        <w:t xml:space="preserve">. </w:t>
      </w:r>
    </w:p>
    <w:p w14:paraId="43C233EE" w14:textId="4AC8A1A9" w:rsidR="00445DAD" w:rsidRPr="00450879" w:rsidRDefault="00F74134" w:rsidP="00F57D32">
      <w:pPr>
        <w:pStyle w:val="Normalnumber"/>
        <w:rPr>
          <w:lang w:val="fr-FR"/>
        </w:rPr>
      </w:pPr>
      <w:r w:rsidRPr="00450879">
        <w:rPr>
          <w:lang w:val="fr-FR"/>
        </w:rPr>
        <w:t>Le paragraphe </w:t>
      </w:r>
      <w:r w:rsidR="00CE49F6" w:rsidRPr="00450879">
        <w:rPr>
          <w:lang w:val="fr-FR"/>
        </w:rPr>
        <w:t xml:space="preserve">3 </w:t>
      </w:r>
      <w:r w:rsidRPr="00450879">
        <w:rPr>
          <w:lang w:val="fr-FR"/>
        </w:rPr>
        <w:t>de l’</w:t>
      </w:r>
      <w:r w:rsidR="00CE49F6" w:rsidRPr="00450879">
        <w:rPr>
          <w:lang w:val="fr-FR"/>
        </w:rPr>
        <w:t>article</w:t>
      </w:r>
      <w:r w:rsidRPr="00450879">
        <w:rPr>
          <w:lang w:val="fr-FR"/>
        </w:rPr>
        <w:t> </w:t>
      </w:r>
      <w:r w:rsidR="00445DAD" w:rsidRPr="00450879">
        <w:rPr>
          <w:lang w:val="fr-FR"/>
        </w:rPr>
        <w:t xml:space="preserve">22 </w:t>
      </w:r>
      <w:r w:rsidRPr="00450879">
        <w:rPr>
          <w:lang w:val="fr-FR"/>
        </w:rPr>
        <w:t>dispose également que</w:t>
      </w:r>
      <w:r w:rsidR="00445DAD" w:rsidRPr="00450879">
        <w:rPr>
          <w:lang w:val="fr-FR"/>
        </w:rPr>
        <w:t xml:space="preserve"> </w:t>
      </w:r>
      <w:r w:rsidRPr="00450879">
        <w:rPr>
          <w:lang w:val="fr-FR"/>
        </w:rPr>
        <w:t xml:space="preserve">l’évaluation est effectuée sur la base des informations scientifiques, environnementales, techniques, financières et économiques disponibles, incluant des rapports et d’autres données de surveillance fournis conformément aux arrangements </w:t>
      </w:r>
      <w:bookmarkStart w:id="2" w:name="_Hlk484940493"/>
      <w:r w:rsidRPr="00450879">
        <w:rPr>
          <w:lang w:val="fr-FR"/>
        </w:rPr>
        <w:t>pour obtenir des données de surveillance comparables</w:t>
      </w:r>
      <w:bookmarkEnd w:id="2"/>
      <w:r w:rsidR="00E13D24" w:rsidRPr="00450879">
        <w:rPr>
          <w:lang w:val="fr-FR"/>
        </w:rPr>
        <w:t xml:space="preserve">, </w:t>
      </w:r>
      <w:r w:rsidR="00F57D32" w:rsidRPr="00450879">
        <w:rPr>
          <w:lang w:val="fr-FR"/>
        </w:rPr>
        <w:t>des rapports soumis par les Parties conformément aux obligations en matière d’établissement de rapports énoncées à l’article 21</w:t>
      </w:r>
      <w:r w:rsidR="00E13D24" w:rsidRPr="00450879">
        <w:rPr>
          <w:lang w:val="fr-FR"/>
        </w:rPr>
        <w:t xml:space="preserve">, </w:t>
      </w:r>
      <w:r w:rsidR="00F57D32" w:rsidRPr="00450879">
        <w:rPr>
          <w:lang w:val="fr-FR"/>
        </w:rPr>
        <w:t xml:space="preserve">des informations et des recommandations fournies conformément à l’article 15 </w:t>
      </w:r>
      <w:r w:rsidR="00B47BFC" w:rsidRPr="00450879">
        <w:rPr>
          <w:lang w:val="fr-FR"/>
        </w:rPr>
        <w:t>(</w:t>
      </w:r>
      <w:r w:rsidR="00EF7C86">
        <w:rPr>
          <w:lang w:val="fr-FR"/>
        </w:rPr>
        <w:t>concernant</w:t>
      </w:r>
      <w:r w:rsidR="00F57D32" w:rsidRPr="00450879">
        <w:rPr>
          <w:lang w:val="fr-FR"/>
        </w:rPr>
        <w:t xml:space="preserve"> le</w:t>
      </w:r>
      <w:r w:rsidR="008915BC" w:rsidRPr="00450879">
        <w:rPr>
          <w:lang w:val="fr-FR"/>
        </w:rPr>
        <w:t xml:space="preserve"> </w:t>
      </w:r>
      <w:r w:rsidR="00F57D32" w:rsidRPr="00450879">
        <w:rPr>
          <w:lang w:val="fr-FR"/>
        </w:rPr>
        <w:t>Comité de mise en œuvre et du respect des obligations</w:t>
      </w:r>
      <w:r w:rsidR="00B47BFC" w:rsidRPr="00450879">
        <w:rPr>
          <w:lang w:val="fr-FR"/>
        </w:rPr>
        <w:t>)</w:t>
      </w:r>
      <w:r w:rsidR="00E13D24" w:rsidRPr="00450879">
        <w:rPr>
          <w:lang w:val="fr-FR"/>
        </w:rPr>
        <w:t xml:space="preserve"> </w:t>
      </w:r>
      <w:r w:rsidR="00F57D32" w:rsidRPr="00450879">
        <w:rPr>
          <w:lang w:val="fr-FR"/>
        </w:rPr>
        <w:t>ainsi que</w:t>
      </w:r>
      <w:r w:rsidR="00E13D24" w:rsidRPr="00450879">
        <w:rPr>
          <w:lang w:val="fr-FR"/>
        </w:rPr>
        <w:t xml:space="preserve"> </w:t>
      </w:r>
      <w:r w:rsidR="00F57D32" w:rsidRPr="00450879">
        <w:rPr>
          <w:lang w:val="fr-FR"/>
        </w:rPr>
        <w:t>des rapports et d’autres informations pertinentes sur le fonctionnement des arrangements en matière d’assistance financière, de transfert de technologies et de renforcement des capacités mis en place au titre de la Convention</w:t>
      </w:r>
      <w:r w:rsidR="00E13D24" w:rsidRPr="00450879">
        <w:rPr>
          <w:lang w:val="fr-FR"/>
        </w:rPr>
        <w:t xml:space="preserve">. </w:t>
      </w:r>
    </w:p>
    <w:p w14:paraId="4CE7B7DF" w14:textId="0236C1C1" w:rsidR="00312543" w:rsidRPr="00450879" w:rsidRDefault="002F4B55" w:rsidP="000F38FF">
      <w:pPr>
        <w:pStyle w:val="Normalnumber"/>
        <w:rPr>
          <w:lang w:val="fr-FR"/>
        </w:rPr>
      </w:pPr>
      <w:r w:rsidRPr="00450879">
        <w:rPr>
          <w:lang w:val="fr-FR"/>
        </w:rPr>
        <w:t xml:space="preserve">À sa sixième </w:t>
      </w:r>
      <w:r w:rsidR="00312543" w:rsidRPr="00450879">
        <w:rPr>
          <w:lang w:val="fr-FR"/>
        </w:rPr>
        <w:t xml:space="preserve">session, </w:t>
      </w:r>
      <w:r w:rsidRPr="00450879">
        <w:rPr>
          <w:lang w:val="fr-FR"/>
        </w:rPr>
        <w:t xml:space="preserve">le Comité de négociation intergouvernemental chargé d’élaborer un instrument international juridiquement contraignant sur le </w:t>
      </w:r>
      <w:r w:rsidR="00CB6DE4">
        <w:rPr>
          <w:lang w:val="fr-FR"/>
        </w:rPr>
        <w:t xml:space="preserve">mercure a examiné un document établi </w:t>
      </w:r>
      <w:r w:rsidRPr="00450879">
        <w:rPr>
          <w:lang w:val="fr-FR"/>
        </w:rPr>
        <w:t>par le secrétariat concernant les informations relatives aux données de surveillance alors disponibles</w:t>
      </w:r>
      <w:r w:rsidR="0071470C" w:rsidRPr="00450879">
        <w:rPr>
          <w:lang w:val="fr-FR"/>
        </w:rPr>
        <w:t xml:space="preserve">. </w:t>
      </w:r>
      <w:r w:rsidR="00233268" w:rsidRPr="00450879">
        <w:rPr>
          <w:lang w:val="fr-FR"/>
        </w:rPr>
        <w:t>Le</w:t>
      </w:r>
      <w:r w:rsidR="00773E4C">
        <w:rPr>
          <w:lang w:val="fr-FR"/>
        </w:rPr>
        <w:t> </w:t>
      </w:r>
      <w:r w:rsidR="00233268" w:rsidRPr="00450879">
        <w:rPr>
          <w:lang w:val="fr-FR"/>
        </w:rPr>
        <w:t>Comité a décidé que le secrétariat</w:t>
      </w:r>
      <w:r w:rsidR="0071470C" w:rsidRPr="00450879">
        <w:rPr>
          <w:lang w:val="fr-FR"/>
        </w:rPr>
        <w:t xml:space="preserve"> </w:t>
      </w:r>
      <w:r w:rsidR="00233268" w:rsidRPr="00450879">
        <w:rPr>
          <w:lang w:val="fr-FR"/>
        </w:rPr>
        <w:t>devrait solliciter</w:t>
      </w:r>
      <w:r w:rsidR="008433FD">
        <w:rPr>
          <w:lang w:val="fr-FR"/>
        </w:rPr>
        <w:t>,</w:t>
      </w:r>
      <w:r w:rsidR="00233268" w:rsidRPr="00450879">
        <w:rPr>
          <w:lang w:val="fr-FR"/>
        </w:rPr>
        <w:t xml:space="preserve"> </w:t>
      </w:r>
      <w:r w:rsidR="00CB6DE4" w:rsidRPr="00450879">
        <w:rPr>
          <w:lang w:val="fr-FR"/>
        </w:rPr>
        <w:t>auprès de tous les gouvernements e</w:t>
      </w:r>
      <w:r w:rsidR="00CB6DE4">
        <w:rPr>
          <w:lang w:val="fr-FR"/>
        </w:rPr>
        <w:t>t des organisations compétentes</w:t>
      </w:r>
      <w:r w:rsidR="00CB6DE4" w:rsidRPr="00450879">
        <w:rPr>
          <w:lang w:val="fr-FR"/>
        </w:rPr>
        <w:t xml:space="preserve"> </w:t>
      </w:r>
      <w:r w:rsidR="00233268" w:rsidRPr="00450879">
        <w:rPr>
          <w:lang w:val="fr-FR"/>
        </w:rPr>
        <w:t>des informations supplémentaires sur l</w:t>
      </w:r>
      <w:r w:rsidR="00CB6DE4">
        <w:rPr>
          <w:lang w:val="fr-FR"/>
        </w:rPr>
        <w:t xml:space="preserve">es </w:t>
      </w:r>
      <w:r w:rsidR="00233268" w:rsidRPr="00450879">
        <w:rPr>
          <w:lang w:val="fr-FR"/>
        </w:rPr>
        <w:t xml:space="preserve">données de surveillance </w:t>
      </w:r>
      <w:r w:rsidR="00CB6DE4">
        <w:rPr>
          <w:lang w:val="fr-FR"/>
        </w:rPr>
        <w:t xml:space="preserve">disponibles </w:t>
      </w:r>
      <w:r w:rsidR="00233268" w:rsidRPr="00450879">
        <w:rPr>
          <w:lang w:val="fr-FR"/>
        </w:rPr>
        <w:t>et établir une compilation et une analyse des moyens d’obtenir ces données, afin que le Comité les examine à sa septième session</w:t>
      </w:r>
      <w:r w:rsidR="006F16F3" w:rsidRPr="00450879">
        <w:rPr>
          <w:lang w:val="fr-FR"/>
        </w:rPr>
        <w:t xml:space="preserve">. </w:t>
      </w:r>
      <w:r w:rsidR="000F38FF" w:rsidRPr="00450879">
        <w:rPr>
          <w:lang w:val="fr-FR"/>
        </w:rPr>
        <w:t xml:space="preserve">On s’est intéressé en priorité aux besoins en matière de </w:t>
      </w:r>
      <w:r w:rsidR="000F38FF" w:rsidRPr="00450879">
        <w:rPr>
          <w:lang w:val="fr-FR"/>
        </w:rPr>
        <w:lastRenderedPageBreak/>
        <w:t>renforcement des capacités des pays en développement et des pays à économie en transition, au rôle joué par les activités régionales et à l’intérêt des partenariats</w:t>
      </w:r>
      <w:r w:rsidR="006F16F3" w:rsidRPr="00450879">
        <w:rPr>
          <w:lang w:val="fr-FR"/>
        </w:rPr>
        <w:t>.</w:t>
      </w:r>
    </w:p>
    <w:p w14:paraId="0E7756F7" w14:textId="4DA35A0C" w:rsidR="001B0205" w:rsidRPr="00450879" w:rsidRDefault="00C66B68" w:rsidP="00275C23">
      <w:pPr>
        <w:pStyle w:val="Normalnumber"/>
        <w:rPr>
          <w:lang w:val="fr-FR"/>
        </w:rPr>
      </w:pPr>
      <w:r w:rsidRPr="00450879">
        <w:rPr>
          <w:lang w:val="fr-FR"/>
        </w:rPr>
        <w:t>À sa septième</w:t>
      </w:r>
      <w:r w:rsidR="006F16F3" w:rsidRPr="00450879">
        <w:rPr>
          <w:lang w:val="fr-FR"/>
        </w:rPr>
        <w:t xml:space="preserve"> session, </w:t>
      </w:r>
      <w:r w:rsidRPr="00450879">
        <w:rPr>
          <w:lang w:val="fr-FR"/>
        </w:rPr>
        <w:t xml:space="preserve">le Comité de négociation intergouvernemental a examiné la compilation et l’analyse </w:t>
      </w:r>
      <w:r w:rsidR="00CB6DE4">
        <w:rPr>
          <w:lang w:val="fr-FR"/>
        </w:rPr>
        <w:t xml:space="preserve">établie </w:t>
      </w:r>
      <w:r w:rsidRPr="00450879">
        <w:rPr>
          <w:lang w:val="fr-FR"/>
        </w:rPr>
        <w:t>par le secrétariat et approuvé un plan</w:t>
      </w:r>
      <w:r w:rsidR="00445DAD" w:rsidRPr="00450879">
        <w:rPr>
          <w:lang w:val="fr-FR"/>
        </w:rPr>
        <w:t xml:space="preserve"> </w:t>
      </w:r>
      <w:r w:rsidR="00275C23" w:rsidRPr="00450879">
        <w:rPr>
          <w:lang w:val="fr-FR"/>
        </w:rPr>
        <w:t>visant à aider la Conférence des Parties à lancer, à sa première réunion, l</w:t>
      </w:r>
      <w:r w:rsidR="00635681" w:rsidRPr="00450879">
        <w:rPr>
          <w:lang w:val="fr-FR"/>
        </w:rPr>
        <w:t>a mise en place d</w:t>
      </w:r>
      <w:r w:rsidR="00275C23" w:rsidRPr="00450879">
        <w:rPr>
          <w:lang w:val="fr-FR"/>
        </w:rPr>
        <w:t>e</w:t>
      </w:r>
      <w:r w:rsidR="00CB6DE4">
        <w:rPr>
          <w:lang w:val="fr-FR"/>
        </w:rPr>
        <w:t xml:space="preserve"> mécanismes </w:t>
      </w:r>
      <w:r w:rsidR="00275C23" w:rsidRPr="00450879">
        <w:rPr>
          <w:lang w:val="fr-FR"/>
        </w:rPr>
        <w:t>permettant d’obtenir des données de surveillance comparables afin de faciliter l’évaluation de l’efficacité (UNEP(DTIE)/Hg/INC.7/22</w:t>
      </w:r>
      <w:r w:rsidR="0021251F">
        <w:rPr>
          <w:lang w:val="fr-FR"/>
        </w:rPr>
        <w:t>/Rev.1</w:t>
      </w:r>
      <w:r w:rsidR="00275C23" w:rsidRPr="00450879">
        <w:rPr>
          <w:lang w:val="fr-FR"/>
        </w:rPr>
        <w:t>, annexe </w:t>
      </w:r>
      <w:r w:rsidR="003C212B" w:rsidRPr="00450879">
        <w:rPr>
          <w:lang w:val="fr-FR"/>
        </w:rPr>
        <w:t>VIII)</w:t>
      </w:r>
      <w:r w:rsidR="00445DAD" w:rsidRPr="00450879">
        <w:rPr>
          <w:lang w:val="fr-FR"/>
        </w:rPr>
        <w:t xml:space="preserve">. </w:t>
      </w:r>
      <w:r w:rsidR="00275C23" w:rsidRPr="00450879">
        <w:rPr>
          <w:lang w:val="fr-FR"/>
        </w:rPr>
        <w:t>Dans le cadre de ce</w:t>
      </w:r>
      <w:r w:rsidR="00445DAD" w:rsidRPr="00450879">
        <w:rPr>
          <w:lang w:val="fr-FR"/>
        </w:rPr>
        <w:t xml:space="preserve"> plan, </w:t>
      </w:r>
      <w:r w:rsidR="00635681" w:rsidRPr="00450879">
        <w:rPr>
          <w:lang w:val="fr-FR"/>
        </w:rPr>
        <w:t>le secrétariat provisoire serait chargé</w:t>
      </w:r>
      <w:r w:rsidR="00E8548A" w:rsidRPr="00450879">
        <w:rPr>
          <w:lang w:val="fr-FR"/>
        </w:rPr>
        <w:t> </w:t>
      </w:r>
      <w:r w:rsidR="00445DAD" w:rsidRPr="00450879">
        <w:rPr>
          <w:lang w:val="fr-FR"/>
        </w:rPr>
        <w:t xml:space="preserve">: </w:t>
      </w:r>
    </w:p>
    <w:p w14:paraId="02437E43" w14:textId="0311B5F7" w:rsidR="001B0205" w:rsidRPr="00450879" w:rsidRDefault="00E8548A" w:rsidP="00635681">
      <w:pPr>
        <w:pStyle w:val="Normalnumber"/>
        <w:numPr>
          <w:ilvl w:val="2"/>
          <w:numId w:val="133"/>
        </w:numPr>
        <w:ind w:left="1276" w:firstLine="567"/>
        <w:rPr>
          <w:lang w:val="fr-FR"/>
        </w:rPr>
      </w:pPr>
      <w:r w:rsidRPr="00450879">
        <w:rPr>
          <w:lang w:val="fr-FR"/>
        </w:rPr>
        <w:t>De c</w:t>
      </w:r>
      <w:r w:rsidR="00635681" w:rsidRPr="00450879">
        <w:rPr>
          <w:lang w:val="fr-FR"/>
        </w:rPr>
        <w:t xml:space="preserve">ompiler les informations sur les programmes de surveillance existants et sur la manière dont ceux-ci </w:t>
      </w:r>
      <w:r w:rsidR="00F5169F" w:rsidRPr="00450879">
        <w:rPr>
          <w:lang w:val="fr-FR"/>
        </w:rPr>
        <w:t>pourraient</w:t>
      </w:r>
      <w:r w:rsidR="00635681" w:rsidRPr="00450879">
        <w:rPr>
          <w:lang w:val="fr-FR"/>
        </w:rPr>
        <w:t xml:space="preserve"> contribuer à une stratégie de surveillance globale, y compris sur la disponibilité de données de référence</w:t>
      </w:r>
      <w:r w:rsidR="00445DAD" w:rsidRPr="00450879">
        <w:rPr>
          <w:lang w:val="fr-FR"/>
        </w:rPr>
        <w:t xml:space="preserve">; </w:t>
      </w:r>
    </w:p>
    <w:p w14:paraId="61A3FCC3" w14:textId="4DE927E8" w:rsidR="001B0205" w:rsidRPr="00450879" w:rsidRDefault="00E8548A" w:rsidP="00635681">
      <w:pPr>
        <w:pStyle w:val="Normalnumber"/>
        <w:numPr>
          <w:ilvl w:val="2"/>
          <w:numId w:val="133"/>
        </w:numPr>
        <w:ind w:left="1276" w:firstLine="567"/>
        <w:rPr>
          <w:lang w:val="fr-FR"/>
        </w:rPr>
      </w:pPr>
      <w:r w:rsidRPr="00450879">
        <w:rPr>
          <w:lang w:val="fr-FR"/>
        </w:rPr>
        <w:t>De c</w:t>
      </w:r>
      <w:r w:rsidR="00F5169F" w:rsidRPr="00450879">
        <w:rPr>
          <w:lang w:val="fr-FR"/>
        </w:rPr>
        <w:t>oncevoir un projet de feuille de route qui prévoie notamment la description succincte des types de données</w:t>
      </w:r>
      <w:r w:rsidR="00445DAD" w:rsidRPr="00450879">
        <w:rPr>
          <w:lang w:val="fr-FR"/>
        </w:rPr>
        <w:t xml:space="preserve">, </w:t>
      </w:r>
      <w:r w:rsidR="00F5169F" w:rsidRPr="00450879">
        <w:rPr>
          <w:lang w:val="fr-FR"/>
        </w:rPr>
        <w:t>l’élaboration d’un projet de cadre organisant la stratégie de surveillance mondiale, qui permette de tenir compte des résultats comparables issus d</w:t>
      </w:r>
      <w:r w:rsidR="007B2CE7">
        <w:rPr>
          <w:lang w:val="fr-FR"/>
        </w:rPr>
        <w:t xml:space="preserve">e </w:t>
      </w:r>
      <w:r w:rsidR="00F5169F" w:rsidRPr="00450879">
        <w:rPr>
          <w:lang w:val="fr-FR"/>
        </w:rPr>
        <w:t xml:space="preserve">futures activités </w:t>
      </w:r>
      <w:r w:rsidR="007B2CE7">
        <w:rPr>
          <w:lang w:val="fr-FR"/>
        </w:rPr>
        <w:t xml:space="preserve">possibles </w:t>
      </w:r>
      <w:r w:rsidR="00F5169F" w:rsidRPr="00450879">
        <w:rPr>
          <w:lang w:val="fr-FR"/>
        </w:rPr>
        <w:t>de surveillance et</w:t>
      </w:r>
      <w:r w:rsidR="00445DAD" w:rsidRPr="00450879">
        <w:rPr>
          <w:lang w:val="fr-FR"/>
        </w:rPr>
        <w:t xml:space="preserve"> </w:t>
      </w:r>
      <w:r w:rsidR="00F5169F" w:rsidRPr="00450879">
        <w:rPr>
          <w:lang w:val="fr-FR"/>
        </w:rPr>
        <w:t>la mise au point d’un projet de stratégie visant à tenir compte de</w:t>
      </w:r>
      <w:r w:rsidR="003034F2">
        <w:rPr>
          <w:lang w:val="fr-FR"/>
        </w:rPr>
        <w:t>s</w:t>
      </w:r>
      <w:r w:rsidR="00F5169F" w:rsidRPr="00450879">
        <w:rPr>
          <w:lang w:val="fr-FR"/>
        </w:rPr>
        <w:t xml:space="preserve"> rapports et autres données de surveillance qui pourraient servir à l’évaluation de l’efficacité de la Convention</w:t>
      </w:r>
      <w:r w:rsidR="00445DAD" w:rsidRPr="00450879">
        <w:rPr>
          <w:lang w:val="fr-FR"/>
        </w:rPr>
        <w:t xml:space="preserve">; </w:t>
      </w:r>
    </w:p>
    <w:p w14:paraId="57A4CE47" w14:textId="726A8A6A" w:rsidR="00445DAD" w:rsidRPr="00450879" w:rsidRDefault="00E8548A" w:rsidP="00635681">
      <w:pPr>
        <w:pStyle w:val="Normalnumber"/>
        <w:numPr>
          <w:ilvl w:val="2"/>
          <w:numId w:val="133"/>
        </w:numPr>
        <w:ind w:left="1276" w:firstLine="567"/>
        <w:rPr>
          <w:lang w:val="fr-FR"/>
        </w:rPr>
      </w:pPr>
      <w:r w:rsidRPr="00450879">
        <w:rPr>
          <w:lang w:val="fr-FR"/>
        </w:rPr>
        <w:t>D’établir un rapport assort</w:t>
      </w:r>
      <w:r w:rsidR="002E0AA9" w:rsidRPr="00450879">
        <w:rPr>
          <w:lang w:val="fr-FR"/>
        </w:rPr>
        <w:t>i de recommandations concernant</w:t>
      </w:r>
      <w:r w:rsidRPr="00450879">
        <w:rPr>
          <w:lang w:val="fr-FR"/>
        </w:rPr>
        <w:t xml:space="preserve"> la </w:t>
      </w:r>
      <w:bookmarkStart w:id="3" w:name="_Hlk484771136"/>
      <w:r w:rsidRPr="00450879">
        <w:rPr>
          <w:lang w:val="fr-FR"/>
        </w:rPr>
        <w:t>mise en place d</w:t>
      </w:r>
      <w:r w:rsidR="007B2CE7">
        <w:rPr>
          <w:lang w:val="fr-FR"/>
        </w:rPr>
        <w:t xml:space="preserve">e mécanismes </w:t>
      </w:r>
      <w:r w:rsidRPr="00450879">
        <w:rPr>
          <w:lang w:val="fr-FR"/>
        </w:rPr>
        <w:t>pour obtenir des données de surveillance comparables</w:t>
      </w:r>
      <w:bookmarkEnd w:id="3"/>
      <w:r w:rsidRPr="00450879">
        <w:rPr>
          <w:lang w:val="fr-FR"/>
        </w:rPr>
        <w:t xml:space="preserve"> sur la présence et les mouvements de mercure et de composés du mercure dans l’environnement ainsi que sur les tendances des concentrations de mercure et de composés du mercure observées dans les milieux biotiques et chez les populations vulnérables, tel que prévu au paragraphe 2 de l’article 22, y compris des </w:t>
      </w:r>
      <w:bookmarkStart w:id="4" w:name="_Hlk484771195"/>
      <w:r w:rsidRPr="00450879">
        <w:rPr>
          <w:lang w:val="fr-FR"/>
        </w:rPr>
        <w:t>références pour évaluer les données de base</w:t>
      </w:r>
      <w:bookmarkEnd w:id="4"/>
      <w:r w:rsidR="00445DAD" w:rsidRPr="00450879">
        <w:rPr>
          <w:lang w:val="fr-FR"/>
        </w:rPr>
        <w:t xml:space="preserve">. </w:t>
      </w:r>
    </w:p>
    <w:p w14:paraId="1FEAA62E" w14:textId="69314011" w:rsidR="00445DAD" w:rsidRPr="00450879" w:rsidRDefault="007B2CE7" w:rsidP="0084767A">
      <w:pPr>
        <w:pStyle w:val="Normalnumber"/>
        <w:rPr>
          <w:lang w:val="fr-FR"/>
        </w:rPr>
      </w:pPr>
      <w:r>
        <w:rPr>
          <w:lang w:val="fr-FR"/>
        </w:rPr>
        <w:t xml:space="preserve">Le secrétariat a demandé que des nouvelles </w:t>
      </w:r>
      <w:r w:rsidR="0084767A" w:rsidRPr="00450879">
        <w:rPr>
          <w:lang w:val="fr-FR"/>
        </w:rPr>
        <w:t>informations sur les données de surveillance</w:t>
      </w:r>
      <w:r>
        <w:rPr>
          <w:lang w:val="fr-FR"/>
        </w:rPr>
        <w:t xml:space="preserve"> lui soient soumises</w:t>
      </w:r>
      <w:r w:rsidR="000C2DB9" w:rsidRPr="00450879">
        <w:rPr>
          <w:lang w:val="fr-FR"/>
        </w:rPr>
        <w:t>.</w:t>
      </w:r>
      <w:r w:rsidR="0084767A" w:rsidRPr="00450879">
        <w:rPr>
          <w:lang w:val="fr-FR"/>
        </w:rPr>
        <w:t xml:space="preserve"> </w:t>
      </w:r>
      <w:r>
        <w:rPr>
          <w:lang w:val="fr-FR"/>
        </w:rPr>
        <w:t>H</w:t>
      </w:r>
      <w:r w:rsidR="0084767A" w:rsidRPr="00450879">
        <w:rPr>
          <w:lang w:val="fr-FR"/>
        </w:rPr>
        <w:t>uit gouvernements, une</w:t>
      </w:r>
      <w:r w:rsidR="00643B83" w:rsidRPr="00450879">
        <w:rPr>
          <w:lang w:val="fr-FR"/>
        </w:rPr>
        <w:t xml:space="preserve"> </w:t>
      </w:r>
      <w:r w:rsidR="0084767A" w:rsidRPr="00450879">
        <w:rPr>
          <w:lang w:val="fr-FR"/>
        </w:rPr>
        <w:t>organisation d’intégration économique régionale</w:t>
      </w:r>
      <w:r w:rsidR="00643B83" w:rsidRPr="00450879">
        <w:rPr>
          <w:lang w:val="fr-FR"/>
        </w:rPr>
        <w:t>,</w:t>
      </w:r>
      <w:r w:rsidR="0084767A" w:rsidRPr="00450879">
        <w:rPr>
          <w:lang w:val="fr-FR"/>
        </w:rPr>
        <w:t xml:space="preserve"> le Programme des Nations Unies pour l’environnement (PNUE) et quatre organisations non gouvernementales</w:t>
      </w:r>
      <w:r>
        <w:rPr>
          <w:lang w:val="fr-FR"/>
        </w:rPr>
        <w:t xml:space="preserve"> ont communiqué des informations. Elles </w:t>
      </w:r>
      <w:r w:rsidR="0084767A" w:rsidRPr="00450879">
        <w:rPr>
          <w:lang w:val="fr-FR"/>
        </w:rPr>
        <w:t xml:space="preserve">ont été compilées et </w:t>
      </w:r>
      <w:r>
        <w:rPr>
          <w:lang w:val="fr-FR"/>
        </w:rPr>
        <w:t>peuvent être consultées e</w:t>
      </w:r>
      <w:r w:rsidR="0084767A" w:rsidRPr="00450879">
        <w:rPr>
          <w:lang w:val="fr-FR"/>
        </w:rPr>
        <w:t xml:space="preserve">n ligne </w:t>
      </w:r>
      <w:r w:rsidR="009B56A1" w:rsidRPr="00450879">
        <w:rPr>
          <w:lang w:val="fr-FR"/>
        </w:rPr>
        <w:t>(www.mercuryconvention.org/Negotiations/submissionsforCOP1/tabid/5535).</w:t>
      </w:r>
      <w:r w:rsidR="009B56A1" w:rsidRPr="00450879" w:rsidDel="007260E6">
        <w:rPr>
          <w:lang w:val="fr-FR"/>
        </w:rPr>
        <w:t xml:space="preserve"> </w:t>
      </w:r>
      <w:r w:rsidR="000C2DB9" w:rsidRPr="00450879">
        <w:rPr>
          <w:lang w:val="fr-FR"/>
        </w:rPr>
        <w:t xml:space="preserve"> </w:t>
      </w:r>
    </w:p>
    <w:p w14:paraId="7F2AD581" w14:textId="5A32301A" w:rsidR="00643B83" w:rsidRPr="00450879" w:rsidRDefault="002E0AA9">
      <w:pPr>
        <w:pStyle w:val="Normalnumber"/>
        <w:rPr>
          <w:lang w:val="fr-FR"/>
        </w:rPr>
      </w:pPr>
      <w:r w:rsidRPr="00450879">
        <w:rPr>
          <w:lang w:val="fr-FR"/>
        </w:rPr>
        <w:t xml:space="preserve">Le secrétariat a élaboré un projet de feuille de route, </w:t>
      </w:r>
      <w:r w:rsidR="007B2CE7">
        <w:rPr>
          <w:lang w:val="fr-FR"/>
        </w:rPr>
        <w:t xml:space="preserve">comme </w:t>
      </w:r>
      <w:r w:rsidRPr="00450879">
        <w:rPr>
          <w:lang w:val="fr-FR"/>
        </w:rPr>
        <w:t>demandé par le Comité à sa septième session</w:t>
      </w:r>
      <w:r w:rsidR="009B56A1" w:rsidRPr="00450879">
        <w:rPr>
          <w:lang w:val="fr-FR"/>
        </w:rPr>
        <w:t xml:space="preserve"> </w:t>
      </w:r>
      <w:r w:rsidR="00025D3F" w:rsidRPr="00450879">
        <w:rPr>
          <w:lang w:val="fr-FR"/>
        </w:rPr>
        <w:t>(</w:t>
      </w:r>
      <w:r w:rsidRPr="00450879">
        <w:rPr>
          <w:lang w:val="fr-FR"/>
        </w:rPr>
        <w:t>voir annexe </w:t>
      </w:r>
      <w:r w:rsidR="009B56A1" w:rsidRPr="00450879">
        <w:rPr>
          <w:lang w:val="fr-FR"/>
        </w:rPr>
        <w:t>I</w:t>
      </w:r>
      <w:r w:rsidR="00025D3F" w:rsidRPr="00450879">
        <w:rPr>
          <w:lang w:val="fr-FR"/>
        </w:rPr>
        <w:t>)</w:t>
      </w:r>
      <w:r w:rsidR="00643B83" w:rsidRPr="00450879">
        <w:rPr>
          <w:lang w:val="fr-FR"/>
        </w:rPr>
        <w:t xml:space="preserve">. </w:t>
      </w:r>
      <w:r w:rsidR="008433FD">
        <w:rPr>
          <w:lang w:val="fr-FR"/>
        </w:rPr>
        <w:t xml:space="preserve">Il </w:t>
      </w:r>
      <w:r w:rsidRPr="00450879">
        <w:rPr>
          <w:lang w:val="fr-FR"/>
        </w:rPr>
        <w:t>a également établi un rapport sur la</w:t>
      </w:r>
      <w:r w:rsidR="00643B83" w:rsidRPr="00450879">
        <w:rPr>
          <w:lang w:val="fr-FR"/>
        </w:rPr>
        <w:t xml:space="preserve"> </w:t>
      </w:r>
      <w:r w:rsidRPr="00450879">
        <w:rPr>
          <w:lang w:val="fr-FR"/>
        </w:rPr>
        <w:t xml:space="preserve">mise en place </w:t>
      </w:r>
      <w:r w:rsidR="007B2CE7">
        <w:rPr>
          <w:lang w:val="fr-FR"/>
        </w:rPr>
        <w:t xml:space="preserve">de mécanismes permettant à </w:t>
      </w:r>
      <w:r w:rsidRPr="00450879">
        <w:rPr>
          <w:lang w:val="fr-FR"/>
        </w:rPr>
        <w:t xml:space="preserve">la Conférence des Parties </w:t>
      </w:r>
      <w:r w:rsidR="007B2CE7">
        <w:rPr>
          <w:lang w:val="fr-FR"/>
        </w:rPr>
        <w:t>d’</w:t>
      </w:r>
      <w:r w:rsidRPr="00450879">
        <w:rPr>
          <w:lang w:val="fr-FR"/>
        </w:rPr>
        <w:t>obt</w:t>
      </w:r>
      <w:r w:rsidR="007B2CE7">
        <w:rPr>
          <w:lang w:val="fr-FR"/>
        </w:rPr>
        <w:t>enir</w:t>
      </w:r>
      <w:r w:rsidRPr="00450879">
        <w:rPr>
          <w:lang w:val="fr-FR"/>
        </w:rPr>
        <w:t xml:space="preserve"> des données de surveillance comparables ainsi que des références pour évaluer les données de base </w:t>
      </w:r>
      <w:r w:rsidR="00025D3F" w:rsidRPr="00450879">
        <w:rPr>
          <w:lang w:val="fr-FR"/>
        </w:rPr>
        <w:t>(</w:t>
      </w:r>
      <w:r w:rsidRPr="00450879">
        <w:rPr>
          <w:lang w:val="fr-FR"/>
        </w:rPr>
        <w:t>voir</w:t>
      </w:r>
      <w:r w:rsidR="00643B83" w:rsidRPr="00450879">
        <w:rPr>
          <w:lang w:val="fr-FR"/>
        </w:rPr>
        <w:t xml:space="preserve"> </w:t>
      </w:r>
      <w:r w:rsidR="00D27BD7" w:rsidRPr="00450879">
        <w:rPr>
          <w:lang w:val="fr-FR"/>
        </w:rPr>
        <w:t>a</w:t>
      </w:r>
      <w:r w:rsidRPr="00450879">
        <w:rPr>
          <w:lang w:val="fr-FR"/>
        </w:rPr>
        <w:t>nnexe </w:t>
      </w:r>
      <w:r w:rsidR="00643B83" w:rsidRPr="00450879">
        <w:rPr>
          <w:lang w:val="fr-FR"/>
        </w:rPr>
        <w:t>II</w:t>
      </w:r>
      <w:r w:rsidR="00025D3F" w:rsidRPr="00450879">
        <w:rPr>
          <w:lang w:val="fr-FR"/>
        </w:rPr>
        <w:t>)</w:t>
      </w:r>
      <w:r w:rsidR="00643B83" w:rsidRPr="00450879">
        <w:rPr>
          <w:lang w:val="fr-FR"/>
        </w:rPr>
        <w:t xml:space="preserve">. </w:t>
      </w:r>
      <w:r w:rsidRPr="00450879">
        <w:rPr>
          <w:lang w:val="fr-FR"/>
        </w:rPr>
        <w:t xml:space="preserve">Ces deux documents ont été mis à disposition sur le site Web </w:t>
      </w:r>
      <w:r w:rsidR="007B2CE7">
        <w:rPr>
          <w:lang w:val="fr-FR"/>
        </w:rPr>
        <w:t>dès</w:t>
      </w:r>
      <w:r w:rsidRPr="00450879">
        <w:rPr>
          <w:lang w:val="fr-FR"/>
        </w:rPr>
        <w:t xml:space="preserve"> la mi-janvier et les gouvernements et autres entités ont été invités à f</w:t>
      </w:r>
      <w:r w:rsidR="007B2CE7">
        <w:rPr>
          <w:lang w:val="fr-FR"/>
        </w:rPr>
        <w:t xml:space="preserve">aire tenir leurs </w:t>
      </w:r>
      <w:r w:rsidRPr="00450879">
        <w:rPr>
          <w:lang w:val="fr-FR"/>
        </w:rPr>
        <w:t xml:space="preserve">observations sur les </w:t>
      </w:r>
      <w:r w:rsidR="007B2CE7">
        <w:rPr>
          <w:lang w:val="fr-FR"/>
        </w:rPr>
        <w:t>versions préliminaires</w:t>
      </w:r>
      <w:r w:rsidR="00643B83" w:rsidRPr="00450879">
        <w:rPr>
          <w:lang w:val="fr-FR"/>
        </w:rPr>
        <w:t>.</w:t>
      </w:r>
    </w:p>
    <w:p w14:paraId="465ED684" w14:textId="526C2D09" w:rsidR="003B2CA0" w:rsidRPr="00450879" w:rsidRDefault="00B85401">
      <w:pPr>
        <w:pStyle w:val="Normalnumber"/>
        <w:rPr>
          <w:lang w:val="fr-FR"/>
        </w:rPr>
      </w:pPr>
      <w:r w:rsidRPr="00450879">
        <w:rPr>
          <w:lang w:val="fr-FR"/>
        </w:rPr>
        <w:t xml:space="preserve">L’évaluation de l’efficacité devant être </w:t>
      </w:r>
      <w:r w:rsidR="003B0F25" w:rsidRPr="00450879">
        <w:rPr>
          <w:lang w:val="fr-FR"/>
        </w:rPr>
        <w:t>entreprise</w:t>
      </w:r>
      <w:r w:rsidRPr="00450879">
        <w:rPr>
          <w:lang w:val="fr-FR"/>
        </w:rPr>
        <w:t xml:space="preserve"> par la Conférence des Parties</w:t>
      </w:r>
      <w:r w:rsidR="003B0F25" w:rsidRPr="00450879">
        <w:rPr>
          <w:lang w:val="fr-FR"/>
        </w:rPr>
        <w:t xml:space="preserve"> sera effectuée sur la base de l’ensemble des éléments figurant </w:t>
      </w:r>
      <w:r w:rsidR="005A3B3A">
        <w:rPr>
          <w:lang w:val="fr-FR"/>
        </w:rPr>
        <w:t>au</w:t>
      </w:r>
      <w:r w:rsidR="003B0F25" w:rsidRPr="00450879">
        <w:rPr>
          <w:lang w:val="fr-FR"/>
        </w:rPr>
        <w:t xml:space="preserve"> paragraphe 3 de de l’article </w:t>
      </w:r>
      <w:r w:rsidR="003B2CA0" w:rsidRPr="00450879">
        <w:rPr>
          <w:lang w:val="fr-FR"/>
        </w:rPr>
        <w:t>22</w:t>
      </w:r>
      <w:r w:rsidR="001F09EB" w:rsidRPr="00450879">
        <w:rPr>
          <w:lang w:val="fr-FR"/>
        </w:rPr>
        <w:t>.</w:t>
      </w:r>
      <w:r w:rsidR="003B11D2" w:rsidRPr="00450879">
        <w:rPr>
          <w:lang w:val="fr-FR"/>
        </w:rPr>
        <w:t xml:space="preserve"> </w:t>
      </w:r>
      <w:r w:rsidR="003B0F25" w:rsidRPr="00450879">
        <w:rPr>
          <w:lang w:val="fr-FR"/>
        </w:rPr>
        <w:t>Toutefois</w:t>
      </w:r>
      <w:r w:rsidR="001F09EB" w:rsidRPr="00450879">
        <w:rPr>
          <w:lang w:val="fr-FR"/>
        </w:rPr>
        <w:t>,</w:t>
      </w:r>
      <w:r w:rsidR="003B0F25" w:rsidRPr="00450879">
        <w:rPr>
          <w:lang w:val="fr-FR"/>
        </w:rPr>
        <w:t xml:space="preserve"> il conviendrait de noter que, conformément à la décision </w:t>
      </w:r>
      <w:r w:rsidR="007B2CE7">
        <w:rPr>
          <w:lang w:val="fr-FR"/>
        </w:rPr>
        <w:t>que</w:t>
      </w:r>
      <w:r w:rsidR="003B0F25" w:rsidRPr="00450879">
        <w:rPr>
          <w:lang w:val="fr-FR"/>
        </w:rPr>
        <w:t xml:space="preserve"> le Comité </w:t>
      </w:r>
      <w:r w:rsidR="007B2CE7">
        <w:rPr>
          <w:lang w:val="fr-FR"/>
        </w:rPr>
        <w:t xml:space="preserve">a prise </w:t>
      </w:r>
      <w:r w:rsidR="003B0F25" w:rsidRPr="00450879">
        <w:rPr>
          <w:lang w:val="fr-FR"/>
        </w:rPr>
        <w:t>à sa septième session, le projet de feuille de route est principalement axé sur la mise en place de</w:t>
      </w:r>
      <w:r w:rsidR="007B2CE7">
        <w:rPr>
          <w:lang w:val="fr-FR"/>
        </w:rPr>
        <w:t xml:space="preserve"> mécanismes permettant d’</w:t>
      </w:r>
      <w:r w:rsidR="003B0F25" w:rsidRPr="00450879">
        <w:rPr>
          <w:lang w:val="fr-FR"/>
        </w:rPr>
        <w:t>obtenir des données de surveillance comparables</w:t>
      </w:r>
      <w:r w:rsidR="003B2CA0" w:rsidRPr="00450879">
        <w:rPr>
          <w:lang w:val="fr-FR"/>
        </w:rPr>
        <w:t>.</w:t>
      </w:r>
      <w:r w:rsidR="00504F54">
        <w:rPr>
          <w:lang w:val="fr-FR"/>
        </w:rPr>
        <w:t xml:space="preserve"> Il </w:t>
      </w:r>
      <w:r w:rsidR="003B0F25" w:rsidRPr="00450879">
        <w:rPr>
          <w:lang w:val="fr-FR"/>
        </w:rPr>
        <w:t xml:space="preserve">porte sur la période entre la première et </w:t>
      </w:r>
      <w:proofErr w:type="gramStart"/>
      <w:r w:rsidR="003B0F25" w:rsidRPr="00450879">
        <w:rPr>
          <w:lang w:val="fr-FR"/>
        </w:rPr>
        <w:t>la deuxième réunions</w:t>
      </w:r>
      <w:proofErr w:type="gramEnd"/>
      <w:r w:rsidR="003B0F25" w:rsidRPr="00450879">
        <w:rPr>
          <w:lang w:val="fr-FR"/>
        </w:rPr>
        <w:t xml:space="preserve"> de la Conférence des Parties et, s’il propose </w:t>
      </w:r>
      <w:r w:rsidR="00504F54">
        <w:rPr>
          <w:lang w:val="fr-FR"/>
        </w:rPr>
        <w:t xml:space="preserve">d’examiner rapidement le processus de </w:t>
      </w:r>
      <w:r w:rsidR="003B0F25" w:rsidRPr="00450879">
        <w:rPr>
          <w:lang w:val="fr-FR"/>
        </w:rPr>
        <w:t xml:space="preserve">compilation des autres informations afin de s’assurer </w:t>
      </w:r>
      <w:r w:rsidR="00504F54">
        <w:rPr>
          <w:lang w:val="fr-FR"/>
        </w:rPr>
        <w:t>que les processus soient complémentaires</w:t>
      </w:r>
      <w:r w:rsidR="003B0F25" w:rsidRPr="00450879">
        <w:rPr>
          <w:lang w:val="fr-FR"/>
        </w:rPr>
        <w:t xml:space="preserve">, il </w:t>
      </w:r>
      <w:r w:rsidR="00E74635" w:rsidRPr="00450879">
        <w:rPr>
          <w:lang w:val="fr-FR"/>
        </w:rPr>
        <w:t xml:space="preserve">n’aborde pas la question de la méthodologie </w:t>
      </w:r>
      <w:r w:rsidR="008433FD">
        <w:rPr>
          <w:lang w:val="fr-FR"/>
        </w:rPr>
        <w:t xml:space="preserve">à suivre </w:t>
      </w:r>
      <w:r w:rsidR="00504F54">
        <w:rPr>
          <w:lang w:val="fr-FR"/>
        </w:rPr>
        <w:t xml:space="preserve">par la suite pour effectuer </w:t>
      </w:r>
      <w:r w:rsidR="00E74635" w:rsidRPr="00450879">
        <w:rPr>
          <w:lang w:val="fr-FR"/>
        </w:rPr>
        <w:t>l’évaluation de l’efficacité proprement dite</w:t>
      </w:r>
      <w:r w:rsidR="009A7C30" w:rsidRPr="00450879">
        <w:rPr>
          <w:lang w:val="fr-FR"/>
        </w:rPr>
        <w:t>.</w:t>
      </w:r>
      <w:r w:rsidR="00E74635" w:rsidRPr="00450879">
        <w:rPr>
          <w:lang w:val="fr-FR"/>
        </w:rPr>
        <w:t xml:space="preserve"> </w:t>
      </w:r>
      <w:r w:rsidR="00504F54">
        <w:rPr>
          <w:lang w:val="fr-FR"/>
        </w:rPr>
        <w:t xml:space="preserve">Cette </w:t>
      </w:r>
      <w:r w:rsidR="00E74635" w:rsidRPr="00450879">
        <w:rPr>
          <w:lang w:val="fr-FR"/>
        </w:rPr>
        <w:t xml:space="preserve">question </w:t>
      </w:r>
      <w:r w:rsidR="00504F54">
        <w:rPr>
          <w:lang w:val="fr-FR"/>
        </w:rPr>
        <w:t xml:space="preserve">sera </w:t>
      </w:r>
      <w:r w:rsidR="00E74635" w:rsidRPr="00450879">
        <w:rPr>
          <w:lang w:val="fr-FR"/>
        </w:rPr>
        <w:t xml:space="preserve">examinée </w:t>
      </w:r>
      <w:r w:rsidR="00504F54">
        <w:rPr>
          <w:lang w:val="fr-FR"/>
        </w:rPr>
        <w:t xml:space="preserve">plus avant </w:t>
      </w:r>
      <w:r w:rsidR="00E74635" w:rsidRPr="00450879">
        <w:rPr>
          <w:lang w:val="fr-FR"/>
        </w:rPr>
        <w:t xml:space="preserve">par la Conférence des Parties, tout comme la création, si nécessaire, de groupes d’experts et l’élaboration de plans de travail pour </w:t>
      </w:r>
      <w:r w:rsidR="00504F54">
        <w:rPr>
          <w:lang w:val="fr-FR"/>
        </w:rPr>
        <w:t>ces</w:t>
      </w:r>
      <w:r w:rsidR="00E74635" w:rsidRPr="00450879">
        <w:rPr>
          <w:lang w:val="fr-FR"/>
        </w:rPr>
        <w:t xml:space="preserve"> groupes</w:t>
      </w:r>
      <w:r w:rsidR="003B2CA0" w:rsidRPr="00450879">
        <w:rPr>
          <w:lang w:val="fr-FR"/>
        </w:rPr>
        <w:t>.</w:t>
      </w:r>
      <w:r w:rsidR="00E74635" w:rsidRPr="00450879">
        <w:rPr>
          <w:lang w:val="fr-FR"/>
        </w:rPr>
        <w:t xml:space="preserve"> Certains éléments du processus suivi pour l’évaluation de l’efficacité entreprise au titre de la Convention de </w:t>
      </w:r>
      <w:r w:rsidR="003B2CA0" w:rsidRPr="00450879">
        <w:rPr>
          <w:lang w:val="fr-FR"/>
        </w:rPr>
        <w:t xml:space="preserve">Stockholm </w:t>
      </w:r>
      <w:r w:rsidR="00E74635" w:rsidRPr="00450879">
        <w:rPr>
          <w:lang w:val="fr-FR"/>
        </w:rPr>
        <w:t xml:space="preserve">sur les polluants organiques persistants peuvent </w:t>
      </w:r>
      <w:r w:rsidR="00504F54">
        <w:rPr>
          <w:lang w:val="fr-FR"/>
        </w:rPr>
        <w:t>être</w:t>
      </w:r>
      <w:r w:rsidR="00E74635" w:rsidRPr="00450879">
        <w:rPr>
          <w:lang w:val="fr-FR"/>
        </w:rPr>
        <w:t xml:space="preserve"> utiles </w:t>
      </w:r>
      <w:r w:rsidR="00504F54">
        <w:rPr>
          <w:lang w:val="fr-FR"/>
        </w:rPr>
        <w:t>pour mettre en place le</w:t>
      </w:r>
      <w:r w:rsidR="00E74635" w:rsidRPr="00450879">
        <w:rPr>
          <w:lang w:val="fr-FR"/>
        </w:rPr>
        <w:t xml:space="preserve"> mécanisme</w:t>
      </w:r>
      <w:r w:rsidR="00504F54">
        <w:rPr>
          <w:lang w:val="fr-FR"/>
        </w:rPr>
        <w:t xml:space="preserve"> d’</w:t>
      </w:r>
      <w:r w:rsidR="00E74635" w:rsidRPr="00450879">
        <w:rPr>
          <w:lang w:val="fr-FR"/>
        </w:rPr>
        <w:t>évaluation de l’efficacité</w:t>
      </w:r>
      <w:r w:rsidR="003B2CA0" w:rsidRPr="00450879">
        <w:rPr>
          <w:lang w:val="fr-FR"/>
        </w:rPr>
        <w:t xml:space="preserve">. </w:t>
      </w:r>
    </w:p>
    <w:p w14:paraId="39B0BF54" w14:textId="02F90148" w:rsidR="00312543" w:rsidRPr="00450879" w:rsidRDefault="001D5464" w:rsidP="001D5464">
      <w:pPr>
        <w:pStyle w:val="CH3"/>
        <w:ind w:firstLine="0"/>
        <w:rPr>
          <w:lang w:val="fr-FR"/>
        </w:rPr>
      </w:pPr>
      <w:r w:rsidRPr="00450879">
        <w:rPr>
          <w:lang w:val="fr-FR"/>
        </w:rPr>
        <w:t>Mesures que pourrait prendre la Conférence des Parties</w:t>
      </w:r>
    </w:p>
    <w:p w14:paraId="39EB6D61" w14:textId="1B089913" w:rsidR="001F03FA" w:rsidRPr="00450879" w:rsidRDefault="006F1378" w:rsidP="003265CD">
      <w:pPr>
        <w:pStyle w:val="Normalnumber"/>
        <w:rPr>
          <w:lang w:val="fr-FR"/>
        </w:rPr>
      </w:pPr>
      <w:bookmarkStart w:id="5" w:name="_Hlk484773364"/>
      <w:r w:rsidRPr="00450879">
        <w:rPr>
          <w:lang w:val="fr-FR"/>
        </w:rPr>
        <w:t>La</w:t>
      </w:r>
      <w:r w:rsidR="00312543" w:rsidRPr="00450879">
        <w:rPr>
          <w:lang w:val="fr-FR"/>
        </w:rPr>
        <w:t xml:space="preserve"> Conf</w:t>
      </w:r>
      <w:r w:rsidRPr="00450879">
        <w:rPr>
          <w:lang w:val="fr-FR"/>
        </w:rPr>
        <w:t>é</w:t>
      </w:r>
      <w:r w:rsidR="00312543" w:rsidRPr="00450879">
        <w:rPr>
          <w:lang w:val="fr-FR"/>
        </w:rPr>
        <w:t xml:space="preserve">rence </w:t>
      </w:r>
      <w:r w:rsidRPr="00450879">
        <w:rPr>
          <w:lang w:val="fr-FR"/>
        </w:rPr>
        <w:t>des</w:t>
      </w:r>
      <w:r w:rsidR="003265CD" w:rsidRPr="00450879">
        <w:rPr>
          <w:lang w:val="fr-FR"/>
        </w:rPr>
        <w:t xml:space="preserve"> Parties</w:t>
      </w:r>
      <w:r w:rsidRPr="00450879">
        <w:rPr>
          <w:lang w:val="fr-FR"/>
        </w:rPr>
        <w:t xml:space="preserve"> souhaitera peut-être examiner </w:t>
      </w:r>
      <w:bookmarkEnd w:id="5"/>
      <w:r w:rsidRPr="00450879">
        <w:rPr>
          <w:lang w:val="fr-FR"/>
        </w:rPr>
        <w:t xml:space="preserve">le projet de feuille de route et convenir de </w:t>
      </w:r>
      <w:r w:rsidR="00504F54">
        <w:rPr>
          <w:lang w:val="fr-FR"/>
        </w:rPr>
        <w:t xml:space="preserve">l’utiliser </w:t>
      </w:r>
      <w:r w:rsidRPr="00450879">
        <w:rPr>
          <w:lang w:val="fr-FR"/>
        </w:rPr>
        <w:t>dans le processus</w:t>
      </w:r>
      <w:r w:rsidR="00245836" w:rsidRPr="00450879">
        <w:rPr>
          <w:lang w:val="fr-FR"/>
        </w:rPr>
        <w:t xml:space="preserve"> </w:t>
      </w:r>
      <w:r w:rsidR="00504F54">
        <w:rPr>
          <w:lang w:val="fr-FR"/>
        </w:rPr>
        <w:t xml:space="preserve">d’établissement </w:t>
      </w:r>
      <w:r w:rsidR="00245836" w:rsidRPr="00450879">
        <w:rPr>
          <w:lang w:val="fr-FR"/>
        </w:rPr>
        <w:t>de données de surveillance comparables afin de contribuer à l’évaluation de l’efficacité de la Convention de</w:t>
      </w:r>
      <w:r w:rsidR="00DC620E" w:rsidRPr="00450879">
        <w:rPr>
          <w:lang w:val="fr-FR"/>
        </w:rPr>
        <w:t xml:space="preserve"> Minamata</w:t>
      </w:r>
      <w:r w:rsidR="00245836" w:rsidRPr="00450879">
        <w:rPr>
          <w:lang w:val="fr-FR"/>
        </w:rPr>
        <w:t xml:space="preserve"> sur le mercure</w:t>
      </w:r>
      <w:r w:rsidR="00DC620E" w:rsidRPr="00450879">
        <w:rPr>
          <w:lang w:val="fr-FR"/>
        </w:rPr>
        <w:t>.</w:t>
      </w:r>
      <w:r w:rsidR="00245836" w:rsidRPr="00450879">
        <w:rPr>
          <w:lang w:val="fr-FR"/>
        </w:rPr>
        <w:t xml:space="preserve"> Dans le cadre de l’élaboration de ce processus, la Conférence des Parties souhaitera peut-être s’appuyer sur le rapport </w:t>
      </w:r>
      <w:r w:rsidR="00504F54">
        <w:rPr>
          <w:lang w:val="fr-FR"/>
        </w:rPr>
        <w:t xml:space="preserve">présenté </w:t>
      </w:r>
      <w:r w:rsidR="00245836" w:rsidRPr="00450879">
        <w:rPr>
          <w:lang w:val="fr-FR"/>
        </w:rPr>
        <w:t>dans l’annexe </w:t>
      </w:r>
      <w:r w:rsidR="00DC620E" w:rsidRPr="00450879">
        <w:rPr>
          <w:lang w:val="fr-FR"/>
        </w:rPr>
        <w:t xml:space="preserve">II </w:t>
      </w:r>
      <w:r w:rsidR="00504F54">
        <w:rPr>
          <w:lang w:val="fr-FR"/>
        </w:rPr>
        <w:t>à</w:t>
      </w:r>
      <w:r w:rsidR="00245836" w:rsidRPr="00450879">
        <w:rPr>
          <w:lang w:val="fr-FR"/>
        </w:rPr>
        <w:t xml:space="preserve"> la présente</w:t>
      </w:r>
      <w:r w:rsidR="003265CD" w:rsidRPr="00450879">
        <w:rPr>
          <w:lang w:val="fr-FR"/>
        </w:rPr>
        <w:t xml:space="preserve"> </w:t>
      </w:r>
      <w:r w:rsidR="00DC620E" w:rsidRPr="00450879">
        <w:rPr>
          <w:lang w:val="fr-FR"/>
        </w:rPr>
        <w:t xml:space="preserve">note. </w:t>
      </w:r>
    </w:p>
    <w:p w14:paraId="4CA8C664" w14:textId="33E52979" w:rsidR="00312543" w:rsidRPr="00450879" w:rsidRDefault="00245836" w:rsidP="003265CD">
      <w:pPr>
        <w:pStyle w:val="Normalnumber"/>
        <w:rPr>
          <w:lang w:val="fr-FR"/>
        </w:rPr>
      </w:pPr>
      <w:r w:rsidRPr="00450879">
        <w:rPr>
          <w:lang w:val="fr-FR"/>
        </w:rPr>
        <w:t>La Conférence des Parties souhaitera peut-être également examiner le processus de compilation des autres informations figurant au paragraphe 3 de l’article </w:t>
      </w:r>
      <w:r w:rsidR="000C7E57" w:rsidRPr="00450879">
        <w:rPr>
          <w:lang w:val="fr-FR"/>
        </w:rPr>
        <w:t xml:space="preserve">22 </w:t>
      </w:r>
      <w:r w:rsidR="005A3B3A">
        <w:rPr>
          <w:lang w:val="fr-FR"/>
        </w:rPr>
        <w:t xml:space="preserve">ainsi que </w:t>
      </w:r>
      <w:r w:rsidRPr="00450879">
        <w:rPr>
          <w:lang w:val="fr-FR"/>
        </w:rPr>
        <w:t xml:space="preserve">l’évaluation proprement dite </w:t>
      </w:r>
      <w:r w:rsidR="00504F54" w:rsidRPr="00450879">
        <w:rPr>
          <w:lang w:val="fr-FR"/>
        </w:rPr>
        <w:t xml:space="preserve">de l’efficacité </w:t>
      </w:r>
      <w:r w:rsidR="00504F54">
        <w:rPr>
          <w:lang w:val="fr-FR"/>
        </w:rPr>
        <w:t>pour veiller à ce qu’ils soient complémentaires</w:t>
      </w:r>
      <w:r w:rsidR="00420202" w:rsidRPr="00450879">
        <w:rPr>
          <w:lang w:val="fr-FR"/>
        </w:rPr>
        <w:t xml:space="preserve">. </w:t>
      </w:r>
    </w:p>
    <w:p w14:paraId="0C72DAF7" w14:textId="73838035" w:rsidR="008908B6" w:rsidRPr="00450879" w:rsidRDefault="00312543" w:rsidP="008908B6">
      <w:pPr>
        <w:pStyle w:val="ZZAnxheader"/>
        <w:rPr>
          <w:lang w:val="fr-FR"/>
        </w:rPr>
      </w:pPr>
      <w:r w:rsidRPr="00450879">
        <w:rPr>
          <w:lang w:val="fr-FR"/>
        </w:rPr>
        <w:br w:type="page"/>
      </w:r>
      <w:r w:rsidR="00EC31E1" w:rsidRPr="00450879">
        <w:rPr>
          <w:lang w:val="fr-FR"/>
        </w:rPr>
        <w:lastRenderedPageBreak/>
        <w:t>Annexe </w:t>
      </w:r>
      <w:r w:rsidR="00D7265E" w:rsidRPr="00450879">
        <w:rPr>
          <w:lang w:val="fr-FR"/>
        </w:rPr>
        <w:t xml:space="preserve">I </w:t>
      </w:r>
    </w:p>
    <w:p w14:paraId="01CFD21C" w14:textId="5E35C7FD" w:rsidR="00312543" w:rsidRPr="00450879" w:rsidRDefault="00BA3187" w:rsidP="008908B6">
      <w:pPr>
        <w:pStyle w:val="ZZAnxtitle"/>
        <w:rPr>
          <w:lang w:val="fr-FR"/>
        </w:rPr>
      </w:pPr>
      <w:r w:rsidRPr="00450879">
        <w:rPr>
          <w:lang w:val="fr-FR"/>
        </w:rPr>
        <w:t>Projet de feuille de route</w:t>
      </w:r>
      <w:r w:rsidR="00D7265E" w:rsidRPr="00450879">
        <w:rPr>
          <w:lang w:val="fr-FR"/>
        </w:rPr>
        <w:t xml:space="preserve"> </w:t>
      </w:r>
      <w:r w:rsidRPr="00450879">
        <w:rPr>
          <w:lang w:val="fr-FR"/>
        </w:rPr>
        <w:t>concernant le paragraphe </w:t>
      </w:r>
      <w:r w:rsidR="00D7265E" w:rsidRPr="00450879">
        <w:rPr>
          <w:lang w:val="fr-FR"/>
        </w:rPr>
        <w:t xml:space="preserve">2 </w:t>
      </w:r>
      <w:r w:rsidRPr="00450879">
        <w:rPr>
          <w:lang w:val="fr-FR"/>
        </w:rPr>
        <w:t>de l’article </w:t>
      </w:r>
      <w:r w:rsidR="00D7265E" w:rsidRPr="00450879">
        <w:rPr>
          <w:lang w:val="fr-FR"/>
        </w:rPr>
        <w:t>22</w:t>
      </w:r>
    </w:p>
    <w:p w14:paraId="1CBC1F3E" w14:textId="2F20D681" w:rsidR="00D7265E" w:rsidRPr="00450879" w:rsidRDefault="00BA3187" w:rsidP="00A470F5">
      <w:pPr>
        <w:pStyle w:val="Normalnumber"/>
        <w:numPr>
          <w:ilvl w:val="0"/>
          <w:numId w:val="112"/>
        </w:numPr>
        <w:rPr>
          <w:lang w:val="fr-FR"/>
        </w:rPr>
      </w:pPr>
      <w:r w:rsidRPr="00450879">
        <w:rPr>
          <w:lang w:val="fr-FR"/>
        </w:rPr>
        <w:t xml:space="preserve">Le secrétariat provisoire de la Convention de Minamata sur le mercure, en </w:t>
      </w:r>
      <w:r w:rsidR="00D7265E" w:rsidRPr="00450879">
        <w:rPr>
          <w:lang w:val="fr-FR"/>
        </w:rPr>
        <w:t xml:space="preserve">consultation </w:t>
      </w:r>
      <w:r w:rsidRPr="00450879">
        <w:rPr>
          <w:lang w:val="fr-FR"/>
        </w:rPr>
        <w:t xml:space="preserve">avec </w:t>
      </w:r>
      <w:r w:rsidR="00504F54">
        <w:rPr>
          <w:lang w:val="fr-FR"/>
        </w:rPr>
        <w:t>l</w:t>
      </w:r>
      <w:r w:rsidRPr="00450879">
        <w:rPr>
          <w:lang w:val="fr-FR"/>
        </w:rPr>
        <w:t xml:space="preserve">es gouvernements, </w:t>
      </w:r>
      <w:r w:rsidR="00504F54">
        <w:rPr>
          <w:lang w:val="fr-FR"/>
        </w:rPr>
        <w:t>l</w:t>
      </w:r>
      <w:r w:rsidRPr="00450879">
        <w:rPr>
          <w:lang w:val="fr-FR"/>
        </w:rPr>
        <w:t xml:space="preserve">es programmes </w:t>
      </w:r>
      <w:r w:rsidR="00151627" w:rsidRPr="00450879">
        <w:rPr>
          <w:lang w:val="fr-FR"/>
        </w:rPr>
        <w:t>et partenariats</w:t>
      </w:r>
      <w:r w:rsidRPr="00450879">
        <w:rPr>
          <w:lang w:val="fr-FR"/>
        </w:rPr>
        <w:t xml:space="preserve"> </w:t>
      </w:r>
      <w:r w:rsidR="00504F54" w:rsidRPr="00450879">
        <w:rPr>
          <w:lang w:val="fr-FR"/>
        </w:rPr>
        <w:t xml:space="preserve">de surveillance </w:t>
      </w:r>
      <w:r w:rsidRPr="00450879">
        <w:rPr>
          <w:lang w:val="fr-FR"/>
        </w:rPr>
        <w:t xml:space="preserve">régionaux et </w:t>
      </w:r>
      <w:proofErr w:type="spellStart"/>
      <w:r w:rsidRPr="00450879">
        <w:rPr>
          <w:lang w:val="fr-FR"/>
        </w:rPr>
        <w:t>sous-régionaux</w:t>
      </w:r>
      <w:proofErr w:type="spellEnd"/>
      <w:r w:rsidR="00151627" w:rsidRPr="00450879">
        <w:rPr>
          <w:lang w:val="fr-FR"/>
        </w:rPr>
        <w:t xml:space="preserve">, l’Organisation mondiale de la Santé, </w:t>
      </w:r>
      <w:r w:rsidR="00504F54">
        <w:rPr>
          <w:lang w:val="fr-FR"/>
        </w:rPr>
        <w:t>l</w:t>
      </w:r>
      <w:r w:rsidR="00151627" w:rsidRPr="00450879">
        <w:rPr>
          <w:lang w:val="fr-FR"/>
        </w:rPr>
        <w:t xml:space="preserve">es représentants régionaux, </w:t>
      </w:r>
      <w:r w:rsidR="00504F54">
        <w:rPr>
          <w:lang w:val="fr-FR"/>
        </w:rPr>
        <w:t>l</w:t>
      </w:r>
      <w:r w:rsidR="00151627" w:rsidRPr="00450879">
        <w:rPr>
          <w:lang w:val="fr-FR"/>
        </w:rPr>
        <w:t>es institutions régionales et nationales, le</w:t>
      </w:r>
      <w:r w:rsidR="00504F54">
        <w:rPr>
          <w:lang w:val="fr-FR"/>
        </w:rPr>
        <w:t>s</w:t>
      </w:r>
      <w:r w:rsidR="00151627" w:rsidRPr="00450879">
        <w:rPr>
          <w:lang w:val="fr-FR"/>
        </w:rPr>
        <w:t xml:space="preserve"> milieu</w:t>
      </w:r>
      <w:r w:rsidR="00504F54">
        <w:rPr>
          <w:lang w:val="fr-FR"/>
        </w:rPr>
        <w:t>x</w:t>
      </w:r>
      <w:r w:rsidR="00151627" w:rsidRPr="00450879">
        <w:rPr>
          <w:lang w:val="fr-FR"/>
        </w:rPr>
        <w:t xml:space="preserve"> universitaires, l</w:t>
      </w:r>
      <w:r w:rsidR="00504F54">
        <w:rPr>
          <w:lang w:val="fr-FR"/>
        </w:rPr>
        <w:t>’</w:t>
      </w:r>
      <w:r w:rsidR="00151627" w:rsidRPr="00450879">
        <w:rPr>
          <w:lang w:val="fr-FR"/>
        </w:rPr>
        <w:t xml:space="preserve">industrie, la société civile et d’autres parties prenantes, a élaboré un projet de feuille de route, tel que demandé par </w:t>
      </w:r>
      <w:r w:rsidR="00A470F5">
        <w:rPr>
          <w:lang w:val="fr-FR"/>
        </w:rPr>
        <w:t xml:space="preserve">le </w:t>
      </w:r>
      <w:r w:rsidR="00151627" w:rsidRPr="00450879">
        <w:rPr>
          <w:lang w:val="fr-FR"/>
        </w:rPr>
        <w:t>Comité de négociation intergouvernemental chargé d’élaborer un instrument international juridiquement contraignant sur le mercure</w:t>
      </w:r>
      <w:r w:rsidR="00A470F5" w:rsidRPr="00703511">
        <w:rPr>
          <w:lang w:val="fr-FR"/>
        </w:rPr>
        <w:t xml:space="preserve"> </w:t>
      </w:r>
      <w:r w:rsidR="00A470F5">
        <w:rPr>
          <w:lang w:val="fr-FR"/>
        </w:rPr>
        <w:t>à sa</w:t>
      </w:r>
      <w:r w:rsidR="00A470F5" w:rsidRPr="00A470F5">
        <w:rPr>
          <w:lang w:val="fr-FR"/>
        </w:rPr>
        <w:t xml:space="preserve"> septième session</w:t>
      </w:r>
      <w:r w:rsidR="00D7265E" w:rsidRPr="00450879">
        <w:rPr>
          <w:lang w:val="fr-FR"/>
        </w:rPr>
        <w:t>.</w:t>
      </w:r>
      <w:r w:rsidR="00151627" w:rsidRPr="00450879">
        <w:rPr>
          <w:lang w:val="fr-FR"/>
        </w:rPr>
        <w:t xml:space="preserve"> Le projet de feuille de route </w:t>
      </w:r>
      <w:r w:rsidR="00504F54">
        <w:rPr>
          <w:lang w:val="fr-FR"/>
        </w:rPr>
        <w:t>prévoit notamment</w:t>
      </w:r>
      <w:r w:rsidR="00151627" w:rsidRPr="00450879">
        <w:rPr>
          <w:lang w:val="fr-FR"/>
        </w:rPr>
        <w:t> </w:t>
      </w:r>
      <w:r w:rsidR="00D7265E" w:rsidRPr="00450879">
        <w:rPr>
          <w:lang w:val="fr-FR"/>
        </w:rPr>
        <w:t>:</w:t>
      </w:r>
    </w:p>
    <w:p w14:paraId="7807414C" w14:textId="4DA399E6" w:rsidR="00D7265E" w:rsidRPr="00450879" w:rsidRDefault="00151627" w:rsidP="00B453EF">
      <w:pPr>
        <w:pStyle w:val="Normalnumber"/>
        <w:numPr>
          <w:ilvl w:val="0"/>
          <w:numId w:val="114"/>
        </w:numPr>
        <w:tabs>
          <w:tab w:val="clear" w:pos="1134"/>
        </w:tabs>
        <w:ind w:left="2495" w:hanging="624"/>
        <w:rPr>
          <w:lang w:val="fr-FR"/>
        </w:rPr>
      </w:pPr>
      <w:r w:rsidRPr="00450879">
        <w:rPr>
          <w:lang w:val="fr-FR"/>
        </w:rPr>
        <w:t>Le processus visant à déterminer</w:t>
      </w:r>
      <w:r w:rsidR="00D7265E" w:rsidRPr="00450879">
        <w:rPr>
          <w:lang w:val="fr-FR"/>
        </w:rPr>
        <w:t xml:space="preserve"> </w:t>
      </w:r>
      <w:r w:rsidRPr="00450879">
        <w:rPr>
          <w:lang w:val="fr-FR"/>
        </w:rPr>
        <w:t>les types de données susceptibles d’être comparées au niveau régional, ainsi que leur disponibilité</w:t>
      </w:r>
    </w:p>
    <w:p w14:paraId="49610528" w14:textId="77F0AA45" w:rsidR="00D7265E" w:rsidRPr="00450879" w:rsidRDefault="00151627" w:rsidP="00B453EF">
      <w:pPr>
        <w:pStyle w:val="Normalnumber"/>
        <w:numPr>
          <w:ilvl w:val="0"/>
          <w:numId w:val="114"/>
        </w:numPr>
        <w:tabs>
          <w:tab w:val="clear" w:pos="1134"/>
        </w:tabs>
        <w:ind w:left="2495" w:hanging="624"/>
        <w:rPr>
          <w:lang w:val="fr-FR"/>
        </w:rPr>
      </w:pPr>
      <w:r w:rsidRPr="00450879">
        <w:rPr>
          <w:lang w:val="fr-FR"/>
        </w:rPr>
        <w:t>L’élaboration d’un cadre organisant la stratégie de surveillance mondiale, qui permette de tenir compte des résultats comparables issus des futures activités de surveillance que les pays et les parties prenantes pourraient décider d’entreprendre</w:t>
      </w:r>
    </w:p>
    <w:p w14:paraId="2A0FB5CF" w14:textId="067B2A14" w:rsidR="00D7265E" w:rsidRPr="00450879" w:rsidRDefault="00151627" w:rsidP="00B453EF">
      <w:pPr>
        <w:pStyle w:val="Normalnumber"/>
        <w:numPr>
          <w:ilvl w:val="0"/>
          <w:numId w:val="114"/>
        </w:numPr>
        <w:tabs>
          <w:tab w:val="clear" w:pos="1134"/>
        </w:tabs>
        <w:ind w:left="2495" w:hanging="624"/>
        <w:rPr>
          <w:lang w:val="fr-FR"/>
        </w:rPr>
      </w:pPr>
      <w:r w:rsidRPr="00450879">
        <w:rPr>
          <w:lang w:val="fr-FR"/>
        </w:rPr>
        <w:t>La mise au point d’un projet de stratégie visant à tenir compte des rapports et autres données de surveillance qui peuvent servir à l’évaluation de l’efficacité de la Convention</w:t>
      </w:r>
    </w:p>
    <w:p w14:paraId="37BE9DB7" w14:textId="5FC3F172" w:rsidR="00D7265E" w:rsidRPr="00450879" w:rsidRDefault="00C260E3" w:rsidP="00B453EF">
      <w:pPr>
        <w:pStyle w:val="Normalnumber"/>
        <w:numPr>
          <w:ilvl w:val="0"/>
          <w:numId w:val="112"/>
        </w:numPr>
        <w:tabs>
          <w:tab w:val="clear" w:pos="1134"/>
        </w:tabs>
        <w:rPr>
          <w:lang w:val="fr-FR"/>
        </w:rPr>
      </w:pPr>
      <w:r w:rsidRPr="00450879">
        <w:rPr>
          <w:lang w:val="fr-FR"/>
        </w:rPr>
        <w:t>Le projet de feuille de route</w:t>
      </w:r>
      <w:r w:rsidR="005451C5" w:rsidRPr="00450879">
        <w:rPr>
          <w:lang w:val="fr-FR"/>
        </w:rPr>
        <w:t xml:space="preserve"> décrit des activités qui peuvent être </w:t>
      </w:r>
      <w:r w:rsidR="00504F54">
        <w:rPr>
          <w:lang w:val="fr-FR"/>
        </w:rPr>
        <w:t xml:space="preserve">menées </w:t>
      </w:r>
      <w:r w:rsidR="005451C5" w:rsidRPr="00450879">
        <w:rPr>
          <w:lang w:val="fr-FR"/>
        </w:rPr>
        <w:t>après la première</w:t>
      </w:r>
      <w:r w:rsidR="00504F54">
        <w:rPr>
          <w:lang w:val="fr-FR"/>
        </w:rPr>
        <w:t> </w:t>
      </w:r>
      <w:r w:rsidR="005451C5" w:rsidRPr="00450879">
        <w:rPr>
          <w:lang w:val="fr-FR"/>
        </w:rPr>
        <w:t>réunion de la Conférence des Parties, sous réserve d’un accord concernant ces activités et de la disponibilité de ressources financières et autres</w:t>
      </w:r>
      <w:r w:rsidR="00D7265E" w:rsidRPr="00450879">
        <w:rPr>
          <w:lang w:val="fr-FR"/>
        </w:rPr>
        <w:t>.</w:t>
      </w:r>
    </w:p>
    <w:p w14:paraId="26B55551" w14:textId="1AD7E79E" w:rsidR="00D7265E" w:rsidRPr="00450879" w:rsidRDefault="00261E02" w:rsidP="005451C5">
      <w:pPr>
        <w:pStyle w:val="Normalnumber"/>
        <w:numPr>
          <w:ilvl w:val="0"/>
          <w:numId w:val="112"/>
        </w:numPr>
        <w:rPr>
          <w:lang w:val="fr-FR"/>
        </w:rPr>
      </w:pPr>
      <w:r>
        <w:rPr>
          <w:lang w:val="fr-FR"/>
        </w:rPr>
        <w:t>Compte tenu</w:t>
      </w:r>
      <w:r w:rsidR="005451C5" w:rsidRPr="00450879">
        <w:rPr>
          <w:lang w:val="fr-FR"/>
        </w:rPr>
        <w:t xml:space="preserve"> de la portée des travaux et </w:t>
      </w:r>
      <w:r>
        <w:rPr>
          <w:lang w:val="fr-FR"/>
        </w:rPr>
        <w:t>de</w:t>
      </w:r>
      <w:r w:rsidR="00504F54">
        <w:rPr>
          <w:lang w:val="fr-FR"/>
        </w:rPr>
        <w:t xml:space="preserve"> la nécessité de la </w:t>
      </w:r>
      <w:r w:rsidR="005451C5" w:rsidRPr="00450879">
        <w:rPr>
          <w:lang w:val="fr-FR"/>
        </w:rPr>
        <w:t xml:space="preserve">contribution d’experts dans certains domaines, la feuille de route </w:t>
      </w:r>
      <w:r>
        <w:rPr>
          <w:lang w:val="fr-FR"/>
        </w:rPr>
        <w:t>ci-après est proposée</w:t>
      </w:r>
      <w:r w:rsidR="00D7265E" w:rsidRPr="00450879">
        <w:rPr>
          <w:lang w:val="fr-FR"/>
        </w:rPr>
        <w:t xml:space="preserve">. </w:t>
      </w:r>
    </w:p>
    <w:tbl>
      <w:tblPr>
        <w:tblW w:w="4297" w:type="pct"/>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809"/>
        <w:gridCol w:w="2489"/>
      </w:tblGrid>
      <w:tr w:rsidR="00D7265E" w:rsidRPr="00450879" w14:paraId="7E1EE86B" w14:textId="77777777" w:rsidTr="008908B6">
        <w:trPr>
          <w:trHeight w:val="212"/>
          <w:tblHeader/>
          <w:jc w:val="right"/>
        </w:trPr>
        <w:tc>
          <w:tcPr>
            <w:tcW w:w="5809" w:type="dxa"/>
            <w:tcBorders>
              <w:top w:val="single" w:sz="4" w:space="0" w:color="000000"/>
              <w:left w:val="nil"/>
              <w:bottom w:val="single" w:sz="12" w:space="0" w:color="000000"/>
              <w:right w:val="nil"/>
            </w:tcBorders>
            <w:tcMar>
              <w:top w:w="80" w:type="dxa"/>
              <w:left w:w="80" w:type="dxa"/>
              <w:bottom w:w="80" w:type="dxa"/>
              <w:right w:w="80" w:type="dxa"/>
            </w:tcMar>
          </w:tcPr>
          <w:p w14:paraId="1596C41E" w14:textId="744A4BAC" w:rsidR="00D7265E" w:rsidRPr="00450879" w:rsidRDefault="005451C5"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lang w:val="fr-FR"/>
              </w:rPr>
            </w:pPr>
            <w:r w:rsidRPr="00450879">
              <w:rPr>
                <w:rStyle w:val="Hyperlink0"/>
                <w:i/>
                <w:sz w:val="18"/>
                <w:lang w:val="fr-FR"/>
              </w:rPr>
              <w:t>Activité</w:t>
            </w:r>
          </w:p>
        </w:tc>
        <w:tc>
          <w:tcPr>
            <w:tcW w:w="2489" w:type="dxa"/>
            <w:tcBorders>
              <w:top w:val="single" w:sz="4" w:space="0" w:color="000000"/>
              <w:left w:val="nil"/>
              <w:bottom w:val="single" w:sz="12" w:space="0" w:color="000000"/>
              <w:right w:val="nil"/>
            </w:tcBorders>
            <w:tcMar>
              <w:top w:w="80" w:type="dxa"/>
              <w:left w:w="80" w:type="dxa"/>
              <w:bottom w:w="80" w:type="dxa"/>
              <w:right w:w="80" w:type="dxa"/>
            </w:tcMar>
          </w:tcPr>
          <w:p w14:paraId="53EE7582" w14:textId="70822306" w:rsidR="00D7265E" w:rsidRPr="00450879" w:rsidRDefault="00BE174C"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lang w:val="fr-FR"/>
              </w:rPr>
            </w:pPr>
            <w:r w:rsidRPr="00450879">
              <w:rPr>
                <w:rStyle w:val="Hyperlink0"/>
                <w:i/>
                <w:iCs/>
                <w:sz w:val="18"/>
                <w:szCs w:val="18"/>
                <w:lang w:val="fr-FR"/>
              </w:rPr>
              <w:t>Calendrier</w:t>
            </w:r>
          </w:p>
        </w:tc>
      </w:tr>
      <w:tr w:rsidR="00D7265E" w:rsidRPr="00450879" w14:paraId="4813537C" w14:textId="77777777" w:rsidTr="00CE0733">
        <w:trPr>
          <w:trHeight w:val="1007"/>
          <w:jc w:val="right"/>
        </w:trPr>
        <w:tc>
          <w:tcPr>
            <w:tcW w:w="5809" w:type="dxa"/>
            <w:tcBorders>
              <w:top w:val="single" w:sz="12" w:space="0" w:color="000000"/>
              <w:left w:val="nil"/>
              <w:bottom w:val="nil"/>
              <w:right w:val="nil"/>
            </w:tcBorders>
            <w:tcMar>
              <w:top w:w="80" w:type="dxa"/>
              <w:left w:w="80" w:type="dxa"/>
              <w:bottom w:w="80" w:type="dxa"/>
              <w:right w:w="80" w:type="dxa"/>
            </w:tcMar>
          </w:tcPr>
          <w:p w14:paraId="02C75C2B" w14:textId="5A12834C" w:rsidR="00D7265E" w:rsidRPr="00450879" w:rsidRDefault="0021251F" w:rsidP="00504F54">
            <w:pPr>
              <w:pStyle w:val="Brdtext"/>
              <w:pBdr>
                <w:top w:val="none" w:sz="0" w:space="0" w:color="auto"/>
                <w:left w:val="none" w:sz="0" w:space="0" w:color="auto"/>
                <w:bottom w:val="none" w:sz="0" w:space="0" w:color="auto"/>
                <w:right w:val="none" w:sz="0" w:space="0" w:color="auto"/>
                <w:bar w:val="none" w:sz="0" w:color="auto"/>
              </w:pBdr>
              <w:tabs>
                <w:tab w:val="left" w:pos="4082"/>
              </w:tabs>
              <w:rPr>
                <w:sz w:val="18"/>
                <w:lang w:val="fr-FR"/>
              </w:rPr>
            </w:pPr>
            <w:r>
              <w:rPr>
                <w:rStyle w:val="Hyperlink0"/>
                <w:sz w:val="18"/>
                <w:lang w:val="fr-FR"/>
              </w:rPr>
              <w:t>L</w:t>
            </w:r>
            <w:r w:rsidR="00BE174C" w:rsidRPr="00450879">
              <w:rPr>
                <w:rStyle w:val="Hyperlink0"/>
                <w:sz w:val="18"/>
                <w:lang w:val="fr-FR"/>
              </w:rPr>
              <w:t>a Conférence des Parties</w:t>
            </w:r>
            <w:r>
              <w:rPr>
                <w:rStyle w:val="Hyperlink0"/>
                <w:sz w:val="18"/>
                <w:lang w:val="fr-FR"/>
              </w:rPr>
              <w:t>, à sa</w:t>
            </w:r>
            <w:r w:rsidRPr="00450879">
              <w:rPr>
                <w:rStyle w:val="Hyperlink0"/>
                <w:sz w:val="18"/>
                <w:lang w:val="fr-FR"/>
              </w:rPr>
              <w:t xml:space="preserve"> première réunion</w:t>
            </w:r>
            <w:r>
              <w:rPr>
                <w:rStyle w:val="Hyperlink0"/>
                <w:sz w:val="18"/>
                <w:lang w:val="fr-FR"/>
              </w:rPr>
              <w:t>,</w:t>
            </w:r>
            <w:r w:rsidR="00BE174C" w:rsidRPr="00450879">
              <w:rPr>
                <w:rStyle w:val="Hyperlink0"/>
                <w:sz w:val="18"/>
                <w:lang w:val="fr-FR"/>
              </w:rPr>
              <w:t xml:space="preserve"> établit un processus visant à</w:t>
            </w:r>
            <w:r w:rsidR="00D7265E" w:rsidRPr="00450879">
              <w:rPr>
                <w:rStyle w:val="Hyperlink0"/>
                <w:sz w:val="18"/>
                <w:lang w:val="fr-FR"/>
              </w:rPr>
              <w:t xml:space="preserve"> </w:t>
            </w:r>
            <w:r w:rsidR="00BE174C" w:rsidRPr="00450879">
              <w:rPr>
                <w:rStyle w:val="Hyperlink0"/>
                <w:sz w:val="18"/>
                <w:lang w:val="fr-FR"/>
              </w:rPr>
              <w:t>lancer la mise en place</w:t>
            </w:r>
            <w:r w:rsidR="00D059C0" w:rsidRPr="00450879">
              <w:rPr>
                <w:rStyle w:val="Hyperlink0"/>
                <w:sz w:val="18"/>
                <w:lang w:val="fr-FR"/>
              </w:rPr>
              <w:t xml:space="preserve"> d’arrangements </w:t>
            </w:r>
            <w:r w:rsidR="00504F54">
              <w:rPr>
                <w:rStyle w:val="Hyperlink0"/>
                <w:sz w:val="18"/>
                <w:lang w:val="fr-FR"/>
              </w:rPr>
              <w:t xml:space="preserve">lui </w:t>
            </w:r>
            <w:r w:rsidR="00D059C0" w:rsidRPr="00450879">
              <w:rPr>
                <w:rStyle w:val="Hyperlink0"/>
                <w:sz w:val="18"/>
                <w:lang w:val="fr-FR"/>
              </w:rPr>
              <w:t xml:space="preserve">permettant </w:t>
            </w:r>
            <w:r w:rsidR="004026A1">
              <w:rPr>
                <w:rStyle w:val="Hyperlink0"/>
                <w:sz w:val="18"/>
                <w:lang w:val="fr-FR"/>
              </w:rPr>
              <w:t xml:space="preserve">d’obtenir </w:t>
            </w:r>
            <w:r w:rsidR="00D059C0" w:rsidRPr="00450879">
              <w:rPr>
                <w:rStyle w:val="Hyperlink0"/>
                <w:sz w:val="18"/>
                <w:lang w:val="fr-FR"/>
              </w:rPr>
              <w:t>de</w:t>
            </w:r>
            <w:r w:rsidR="004026A1">
              <w:rPr>
                <w:rStyle w:val="Hyperlink0"/>
                <w:sz w:val="18"/>
                <w:lang w:val="fr-FR"/>
              </w:rPr>
              <w:t>s</w:t>
            </w:r>
            <w:r w:rsidR="00D059C0" w:rsidRPr="00450879">
              <w:rPr>
                <w:rStyle w:val="Hyperlink0"/>
                <w:sz w:val="18"/>
                <w:lang w:val="fr-FR"/>
              </w:rPr>
              <w:t xml:space="preserve"> données de surveillance comparables sur le mercure aux fins d’une évaluation en temps opportun de l’efficacité de la Convention </w:t>
            </w:r>
            <w:r w:rsidR="00DC4F40" w:rsidRPr="00450879">
              <w:rPr>
                <w:sz w:val="18"/>
                <w:lang w:val="fr-FR"/>
              </w:rPr>
              <w:t xml:space="preserve">au plus tard six ans après </w:t>
            </w:r>
            <w:r w:rsidR="00504F54">
              <w:rPr>
                <w:sz w:val="18"/>
                <w:lang w:val="fr-FR"/>
              </w:rPr>
              <w:t>s</w:t>
            </w:r>
            <w:r w:rsidR="00D059C0" w:rsidRPr="00450879">
              <w:rPr>
                <w:sz w:val="18"/>
                <w:lang w:val="fr-FR"/>
              </w:rPr>
              <w:t>a</w:t>
            </w:r>
            <w:r w:rsidR="00DC4F40" w:rsidRPr="00450879">
              <w:rPr>
                <w:sz w:val="18"/>
                <w:lang w:val="fr-FR"/>
              </w:rPr>
              <w:t xml:space="preserve"> date d’entrée en vigueur</w:t>
            </w:r>
            <w:r w:rsidR="00D7265E" w:rsidRPr="00450879">
              <w:rPr>
                <w:rStyle w:val="Hyperlink0"/>
                <w:sz w:val="18"/>
                <w:lang w:val="fr-FR"/>
              </w:rPr>
              <w:t xml:space="preserve">. </w:t>
            </w:r>
            <w:r w:rsidR="00D059C0" w:rsidRPr="00450879">
              <w:rPr>
                <w:rStyle w:val="Hyperlink0"/>
                <w:sz w:val="18"/>
                <w:lang w:val="fr-FR"/>
              </w:rPr>
              <w:t>Les éléments de ce processus sont fournis dans la feuille de route</w:t>
            </w:r>
            <w:r w:rsidR="00D7265E" w:rsidRPr="00450879">
              <w:rPr>
                <w:rStyle w:val="Hyperlink0"/>
                <w:sz w:val="18"/>
                <w:lang w:val="fr-FR"/>
              </w:rPr>
              <w:t xml:space="preserve">. </w:t>
            </w:r>
          </w:p>
        </w:tc>
        <w:tc>
          <w:tcPr>
            <w:tcW w:w="2489" w:type="dxa"/>
            <w:tcBorders>
              <w:top w:val="single" w:sz="12" w:space="0" w:color="000000"/>
              <w:left w:val="nil"/>
              <w:bottom w:val="nil"/>
              <w:right w:val="nil"/>
            </w:tcBorders>
            <w:tcMar>
              <w:top w:w="80" w:type="dxa"/>
              <w:left w:w="80" w:type="dxa"/>
              <w:bottom w:w="80" w:type="dxa"/>
              <w:right w:w="80" w:type="dxa"/>
            </w:tcMar>
          </w:tcPr>
          <w:p w14:paraId="35278483" w14:textId="5CE71D24" w:rsidR="00D7265E" w:rsidRPr="00450879" w:rsidRDefault="00BE174C"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lang w:val="fr-FR"/>
              </w:rPr>
            </w:pPr>
            <w:r w:rsidRPr="00450879">
              <w:rPr>
                <w:rStyle w:val="Hyperlink0"/>
                <w:sz w:val="18"/>
                <w:lang w:val="fr-FR"/>
              </w:rPr>
              <w:t>Septembre </w:t>
            </w:r>
            <w:r w:rsidR="00D7265E" w:rsidRPr="00450879">
              <w:rPr>
                <w:rStyle w:val="Hyperlink0"/>
                <w:sz w:val="18"/>
                <w:lang w:val="fr-FR"/>
              </w:rPr>
              <w:t>2017</w:t>
            </w:r>
          </w:p>
        </w:tc>
      </w:tr>
      <w:tr w:rsidR="00D7265E" w:rsidRPr="00450879" w14:paraId="5D86798C" w14:textId="77777777" w:rsidTr="00CE0733">
        <w:trPr>
          <w:trHeight w:val="392"/>
          <w:jc w:val="right"/>
        </w:trPr>
        <w:tc>
          <w:tcPr>
            <w:tcW w:w="5809" w:type="dxa"/>
            <w:tcBorders>
              <w:top w:val="nil"/>
              <w:left w:val="nil"/>
              <w:bottom w:val="nil"/>
              <w:right w:val="nil"/>
            </w:tcBorders>
            <w:tcMar>
              <w:top w:w="80" w:type="dxa"/>
              <w:left w:w="80" w:type="dxa"/>
              <w:bottom w:w="80" w:type="dxa"/>
              <w:right w:w="80" w:type="dxa"/>
            </w:tcMar>
          </w:tcPr>
          <w:p w14:paraId="287687E0" w14:textId="2F69E569" w:rsidR="00D7265E" w:rsidRPr="00450879" w:rsidRDefault="00B50519" w:rsidP="00DE6F4F">
            <w:pPr>
              <w:pStyle w:val="Brdtext"/>
              <w:pBdr>
                <w:top w:val="none" w:sz="0" w:space="0" w:color="auto"/>
                <w:left w:val="none" w:sz="0" w:space="0" w:color="auto"/>
                <w:bottom w:val="none" w:sz="0" w:space="0" w:color="auto"/>
                <w:right w:val="none" w:sz="0" w:space="0" w:color="auto"/>
                <w:bar w:val="none" w:sz="0" w:color="auto"/>
              </w:pBdr>
              <w:tabs>
                <w:tab w:val="left" w:pos="4082"/>
              </w:tabs>
              <w:rPr>
                <w:sz w:val="18"/>
                <w:lang w:val="fr-FR"/>
              </w:rPr>
            </w:pPr>
            <w:r w:rsidRPr="00450879">
              <w:rPr>
                <w:rStyle w:val="Hyperlink0"/>
                <w:sz w:val="18"/>
                <w:lang w:val="fr-FR"/>
              </w:rPr>
              <w:t xml:space="preserve">La Conférence </w:t>
            </w:r>
            <w:r w:rsidR="0021251F">
              <w:rPr>
                <w:rStyle w:val="Hyperlink0"/>
                <w:sz w:val="18"/>
                <w:lang w:val="fr-FR"/>
              </w:rPr>
              <w:t xml:space="preserve">des Parties </w:t>
            </w:r>
            <w:r w:rsidRPr="00450879">
              <w:rPr>
                <w:rStyle w:val="Hyperlink0"/>
                <w:sz w:val="18"/>
                <w:lang w:val="fr-FR"/>
              </w:rPr>
              <w:t>reconna</w:t>
            </w:r>
            <w:r w:rsidR="00DE6F4F">
              <w:rPr>
                <w:rStyle w:val="Hyperlink0"/>
                <w:sz w:val="18"/>
                <w:lang w:val="fr-FR"/>
              </w:rPr>
              <w:t>î</w:t>
            </w:r>
            <w:r w:rsidRPr="00450879">
              <w:rPr>
                <w:rStyle w:val="Hyperlink0"/>
                <w:sz w:val="18"/>
                <w:lang w:val="fr-FR"/>
              </w:rPr>
              <w:t xml:space="preserve">t la complexité des exigences scientifiques et techniques </w:t>
            </w:r>
            <w:r w:rsidR="00665FE1" w:rsidRPr="00450879">
              <w:rPr>
                <w:rStyle w:val="Hyperlink0"/>
                <w:sz w:val="18"/>
                <w:lang w:val="fr-FR"/>
              </w:rPr>
              <w:t>relatives à l’élaboration d’</w:t>
            </w:r>
            <w:r w:rsidRPr="00450879">
              <w:rPr>
                <w:rStyle w:val="Hyperlink0"/>
                <w:sz w:val="18"/>
                <w:lang w:val="fr-FR"/>
              </w:rPr>
              <w:t>un projet de cadre</w:t>
            </w:r>
            <w:r w:rsidR="00665FE1" w:rsidRPr="00450879">
              <w:rPr>
                <w:rStyle w:val="Hyperlink0"/>
                <w:sz w:val="18"/>
                <w:lang w:val="fr-FR"/>
              </w:rPr>
              <w:t xml:space="preserve"> pour une sélection appropriée des milieux et une prise en compte des résultats comparables</w:t>
            </w:r>
            <w:r w:rsidR="00D7265E" w:rsidRPr="00450879">
              <w:rPr>
                <w:rStyle w:val="Hyperlink0"/>
                <w:sz w:val="18"/>
                <w:lang w:val="fr-FR"/>
              </w:rPr>
              <w:t xml:space="preserve"> </w:t>
            </w:r>
            <w:r w:rsidR="00665FE1" w:rsidRPr="00450879">
              <w:rPr>
                <w:rStyle w:val="Hyperlink0"/>
                <w:sz w:val="18"/>
                <w:lang w:val="fr-FR"/>
              </w:rPr>
              <w:t>issus des activités de surveillance actuelles et futures</w:t>
            </w:r>
            <w:r w:rsidR="00D7265E" w:rsidRPr="00450879">
              <w:rPr>
                <w:rStyle w:val="Hyperlink0"/>
                <w:sz w:val="18"/>
                <w:lang w:val="fr-FR"/>
              </w:rPr>
              <w:t>.</w:t>
            </w:r>
            <w:r w:rsidR="00AE4913" w:rsidRPr="00450879">
              <w:rPr>
                <w:rStyle w:val="Hyperlink0"/>
                <w:sz w:val="18"/>
                <w:lang w:val="fr-FR"/>
              </w:rPr>
              <w:t xml:space="preserve"> Par conséquent</w:t>
            </w:r>
            <w:r w:rsidR="00665FE1" w:rsidRPr="00450879">
              <w:rPr>
                <w:rStyle w:val="Hyperlink0"/>
                <w:sz w:val="18"/>
                <w:lang w:val="fr-FR"/>
              </w:rPr>
              <w:t>, la Conférence crée un groupe spécial d’experts</w:t>
            </w:r>
            <w:r w:rsidR="00AE4913" w:rsidRPr="00450879">
              <w:rPr>
                <w:rStyle w:val="Hyperlink0"/>
                <w:sz w:val="18"/>
                <w:lang w:val="fr-FR"/>
              </w:rPr>
              <w:t xml:space="preserve"> chargé de travailler à l’élaboration du programme de surveillance qui sera utilisé pour évaluer l’efficacité de la </w:t>
            </w:r>
            <w:r w:rsidR="00D7265E" w:rsidRPr="00450879">
              <w:rPr>
                <w:rStyle w:val="Hyperlink0"/>
                <w:sz w:val="18"/>
                <w:lang w:val="fr-FR"/>
              </w:rPr>
              <w:t>Convention.</w:t>
            </w:r>
            <w:r w:rsidR="00E80AD2" w:rsidRPr="00450879">
              <w:rPr>
                <w:rStyle w:val="Hyperlink0"/>
                <w:sz w:val="18"/>
                <w:lang w:val="fr-FR"/>
              </w:rPr>
              <w:t xml:space="preserve"> </w:t>
            </w:r>
            <w:r w:rsidR="00AE4913" w:rsidRPr="00450879">
              <w:rPr>
                <w:rStyle w:val="Hyperlink0"/>
                <w:sz w:val="18"/>
                <w:lang w:val="fr-FR"/>
              </w:rPr>
              <w:t>La Conférence convien</w:t>
            </w:r>
            <w:r w:rsidR="00504F54">
              <w:rPr>
                <w:rStyle w:val="Hyperlink0"/>
                <w:sz w:val="18"/>
                <w:lang w:val="fr-FR"/>
              </w:rPr>
              <w:t>t</w:t>
            </w:r>
            <w:r w:rsidR="00AE4913" w:rsidRPr="00450879">
              <w:rPr>
                <w:rStyle w:val="Hyperlink0"/>
                <w:sz w:val="18"/>
                <w:lang w:val="fr-FR"/>
              </w:rPr>
              <w:t xml:space="preserve"> de la taille et de la structure du groupe spécial d’experts, en tenant compte de la nécessité d’</w:t>
            </w:r>
            <w:r w:rsidR="00504F54">
              <w:rPr>
                <w:rStyle w:val="Hyperlink0"/>
                <w:sz w:val="18"/>
                <w:lang w:val="fr-FR"/>
              </w:rPr>
              <w:t xml:space="preserve">assurer les compétences techniques </w:t>
            </w:r>
            <w:r w:rsidR="00AE4913" w:rsidRPr="00450879">
              <w:rPr>
                <w:rStyle w:val="Hyperlink0"/>
                <w:sz w:val="18"/>
                <w:lang w:val="fr-FR"/>
              </w:rPr>
              <w:t>adéquate</w:t>
            </w:r>
            <w:r w:rsidR="00504F54">
              <w:rPr>
                <w:rStyle w:val="Hyperlink0"/>
                <w:sz w:val="18"/>
                <w:lang w:val="fr-FR"/>
              </w:rPr>
              <w:t>s</w:t>
            </w:r>
            <w:r w:rsidR="00AE4913" w:rsidRPr="00450879">
              <w:rPr>
                <w:rStyle w:val="Hyperlink0"/>
                <w:sz w:val="18"/>
                <w:lang w:val="fr-FR"/>
              </w:rPr>
              <w:t xml:space="preserve"> et une représentation géographique équilibrée</w:t>
            </w:r>
            <w:r w:rsidR="00E80AD2" w:rsidRPr="00450879">
              <w:rPr>
                <w:rStyle w:val="Hyperlink0"/>
                <w:sz w:val="18"/>
                <w:lang w:val="fr-FR"/>
              </w:rPr>
              <w:t xml:space="preserve">. </w:t>
            </w:r>
          </w:p>
        </w:tc>
        <w:tc>
          <w:tcPr>
            <w:tcW w:w="2489" w:type="dxa"/>
            <w:tcBorders>
              <w:top w:val="nil"/>
              <w:left w:val="nil"/>
              <w:bottom w:val="nil"/>
              <w:right w:val="nil"/>
            </w:tcBorders>
            <w:tcMar>
              <w:top w:w="80" w:type="dxa"/>
              <w:left w:w="80" w:type="dxa"/>
              <w:bottom w:w="80" w:type="dxa"/>
              <w:right w:w="80" w:type="dxa"/>
            </w:tcMar>
          </w:tcPr>
          <w:p w14:paraId="66476F52" w14:textId="1439CDB4" w:rsidR="00D7265E" w:rsidRPr="00450879" w:rsidRDefault="00BE174C"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lang w:val="fr-FR"/>
              </w:rPr>
            </w:pPr>
            <w:r w:rsidRPr="00450879">
              <w:rPr>
                <w:rStyle w:val="Hyperlink0"/>
                <w:sz w:val="18"/>
                <w:lang w:val="fr-FR"/>
              </w:rPr>
              <w:t>Septembre </w:t>
            </w:r>
            <w:r w:rsidR="00D7265E" w:rsidRPr="00450879">
              <w:rPr>
                <w:rStyle w:val="Hyperlink0"/>
                <w:sz w:val="18"/>
                <w:lang w:val="fr-FR"/>
              </w:rPr>
              <w:t>2017</w:t>
            </w:r>
          </w:p>
        </w:tc>
      </w:tr>
      <w:tr w:rsidR="00D7265E" w:rsidRPr="00450879" w14:paraId="09CE8CA8" w14:textId="77777777" w:rsidTr="00CE0733">
        <w:trPr>
          <w:trHeight w:val="622"/>
          <w:jc w:val="right"/>
        </w:trPr>
        <w:tc>
          <w:tcPr>
            <w:tcW w:w="5809" w:type="dxa"/>
            <w:tcBorders>
              <w:top w:val="nil"/>
              <w:left w:val="nil"/>
              <w:bottom w:val="nil"/>
              <w:right w:val="nil"/>
            </w:tcBorders>
            <w:tcMar>
              <w:top w:w="80" w:type="dxa"/>
              <w:left w:w="80" w:type="dxa"/>
              <w:bottom w:w="80" w:type="dxa"/>
              <w:right w:w="80" w:type="dxa"/>
            </w:tcMar>
          </w:tcPr>
          <w:p w14:paraId="0AF1EB1F" w14:textId="1A6C9C75" w:rsidR="00D7265E" w:rsidRPr="00450879" w:rsidRDefault="00AE4913" w:rsidP="00504F54">
            <w:pPr>
              <w:pStyle w:val="Brdtext"/>
              <w:pBdr>
                <w:top w:val="none" w:sz="0" w:space="0" w:color="auto"/>
                <w:left w:val="none" w:sz="0" w:space="0" w:color="auto"/>
                <w:bottom w:val="none" w:sz="0" w:space="0" w:color="auto"/>
                <w:right w:val="none" w:sz="0" w:space="0" w:color="auto"/>
                <w:bar w:val="none" w:sz="0" w:color="auto"/>
              </w:pBdr>
              <w:tabs>
                <w:tab w:val="left" w:pos="4082"/>
              </w:tabs>
              <w:rPr>
                <w:sz w:val="18"/>
                <w:lang w:val="fr-FR"/>
              </w:rPr>
            </w:pPr>
            <w:r w:rsidRPr="00450879">
              <w:rPr>
                <w:rStyle w:val="Hyperlink0"/>
                <w:sz w:val="18"/>
                <w:lang w:val="fr-FR"/>
              </w:rPr>
              <w:t xml:space="preserve">Les candidatures pour </w:t>
            </w:r>
            <w:r w:rsidR="00504F54">
              <w:rPr>
                <w:rStyle w:val="Hyperlink0"/>
                <w:sz w:val="18"/>
                <w:lang w:val="fr-FR"/>
              </w:rPr>
              <w:t xml:space="preserve">faire partie du </w:t>
            </w:r>
            <w:r w:rsidRPr="00450879">
              <w:rPr>
                <w:rStyle w:val="Hyperlink0"/>
                <w:sz w:val="18"/>
                <w:lang w:val="fr-FR"/>
              </w:rPr>
              <w:t>groupe spécial d’experts sont soumises au secrétariat par l’intermédiaire des membres du Bureau de la Conférence</w:t>
            </w:r>
            <w:r w:rsidR="0021251F">
              <w:rPr>
                <w:rStyle w:val="Hyperlink0"/>
                <w:sz w:val="18"/>
                <w:lang w:val="fr-FR"/>
              </w:rPr>
              <w:t xml:space="preserve"> des Parties</w:t>
            </w:r>
            <w:r w:rsidR="00D7265E" w:rsidRPr="00450879">
              <w:rPr>
                <w:rStyle w:val="Hyperlink0"/>
                <w:sz w:val="18"/>
                <w:lang w:val="fr-FR"/>
              </w:rPr>
              <w:t xml:space="preserve">. </w:t>
            </w:r>
          </w:p>
        </w:tc>
        <w:tc>
          <w:tcPr>
            <w:tcW w:w="2489" w:type="dxa"/>
            <w:tcBorders>
              <w:top w:val="nil"/>
              <w:left w:val="nil"/>
              <w:bottom w:val="nil"/>
              <w:right w:val="nil"/>
            </w:tcBorders>
            <w:tcMar>
              <w:top w:w="80" w:type="dxa"/>
              <w:left w:w="80" w:type="dxa"/>
              <w:bottom w:w="80" w:type="dxa"/>
              <w:right w:w="80" w:type="dxa"/>
            </w:tcMar>
          </w:tcPr>
          <w:p w14:paraId="7DD5B004" w14:textId="49EC9848" w:rsidR="00D7265E" w:rsidRPr="00450879" w:rsidRDefault="00BE174C"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lang w:val="fr-FR"/>
              </w:rPr>
            </w:pPr>
            <w:r w:rsidRPr="00450879">
              <w:rPr>
                <w:rStyle w:val="Hyperlink0"/>
                <w:sz w:val="18"/>
                <w:lang w:val="fr-FR"/>
              </w:rPr>
              <w:t>Novembre </w:t>
            </w:r>
            <w:r w:rsidR="00D7265E" w:rsidRPr="00450879">
              <w:rPr>
                <w:rStyle w:val="Hyperlink0"/>
                <w:sz w:val="18"/>
                <w:lang w:val="fr-FR"/>
              </w:rPr>
              <w:t>2017</w:t>
            </w:r>
          </w:p>
        </w:tc>
      </w:tr>
      <w:tr w:rsidR="00D7265E" w:rsidRPr="00450879" w14:paraId="2A6C1DE2" w14:textId="77777777" w:rsidTr="00CE0733">
        <w:trPr>
          <w:trHeight w:val="192"/>
          <w:jc w:val="right"/>
        </w:trPr>
        <w:tc>
          <w:tcPr>
            <w:tcW w:w="5809" w:type="dxa"/>
            <w:tcBorders>
              <w:top w:val="nil"/>
              <w:left w:val="nil"/>
              <w:bottom w:val="nil"/>
              <w:right w:val="nil"/>
            </w:tcBorders>
            <w:tcMar>
              <w:top w:w="80" w:type="dxa"/>
              <w:left w:w="80" w:type="dxa"/>
              <w:bottom w:w="80" w:type="dxa"/>
              <w:right w:w="80" w:type="dxa"/>
            </w:tcMar>
          </w:tcPr>
          <w:p w14:paraId="53F6BE9B" w14:textId="57091211" w:rsidR="00D7265E" w:rsidRPr="00450879" w:rsidRDefault="00433292" w:rsidP="00504F54">
            <w:pPr>
              <w:pStyle w:val="Brdtext"/>
              <w:pBdr>
                <w:top w:val="none" w:sz="0" w:space="0" w:color="auto"/>
                <w:left w:val="none" w:sz="0" w:space="0" w:color="auto"/>
                <w:bottom w:val="none" w:sz="0" w:space="0" w:color="auto"/>
                <w:right w:val="none" w:sz="0" w:space="0" w:color="auto"/>
                <w:bar w:val="none" w:sz="0" w:color="auto"/>
              </w:pBdr>
              <w:tabs>
                <w:tab w:val="left" w:pos="4082"/>
              </w:tabs>
              <w:rPr>
                <w:sz w:val="18"/>
                <w:lang w:val="fr-FR"/>
              </w:rPr>
            </w:pPr>
            <w:r w:rsidRPr="00450879">
              <w:rPr>
                <w:rStyle w:val="Hyperlink0"/>
                <w:sz w:val="18"/>
                <w:lang w:val="fr-FR"/>
              </w:rPr>
              <w:t xml:space="preserve">Le secrétariat, s’appuyant sur </w:t>
            </w:r>
            <w:r w:rsidR="00504F54">
              <w:rPr>
                <w:rStyle w:val="Hyperlink0"/>
                <w:sz w:val="18"/>
                <w:lang w:val="fr-FR"/>
              </w:rPr>
              <w:t>l</w:t>
            </w:r>
            <w:r w:rsidRPr="00450879">
              <w:rPr>
                <w:rStyle w:val="Hyperlink0"/>
                <w:sz w:val="18"/>
                <w:lang w:val="fr-FR"/>
              </w:rPr>
              <w:t xml:space="preserve">es informations soumises précédemment et </w:t>
            </w:r>
            <w:r w:rsidR="00504F54">
              <w:rPr>
                <w:rStyle w:val="Hyperlink0"/>
                <w:sz w:val="18"/>
                <w:lang w:val="fr-FR"/>
              </w:rPr>
              <w:t>l</w:t>
            </w:r>
            <w:r w:rsidRPr="00450879">
              <w:rPr>
                <w:rStyle w:val="Hyperlink0"/>
                <w:sz w:val="18"/>
                <w:lang w:val="fr-FR"/>
              </w:rPr>
              <w:t xml:space="preserve">es travaux réalisés dans d’autres forums, en particulier </w:t>
            </w:r>
            <w:r w:rsidR="00504F54">
              <w:rPr>
                <w:rStyle w:val="Hyperlink0"/>
                <w:sz w:val="18"/>
                <w:lang w:val="fr-FR"/>
              </w:rPr>
              <w:t xml:space="preserve">au titre de </w:t>
            </w:r>
            <w:r w:rsidRPr="00450879">
              <w:rPr>
                <w:rStyle w:val="Hyperlink0"/>
                <w:sz w:val="18"/>
                <w:lang w:val="fr-FR"/>
              </w:rPr>
              <w:t xml:space="preserve">la Convention de </w:t>
            </w:r>
            <w:r w:rsidR="00D7265E" w:rsidRPr="00450879">
              <w:rPr>
                <w:rStyle w:val="Hyperlink0"/>
                <w:sz w:val="18"/>
                <w:lang w:val="fr-FR"/>
              </w:rPr>
              <w:t>Stockholm</w:t>
            </w:r>
            <w:r w:rsidR="0021251F">
              <w:rPr>
                <w:rStyle w:val="Hyperlink0"/>
                <w:sz w:val="18"/>
                <w:lang w:val="fr-FR"/>
              </w:rPr>
              <w:t xml:space="preserve"> sur les polluants organiques persistants</w:t>
            </w:r>
            <w:r w:rsidR="00D7265E" w:rsidRPr="00450879">
              <w:rPr>
                <w:rStyle w:val="Hyperlink0"/>
                <w:sz w:val="18"/>
                <w:lang w:val="fr-FR"/>
              </w:rPr>
              <w:t>,</w:t>
            </w:r>
            <w:r w:rsidRPr="00450879">
              <w:rPr>
                <w:rStyle w:val="Hyperlink0"/>
                <w:sz w:val="18"/>
                <w:lang w:val="fr-FR"/>
              </w:rPr>
              <w:t xml:space="preserve"> élabore des projets de proposition initiale concernant les types de données</w:t>
            </w:r>
            <w:r w:rsidR="00421AE0" w:rsidRPr="00450879">
              <w:rPr>
                <w:rStyle w:val="Hyperlink0"/>
                <w:sz w:val="18"/>
                <w:lang w:val="fr-FR"/>
              </w:rPr>
              <w:t xml:space="preserve"> susceptibles d’être comparées ainsi qu’une proposition initiale concernant un projet de cadre pour la surveillance et fournit les projets de proposition initiale </w:t>
            </w:r>
            <w:r w:rsidR="00C67C17" w:rsidRPr="00C67C17">
              <w:rPr>
                <w:rStyle w:val="Hyperlink0"/>
                <w:sz w:val="18"/>
                <w:lang w:val="fr-FR"/>
              </w:rPr>
              <w:t xml:space="preserve">par voie électronique </w:t>
            </w:r>
            <w:r w:rsidR="00421AE0" w:rsidRPr="00450879">
              <w:rPr>
                <w:rStyle w:val="Hyperlink0"/>
                <w:sz w:val="18"/>
                <w:lang w:val="fr-FR"/>
              </w:rPr>
              <w:t>au groupe spécial d’experts</w:t>
            </w:r>
            <w:r w:rsidR="00D7265E" w:rsidRPr="00450879">
              <w:rPr>
                <w:sz w:val="18"/>
                <w:lang w:val="fr-FR"/>
              </w:rPr>
              <w:t xml:space="preserve">. </w:t>
            </w:r>
          </w:p>
        </w:tc>
        <w:tc>
          <w:tcPr>
            <w:tcW w:w="2489" w:type="dxa"/>
            <w:tcBorders>
              <w:top w:val="nil"/>
              <w:left w:val="nil"/>
              <w:bottom w:val="nil"/>
              <w:right w:val="nil"/>
            </w:tcBorders>
            <w:tcMar>
              <w:top w:w="80" w:type="dxa"/>
              <w:left w:w="80" w:type="dxa"/>
              <w:bottom w:w="80" w:type="dxa"/>
              <w:right w:w="80" w:type="dxa"/>
            </w:tcMar>
          </w:tcPr>
          <w:p w14:paraId="3BFB1547" w14:textId="6410DFAB" w:rsidR="00D7265E" w:rsidRPr="00450879" w:rsidRDefault="00BE174C"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lang w:val="fr-FR"/>
              </w:rPr>
            </w:pPr>
            <w:r w:rsidRPr="00450879">
              <w:rPr>
                <w:rStyle w:val="Hyperlink0"/>
                <w:sz w:val="18"/>
                <w:lang w:val="fr-FR"/>
              </w:rPr>
              <w:t>Janvier </w:t>
            </w:r>
            <w:r w:rsidR="00D7265E" w:rsidRPr="00450879">
              <w:rPr>
                <w:rStyle w:val="Hyperlink0"/>
                <w:sz w:val="18"/>
                <w:lang w:val="fr-FR"/>
              </w:rPr>
              <w:t>2018</w:t>
            </w:r>
          </w:p>
        </w:tc>
      </w:tr>
      <w:tr w:rsidR="00D13433" w:rsidRPr="00450879" w14:paraId="58C342BC" w14:textId="77777777">
        <w:trPr>
          <w:trHeight w:val="792"/>
          <w:jc w:val="right"/>
        </w:trPr>
        <w:tc>
          <w:tcPr>
            <w:tcW w:w="5809" w:type="dxa"/>
            <w:tcBorders>
              <w:top w:val="nil"/>
              <w:left w:val="nil"/>
              <w:bottom w:val="nil"/>
              <w:right w:val="nil"/>
            </w:tcBorders>
            <w:tcMar>
              <w:top w:w="80" w:type="dxa"/>
              <w:left w:w="80" w:type="dxa"/>
              <w:bottom w:w="80" w:type="dxa"/>
              <w:right w:w="80" w:type="dxa"/>
            </w:tcMar>
          </w:tcPr>
          <w:p w14:paraId="10C33FD2" w14:textId="13A3EEE9" w:rsidR="00D13433" w:rsidRPr="00450879" w:rsidRDefault="009549E8" w:rsidP="00504F54">
            <w:pPr>
              <w:pStyle w:val="Brdtext"/>
              <w:pBdr>
                <w:top w:val="none" w:sz="0" w:space="0" w:color="auto"/>
                <w:left w:val="none" w:sz="0" w:space="0" w:color="auto"/>
                <w:bottom w:val="none" w:sz="0" w:space="0" w:color="auto"/>
                <w:right w:val="none" w:sz="0" w:space="0" w:color="auto"/>
                <w:bar w:val="none" w:sz="0" w:color="auto"/>
              </w:pBdr>
              <w:tabs>
                <w:tab w:val="left" w:pos="4082"/>
              </w:tabs>
              <w:rPr>
                <w:sz w:val="18"/>
                <w:lang w:val="fr-FR"/>
              </w:rPr>
            </w:pPr>
            <w:r w:rsidRPr="00450879">
              <w:rPr>
                <w:rStyle w:val="Hyperlink0"/>
                <w:sz w:val="18"/>
                <w:lang w:val="fr-FR"/>
              </w:rPr>
              <w:t xml:space="preserve">Le secrétariat, s’appuyant sur </w:t>
            </w:r>
            <w:r w:rsidR="00504F54">
              <w:rPr>
                <w:rStyle w:val="Hyperlink0"/>
                <w:sz w:val="18"/>
                <w:lang w:val="fr-FR"/>
              </w:rPr>
              <w:t>l</w:t>
            </w:r>
            <w:r w:rsidRPr="00450879">
              <w:rPr>
                <w:rStyle w:val="Hyperlink0"/>
                <w:sz w:val="18"/>
                <w:lang w:val="fr-FR"/>
              </w:rPr>
              <w:t xml:space="preserve">es informations soumises précédemment et </w:t>
            </w:r>
            <w:r w:rsidR="00504F54">
              <w:rPr>
                <w:rStyle w:val="Hyperlink0"/>
                <w:sz w:val="18"/>
                <w:lang w:val="fr-FR"/>
              </w:rPr>
              <w:t>l</w:t>
            </w:r>
            <w:r w:rsidRPr="00450879">
              <w:rPr>
                <w:rStyle w:val="Hyperlink0"/>
                <w:sz w:val="18"/>
                <w:lang w:val="fr-FR"/>
              </w:rPr>
              <w:t xml:space="preserve">es travaux réalisés dans d’autres forums, en particulier </w:t>
            </w:r>
            <w:r w:rsidR="00504F54">
              <w:rPr>
                <w:rStyle w:val="Hyperlink0"/>
                <w:sz w:val="18"/>
                <w:lang w:val="fr-FR"/>
              </w:rPr>
              <w:t xml:space="preserve">au titre de </w:t>
            </w:r>
            <w:r w:rsidRPr="00450879">
              <w:rPr>
                <w:rStyle w:val="Hyperlink0"/>
                <w:sz w:val="18"/>
                <w:lang w:val="fr-FR"/>
              </w:rPr>
              <w:t>la Convention de Stockholm, élabore un projet de stratégie</w:t>
            </w:r>
            <w:r w:rsidR="00D13433" w:rsidRPr="00450879">
              <w:rPr>
                <w:rStyle w:val="Hyperlink0"/>
                <w:sz w:val="18"/>
                <w:lang w:val="fr-FR"/>
              </w:rPr>
              <w:t xml:space="preserve"> </w:t>
            </w:r>
            <w:r w:rsidRPr="00450879">
              <w:rPr>
                <w:sz w:val="18"/>
                <w:lang w:val="fr-FR"/>
              </w:rPr>
              <w:t>visant à tenir compte de</w:t>
            </w:r>
            <w:r w:rsidR="00C67C17">
              <w:rPr>
                <w:sz w:val="18"/>
                <w:lang w:val="fr-FR"/>
              </w:rPr>
              <w:t>s</w:t>
            </w:r>
            <w:r w:rsidRPr="00450879">
              <w:rPr>
                <w:sz w:val="18"/>
                <w:lang w:val="fr-FR"/>
              </w:rPr>
              <w:t xml:space="preserve"> rapports et autres données de surveillance et met ce projet à la disposition du groupe spécial d’experts afin que celui-ci</w:t>
            </w:r>
            <w:r w:rsidR="00D13433" w:rsidRPr="00450879">
              <w:rPr>
                <w:sz w:val="18"/>
                <w:lang w:val="fr-FR"/>
              </w:rPr>
              <w:t xml:space="preserve"> </w:t>
            </w:r>
            <w:r w:rsidRPr="00450879">
              <w:rPr>
                <w:sz w:val="18"/>
                <w:lang w:val="fr-FR"/>
              </w:rPr>
              <w:t>formule des observations et</w:t>
            </w:r>
            <w:r w:rsidR="00D13433" w:rsidRPr="00450879">
              <w:rPr>
                <w:sz w:val="18"/>
                <w:lang w:val="fr-FR"/>
              </w:rPr>
              <w:t xml:space="preserve"> </w:t>
            </w:r>
            <w:r w:rsidRPr="00450879">
              <w:rPr>
                <w:sz w:val="18"/>
                <w:lang w:val="fr-FR"/>
              </w:rPr>
              <w:t xml:space="preserve">fournisse </w:t>
            </w:r>
            <w:r w:rsidR="00086C8C">
              <w:rPr>
                <w:sz w:val="18"/>
                <w:lang w:val="fr-FR"/>
              </w:rPr>
              <w:t>toute</w:t>
            </w:r>
            <w:r w:rsidR="00AD094A" w:rsidRPr="00450879">
              <w:rPr>
                <w:sz w:val="18"/>
                <w:lang w:val="fr-FR"/>
              </w:rPr>
              <w:t xml:space="preserve"> information supplémentaire</w:t>
            </w:r>
            <w:r w:rsidR="00086C8C">
              <w:rPr>
                <w:sz w:val="18"/>
                <w:lang w:val="fr-FR"/>
              </w:rPr>
              <w:t xml:space="preserve"> </w:t>
            </w:r>
            <w:r w:rsidR="00AD094A" w:rsidRPr="00450879">
              <w:rPr>
                <w:sz w:val="18"/>
                <w:lang w:val="fr-FR"/>
              </w:rPr>
              <w:t>en rapport avec la stratégie</w:t>
            </w:r>
            <w:r w:rsidR="000835E1" w:rsidRPr="00450879">
              <w:rPr>
                <w:sz w:val="18"/>
                <w:szCs w:val="18"/>
                <w:lang w:val="fr-FR"/>
              </w:rPr>
              <w:t>.</w:t>
            </w:r>
          </w:p>
        </w:tc>
        <w:tc>
          <w:tcPr>
            <w:tcW w:w="2489" w:type="dxa"/>
            <w:tcBorders>
              <w:top w:val="nil"/>
              <w:left w:val="nil"/>
              <w:bottom w:val="nil"/>
              <w:right w:val="nil"/>
            </w:tcBorders>
            <w:tcMar>
              <w:top w:w="80" w:type="dxa"/>
              <w:left w:w="80" w:type="dxa"/>
              <w:bottom w:w="80" w:type="dxa"/>
              <w:right w:w="80" w:type="dxa"/>
            </w:tcMar>
          </w:tcPr>
          <w:p w14:paraId="2D74112A" w14:textId="731E1CE4" w:rsidR="00D13433" w:rsidRPr="00450879" w:rsidRDefault="00BE174C"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rStyle w:val="Hyperlink0"/>
                <w:sz w:val="18"/>
                <w:lang w:val="fr-FR"/>
              </w:rPr>
            </w:pPr>
            <w:r w:rsidRPr="00450879">
              <w:rPr>
                <w:rStyle w:val="Hyperlink0"/>
                <w:sz w:val="18"/>
                <w:lang w:val="fr-FR"/>
              </w:rPr>
              <w:t>Février </w:t>
            </w:r>
            <w:r w:rsidR="00E96FEE" w:rsidRPr="00450879">
              <w:rPr>
                <w:rStyle w:val="Hyperlink0"/>
                <w:sz w:val="18"/>
                <w:lang w:val="fr-FR"/>
              </w:rPr>
              <w:t>2018</w:t>
            </w:r>
          </w:p>
        </w:tc>
      </w:tr>
      <w:tr w:rsidR="00D7265E" w:rsidRPr="00450879" w14:paraId="5CA02485" w14:textId="77777777" w:rsidTr="00CE0733">
        <w:trPr>
          <w:trHeight w:val="792"/>
          <w:jc w:val="right"/>
        </w:trPr>
        <w:tc>
          <w:tcPr>
            <w:tcW w:w="5809" w:type="dxa"/>
            <w:tcBorders>
              <w:top w:val="nil"/>
              <w:left w:val="nil"/>
              <w:bottom w:val="nil"/>
              <w:right w:val="nil"/>
            </w:tcBorders>
            <w:tcMar>
              <w:top w:w="80" w:type="dxa"/>
              <w:left w:w="80" w:type="dxa"/>
              <w:bottom w:w="80" w:type="dxa"/>
              <w:right w:w="80" w:type="dxa"/>
            </w:tcMar>
          </w:tcPr>
          <w:p w14:paraId="55E41544" w14:textId="026777D9" w:rsidR="00D7265E" w:rsidRPr="00450879" w:rsidRDefault="00C553AB" w:rsidP="00504F54">
            <w:pPr>
              <w:pStyle w:val="Brdtext"/>
              <w:pBdr>
                <w:top w:val="none" w:sz="0" w:space="0" w:color="auto"/>
                <w:left w:val="none" w:sz="0" w:space="0" w:color="auto"/>
                <w:bottom w:val="none" w:sz="0" w:space="0" w:color="auto"/>
                <w:right w:val="none" w:sz="0" w:space="0" w:color="auto"/>
                <w:bar w:val="none" w:sz="0" w:color="auto"/>
              </w:pBdr>
              <w:tabs>
                <w:tab w:val="left" w:pos="4082"/>
              </w:tabs>
              <w:rPr>
                <w:sz w:val="18"/>
                <w:lang w:val="fr-FR"/>
              </w:rPr>
            </w:pPr>
            <w:r w:rsidRPr="00450879">
              <w:rPr>
                <w:sz w:val="18"/>
                <w:lang w:val="fr-FR"/>
              </w:rPr>
              <w:t>Le</w:t>
            </w:r>
            <w:r w:rsidR="00D7265E" w:rsidRPr="00450879">
              <w:rPr>
                <w:sz w:val="18"/>
                <w:lang w:val="fr-FR"/>
              </w:rPr>
              <w:t xml:space="preserve"> </w:t>
            </w:r>
            <w:r w:rsidRPr="00450879">
              <w:rPr>
                <w:sz w:val="18"/>
                <w:lang w:val="fr-FR"/>
              </w:rPr>
              <w:t>groupe spécial d’experts examine les</w:t>
            </w:r>
            <w:r w:rsidR="00D7265E" w:rsidRPr="00450879">
              <w:rPr>
                <w:sz w:val="18"/>
                <w:lang w:val="fr-FR"/>
              </w:rPr>
              <w:t xml:space="preserve"> </w:t>
            </w:r>
            <w:r w:rsidRPr="00450879">
              <w:rPr>
                <w:sz w:val="18"/>
                <w:lang w:val="fr-FR"/>
              </w:rPr>
              <w:t xml:space="preserve">projets de proposition initiale </w:t>
            </w:r>
            <w:r w:rsidR="00282401" w:rsidRPr="00450879">
              <w:rPr>
                <w:sz w:val="18"/>
                <w:lang w:val="fr-FR"/>
              </w:rPr>
              <w:t>concernant les types de données, le projet de cadre pour la surveillance et le projet de stratégie distribué</w:t>
            </w:r>
            <w:r w:rsidR="001E7ED6" w:rsidRPr="00450879">
              <w:rPr>
                <w:sz w:val="18"/>
                <w:lang w:val="fr-FR"/>
              </w:rPr>
              <w:t>s</w:t>
            </w:r>
            <w:r w:rsidR="00282401" w:rsidRPr="00450879">
              <w:rPr>
                <w:sz w:val="18"/>
                <w:lang w:val="fr-FR"/>
              </w:rPr>
              <w:t xml:space="preserve"> par le secrétariat</w:t>
            </w:r>
            <w:r w:rsidR="00504F54">
              <w:rPr>
                <w:sz w:val="18"/>
                <w:lang w:val="fr-FR"/>
              </w:rPr>
              <w:t>;</w:t>
            </w:r>
            <w:r w:rsidR="00D7265E" w:rsidRPr="00450879">
              <w:rPr>
                <w:sz w:val="18"/>
                <w:lang w:val="fr-FR"/>
              </w:rPr>
              <w:t xml:space="preserve"> </w:t>
            </w:r>
            <w:r w:rsidR="001E7ED6" w:rsidRPr="00450879">
              <w:rPr>
                <w:sz w:val="18"/>
                <w:lang w:val="fr-FR"/>
              </w:rPr>
              <w:t>analyse les informations,</w:t>
            </w:r>
            <w:r w:rsidR="00D7265E" w:rsidRPr="00450879">
              <w:rPr>
                <w:sz w:val="18"/>
                <w:lang w:val="fr-FR"/>
              </w:rPr>
              <w:t xml:space="preserve"> </w:t>
            </w:r>
            <w:r w:rsidR="001E7ED6" w:rsidRPr="00450879">
              <w:rPr>
                <w:sz w:val="18"/>
                <w:lang w:val="fr-FR"/>
              </w:rPr>
              <w:t>éventuellement dans le cadre d’une réunion</w:t>
            </w:r>
            <w:r w:rsidR="00D7265E" w:rsidRPr="00450879">
              <w:rPr>
                <w:sz w:val="18"/>
                <w:lang w:val="fr-FR"/>
              </w:rPr>
              <w:t xml:space="preserve"> </w:t>
            </w:r>
            <w:r w:rsidR="001E7ED6" w:rsidRPr="00450879">
              <w:rPr>
                <w:sz w:val="18"/>
                <w:lang w:val="fr-FR"/>
              </w:rPr>
              <w:t>en face à face</w:t>
            </w:r>
            <w:r w:rsidR="00504F54">
              <w:rPr>
                <w:sz w:val="18"/>
                <w:lang w:val="fr-FR"/>
              </w:rPr>
              <w:t>;</w:t>
            </w:r>
            <w:r w:rsidR="00D7265E" w:rsidRPr="00450879">
              <w:rPr>
                <w:sz w:val="18"/>
                <w:lang w:val="fr-FR"/>
              </w:rPr>
              <w:t xml:space="preserve"> </w:t>
            </w:r>
            <w:r w:rsidR="001E7ED6" w:rsidRPr="00450879">
              <w:rPr>
                <w:sz w:val="18"/>
                <w:lang w:val="fr-FR"/>
              </w:rPr>
              <w:t>et fournit des observations au secrétariat, soit par voie électronique soit directement à l’occasion d’une réunion en face à face</w:t>
            </w:r>
            <w:r w:rsidR="00D7265E" w:rsidRPr="00450879">
              <w:rPr>
                <w:sz w:val="18"/>
                <w:szCs w:val="18"/>
                <w:lang w:val="fr-FR"/>
              </w:rPr>
              <w:t>.</w:t>
            </w:r>
            <w:r w:rsidR="001E7ED6" w:rsidRPr="00450879">
              <w:rPr>
                <w:sz w:val="18"/>
                <w:szCs w:val="18"/>
                <w:lang w:val="fr-FR"/>
              </w:rPr>
              <w:t xml:space="preserve"> Des téléconférences </w:t>
            </w:r>
            <w:r w:rsidR="00086C8C">
              <w:rPr>
                <w:sz w:val="18"/>
                <w:szCs w:val="18"/>
                <w:lang w:val="fr-FR"/>
              </w:rPr>
              <w:t>ou</w:t>
            </w:r>
            <w:r w:rsidR="001E7ED6" w:rsidRPr="00450879">
              <w:rPr>
                <w:sz w:val="18"/>
                <w:szCs w:val="18"/>
                <w:lang w:val="fr-FR"/>
              </w:rPr>
              <w:t xml:space="preserve"> des webinaires peuvent être organisés afin d’examiner des documents, selon les besoins</w:t>
            </w:r>
            <w:r w:rsidR="00D7265E" w:rsidRPr="00450879">
              <w:rPr>
                <w:sz w:val="18"/>
                <w:lang w:val="fr-FR"/>
              </w:rPr>
              <w:t>.</w:t>
            </w:r>
          </w:p>
        </w:tc>
        <w:tc>
          <w:tcPr>
            <w:tcW w:w="2489" w:type="dxa"/>
            <w:tcBorders>
              <w:top w:val="nil"/>
              <w:left w:val="nil"/>
              <w:bottom w:val="nil"/>
              <w:right w:val="nil"/>
            </w:tcBorders>
            <w:tcMar>
              <w:top w:w="80" w:type="dxa"/>
              <w:left w:w="80" w:type="dxa"/>
              <w:bottom w:w="80" w:type="dxa"/>
              <w:right w:w="80" w:type="dxa"/>
            </w:tcMar>
          </w:tcPr>
          <w:p w14:paraId="2A10ABEB" w14:textId="2E2EE3A0" w:rsidR="00D7265E" w:rsidRPr="00450879" w:rsidRDefault="00BE174C"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lang w:val="fr-FR"/>
              </w:rPr>
            </w:pPr>
            <w:r w:rsidRPr="00450879">
              <w:rPr>
                <w:rStyle w:val="Hyperlink0"/>
                <w:sz w:val="18"/>
                <w:lang w:val="fr-FR"/>
              </w:rPr>
              <w:t>Mars </w:t>
            </w:r>
            <w:r w:rsidR="00D7265E" w:rsidRPr="00450879">
              <w:rPr>
                <w:rStyle w:val="Hyperlink0"/>
                <w:sz w:val="18"/>
                <w:lang w:val="fr-FR"/>
              </w:rPr>
              <w:t>2018</w:t>
            </w:r>
          </w:p>
        </w:tc>
      </w:tr>
      <w:tr w:rsidR="00D7265E" w:rsidRPr="00450879" w14:paraId="0CF97D07" w14:textId="77777777" w:rsidTr="00CE0733">
        <w:trPr>
          <w:trHeight w:val="192"/>
          <w:jc w:val="right"/>
        </w:trPr>
        <w:tc>
          <w:tcPr>
            <w:tcW w:w="5809" w:type="dxa"/>
            <w:tcBorders>
              <w:top w:val="nil"/>
              <w:left w:val="nil"/>
              <w:bottom w:val="nil"/>
              <w:right w:val="nil"/>
            </w:tcBorders>
            <w:tcMar>
              <w:top w:w="80" w:type="dxa"/>
              <w:left w:w="80" w:type="dxa"/>
              <w:bottom w:w="80" w:type="dxa"/>
              <w:right w:w="80" w:type="dxa"/>
            </w:tcMar>
          </w:tcPr>
          <w:p w14:paraId="06A5ED78" w14:textId="10388F3C" w:rsidR="00D7265E" w:rsidRPr="00450879" w:rsidRDefault="001E7ED6" w:rsidP="000835E1">
            <w:pPr>
              <w:pStyle w:val="Brdtext"/>
              <w:pBdr>
                <w:top w:val="none" w:sz="0" w:space="0" w:color="auto"/>
                <w:left w:val="none" w:sz="0" w:space="0" w:color="auto"/>
                <w:bottom w:val="none" w:sz="0" w:space="0" w:color="auto"/>
                <w:right w:val="none" w:sz="0" w:space="0" w:color="auto"/>
                <w:bar w:val="none" w:sz="0" w:color="auto"/>
              </w:pBdr>
              <w:tabs>
                <w:tab w:val="left" w:pos="4082"/>
              </w:tabs>
              <w:rPr>
                <w:sz w:val="18"/>
                <w:lang w:val="fr-FR"/>
              </w:rPr>
            </w:pPr>
            <w:r w:rsidRPr="00450879">
              <w:rPr>
                <w:rStyle w:val="Hyperlink0"/>
                <w:sz w:val="18"/>
                <w:szCs w:val="18"/>
                <w:lang w:val="fr-FR"/>
              </w:rPr>
              <w:t>Le secrétariat élabore des versions révisées des documents et les distribue aux membres du</w:t>
            </w:r>
            <w:r w:rsidR="000835E1" w:rsidRPr="00450879">
              <w:rPr>
                <w:rStyle w:val="Hyperlink0"/>
                <w:sz w:val="18"/>
                <w:szCs w:val="18"/>
                <w:lang w:val="fr-FR"/>
              </w:rPr>
              <w:t xml:space="preserve"> </w:t>
            </w:r>
            <w:r w:rsidRPr="00450879">
              <w:rPr>
                <w:rStyle w:val="Hyperlink0"/>
                <w:sz w:val="18"/>
                <w:szCs w:val="18"/>
                <w:lang w:val="fr-FR"/>
              </w:rPr>
              <w:t>groupe spécial d’experts afin que ceux-ci les examinent</w:t>
            </w:r>
            <w:r w:rsidR="00D7265E" w:rsidRPr="00450879">
              <w:rPr>
                <w:rStyle w:val="Hyperlink0"/>
                <w:sz w:val="18"/>
                <w:lang w:val="fr-FR"/>
              </w:rPr>
              <w:t>.</w:t>
            </w:r>
          </w:p>
        </w:tc>
        <w:tc>
          <w:tcPr>
            <w:tcW w:w="2489" w:type="dxa"/>
            <w:tcBorders>
              <w:top w:val="nil"/>
              <w:left w:val="nil"/>
              <w:bottom w:val="nil"/>
              <w:right w:val="nil"/>
            </w:tcBorders>
            <w:tcMar>
              <w:top w:w="80" w:type="dxa"/>
              <w:left w:w="80" w:type="dxa"/>
              <w:bottom w:w="80" w:type="dxa"/>
              <w:right w:w="80" w:type="dxa"/>
            </w:tcMar>
          </w:tcPr>
          <w:p w14:paraId="2693BE55" w14:textId="2A00C734" w:rsidR="00D7265E" w:rsidRPr="00450879" w:rsidRDefault="00BE174C"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lang w:val="fr-FR"/>
              </w:rPr>
            </w:pPr>
            <w:r w:rsidRPr="00450879">
              <w:rPr>
                <w:rStyle w:val="Hyperlink0"/>
                <w:sz w:val="18"/>
                <w:lang w:val="fr-FR"/>
              </w:rPr>
              <w:t>Mai</w:t>
            </w:r>
            <w:r w:rsidR="00FA44CB">
              <w:rPr>
                <w:rStyle w:val="Hyperlink0"/>
                <w:sz w:val="18"/>
                <w:lang w:val="fr-FR"/>
              </w:rPr>
              <w:t> </w:t>
            </w:r>
            <w:r w:rsidR="00D7265E" w:rsidRPr="00450879">
              <w:rPr>
                <w:rStyle w:val="Hyperlink0"/>
                <w:sz w:val="18"/>
                <w:lang w:val="fr-FR"/>
              </w:rPr>
              <w:t>2018</w:t>
            </w:r>
          </w:p>
        </w:tc>
      </w:tr>
      <w:tr w:rsidR="00D7265E" w:rsidRPr="00450879" w14:paraId="720C856C" w14:textId="77777777" w:rsidTr="00CE0733">
        <w:trPr>
          <w:trHeight w:val="807"/>
          <w:jc w:val="right"/>
        </w:trPr>
        <w:tc>
          <w:tcPr>
            <w:tcW w:w="5809" w:type="dxa"/>
            <w:tcBorders>
              <w:top w:val="nil"/>
              <w:left w:val="nil"/>
              <w:bottom w:val="nil"/>
              <w:right w:val="nil"/>
            </w:tcBorders>
            <w:tcMar>
              <w:top w:w="80" w:type="dxa"/>
              <w:left w:w="80" w:type="dxa"/>
              <w:bottom w:w="80" w:type="dxa"/>
              <w:right w:w="80" w:type="dxa"/>
            </w:tcMar>
          </w:tcPr>
          <w:p w14:paraId="5A3E2738" w14:textId="0C92BE98" w:rsidR="00D7265E" w:rsidRPr="00450879" w:rsidRDefault="001E7ED6" w:rsidP="00504F54">
            <w:pPr>
              <w:pStyle w:val="Brdtext"/>
              <w:pBdr>
                <w:top w:val="none" w:sz="0" w:space="0" w:color="auto"/>
                <w:left w:val="none" w:sz="0" w:space="0" w:color="auto"/>
                <w:bottom w:val="none" w:sz="0" w:space="0" w:color="auto"/>
                <w:right w:val="none" w:sz="0" w:space="0" w:color="auto"/>
                <w:bar w:val="none" w:sz="0" w:color="auto"/>
              </w:pBdr>
              <w:tabs>
                <w:tab w:val="left" w:pos="4082"/>
              </w:tabs>
              <w:rPr>
                <w:sz w:val="18"/>
                <w:lang w:val="fr-FR"/>
              </w:rPr>
            </w:pPr>
            <w:r w:rsidRPr="00450879">
              <w:rPr>
                <w:rStyle w:val="Hyperlink0"/>
                <w:sz w:val="18"/>
                <w:szCs w:val="18"/>
                <w:lang w:val="fr-FR"/>
              </w:rPr>
              <w:t>Le groupe spécial d’experts se réunit pour examiner les propositions révisées et élabore</w:t>
            </w:r>
            <w:r w:rsidR="00F13C26" w:rsidRPr="00450879">
              <w:rPr>
                <w:rStyle w:val="Hyperlink0"/>
                <w:sz w:val="18"/>
                <w:szCs w:val="18"/>
                <w:lang w:val="fr-FR"/>
              </w:rPr>
              <w:t>r</w:t>
            </w:r>
            <w:r w:rsidRPr="00450879">
              <w:rPr>
                <w:rStyle w:val="Hyperlink0"/>
                <w:sz w:val="18"/>
                <w:szCs w:val="18"/>
                <w:lang w:val="fr-FR"/>
              </w:rPr>
              <w:t xml:space="preserve"> des recommandations </w:t>
            </w:r>
            <w:r w:rsidR="00504F54">
              <w:rPr>
                <w:rStyle w:val="Hyperlink0"/>
                <w:sz w:val="18"/>
                <w:szCs w:val="18"/>
                <w:lang w:val="fr-FR"/>
              </w:rPr>
              <w:t xml:space="preserve">en vue de </w:t>
            </w:r>
            <w:r w:rsidRPr="00450879">
              <w:rPr>
                <w:rStyle w:val="Hyperlink0"/>
                <w:sz w:val="18"/>
                <w:szCs w:val="18"/>
                <w:lang w:val="fr-FR"/>
              </w:rPr>
              <w:t>la deuxième réunion de la Conférence des Parties,</w:t>
            </w:r>
            <w:r w:rsidR="00F13C26" w:rsidRPr="00450879">
              <w:rPr>
                <w:rStyle w:val="Hyperlink0"/>
                <w:sz w:val="18"/>
                <w:szCs w:val="18"/>
                <w:lang w:val="fr-FR"/>
              </w:rPr>
              <w:t xml:space="preserve"> y compris d</w:t>
            </w:r>
            <w:r w:rsidR="00504F54">
              <w:rPr>
                <w:rStyle w:val="Hyperlink0"/>
                <w:sz w:val="18"/>
                <w:szCs w:val="18"/>
                <w:lang w:val="fr-FR"/>
              </w:rPr>
              <w:t xml:space="preserve">es </w:t>
            </w:r>
            <w:r w:rsidR="00F13C26" w:rsidRPr="00450879">
              <w:rPr>
                <w:rStyle w:val="Hyperlink0"/>
                <w:sz w:val="18"/>
                <w:szCs w:val="18"/>
                <w:lang w:val="fr-FR"/>
              </w:rPr>
              <w:t xml:space="preserve">recommandations </w:t>
            </w:r>
            <w:r w:rsidR="00504F54">
              <w:rPr>
                <w:rStyle w:val="Hyperlink0"/>
                <w:sz w:val="18"/>
                <w:szCs w:val="18"/>
                <w:lang w:val="fr-FR"/>
              </w:rPr>
              <w:t xml:space="preserve">éventuelles pour de nouveaux travaux ou </w:t>
            </w:r>
            <w:r w:rsidR="00DE6F4F">
              <w:rPr>
                <w:rStyle w:val="Hyperlink0"/>
                <w:sz w:val="18"/>
                <w:szCs w:val="18"/>
                <w:lang w:val="fr-FR"/>
              </w:rPr>
              <w:t xml:space="preserve">de </w:t>
            </w:r>
            <w:r w:rsidR="00504F54">
              <w:rPr>
                <w:rStyle w:val="Hyperlink0"/>
                <w:sz w:val="18"/>
                <w:szCs w:val="18"/>
                <w:lang w:val="fr-FR"/>
              </w:rPr>
              <w:t xml:space="preserve">travaux </w:t>
            </w:r>
            <w:r w:rsidR="00F13C26" w:rsidRPr="00450879">
              <w:rPr>
                <w:rStyle w:val="Hyperlink0"/>
                <w:sz w:val="18"/>
                <w:szCs w:val="18"/>
                <w:lang w:val="fr-FR"/>
              </w:rPr>
              <w:t>supplémentaires</w:t>
            </w:r>
            <w:r w:rsidR="000835E1" w:rsidRPr="00450879">
              <w:rPr>
                <w:rStyle w:val="Hyperlink0"/>
                <w:sz w:val="18"/>
                <w:szCs w:val="18"/>
                <w:lang w:val="fr-FR"/>
              </w:rPr>
              <w:t>.</w:t>
            </w:r>
          </w:p>
        </w:tc>
        <w:tc>
          <w:tcPr>
            <w:tcW w:w="2489" w:type="dxa"/>
            <w:tcBorders>
              <w:top w:val="nil"/>
              <w:left w:val="nil"/>
              <w:bottom w:val="nil"/>
              <w:right w:val="nil"/>
            </w:tcBorders>
            <w:tcMar>
              <w:top w:w="80" w:type="dxa"/>
              <w:left w:w="80" w:type="dxa"/>
              <w:bottom w:w="80" w:type="dxa"/>
              <w:right w:w="80" w:type="dxa"/>
            </w:tcMar>
          </w:tcPr>
          <w:p w14:paraId="1D737998" w14:textId="474F4C58" w:rsidR="00D7265E" w:rsidRPr="00450879" w:rsidRDefault="00BE174C"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lang w:val="fr-FR"/>
              </w:rPr>
            </w:pPr>
            <w:r w:rsidRPr="00450879">
              <w:rPr>
                <w:rStyle w:val="Hyperlink0"/>
                <w:sz w:val="18"/>
                <w:lang w:val="fr-FR"/>
              </w:rPr>
              <w:t>Juin </w:t>
            </w:r>
            <w:r w:rsidR="00D7265E" w:rsidRPr="00450879">
              <w:rPr>
                <w:rStyle w:val="Hyperlink0"/>
                <w:sz w:val="18"/>
                <w:lang w:val="fr-FR"/>
              </w:rPr>
              <w:t>2018</w:t>
            </w:r>
          </w:p>
        </w:tc>
      </w:tr>
      <w:tr w:rsidR="00D13433" w:rsidRPr="00450879" w14:paraId="6BD754E0" w14:textId="77777777" w:rsidTr="00516F04">
        <w:trPr>
          <w:trHeight w:val="530"/>
          <w:jc w:val="right"/>
        </w:trPr>
        <w:tc>
          <w:tcPr>
            <w:tcW w:w="5809" w:type="dxa"/>
            <w:tcBorders>
              <w:top w:val="nil"/>
              <w:left w:val="nil"/>
              <w:bottom w:val="nil"/>
              <w:right w:val="nil"/>
            </w:tcBorders>
            <w:tcMar>
              <w:top w:w="80" w:type="dxa"/>
              <w:left w:w="80" w:type="dxa"/>
              <w:bottom w:w="80" w:type="dxa"/>
              <w:right w:w="80" w:type="dxa"/>
            </w:tcMar>
          </w:tcPr>
          <w:p w14:paraId="65676BD4" w14:textId="035EC3CC" w:rsidR="00D13433" w:rsidRPr="00450879" w:rsidRDefault="00F13C26" w:rsidP="000835E1">
            <w:pPr>
              <w:pStyle w:val="Brdtext"/>
              <w:pBdr>
                <w:top w:val="none" w:sz="0" w:space="0" w:color="auto"/>
                <w:left w:val="none" w:sz="0" w:space="0" w:color="auto"/>
                <w:bottom w:val="none" w:sz="0" w:space="0" w:color="auto"/>
                <w:right w:val="none" w:sz="0" w:space="0" w:color="auto"/>
                <w:bar w:val="none" w:sz="0" w:color="auto"/>
              </w:pBdr>
              <w:tabs>
                <w:tab w:val="left" w:pos="4082"/>
              </w:tabs>
              <w:rPr>
                <w:rStyle w:val="Hyperlink0"/>
                <w:sz w:val="18"/>
                <w:lang w:val="fr-FR"/>
              </w:rPr>
            </w:pPr>
            <w:r w:rsidRPr="00450879">
              <w:rPr>
                <w:rStyle w:val="Hyperlink0"/>
                <w:sz w:val="18"/>
                <w:szCs w:val="18"/>
                <w:lang w:val="fr-FR"/>
              </w:rPr>
              <w:t xml:space="preserve">Le secrétariat révise le projet de stratégie </w:t>
            </w:r>
            <w:r w:rsidR="001A1497" w:rsidRPr="00450879">
              <w:rPr>
                <w:rStyle w:val="Hyperlink0"/>
                <w:sz w:val="18"/>
                <w:szCs w:val="18"/>
                <w:lang w:val="fr-FR"/>
              </w:rPr>
              <w:t>visant à tenir</w:t>
            </w:r>
            <w:r w:rsidR="003034F2">
              <w:rPr>
                <w:rStyle w:val="Hyperlink0"/>
                <w:sz w:val="18"/>
                <w:szCs w:val="18"/>
                <w:lang w:val="fr-FR"/>
              </w:rPr>
              <w:t xml:space="preserve"> compte </w:t>
            </w:r>
            <w:r w:rsidR="00C67C17">
              <w:rPr>
                <w:rStyle w:val="Hyperlink0"/>
                <w:sz w:val="18"/>
                <w:szCs w:val="18"/>
                <w:lang w:val="fr-FR"/>
              </w:rPr>
              <w:t>des</w:t>
            </w:r>
            <w:r w:rsidRPr="00450879">
              <w:rPr>
                <w:rStyle w:val="Hyperlink0"/>
                <w:sz w:val="18"/>
                <w:szCs w:val="18"/>
                <w:lang w:val="fr-FR"/>
              </w:rPr>
              <w:t xml:space="preserve"> rapports et autres données de surveillance à la lumière des observations et informations soumises</w:t>
            </w:r>
            <w:r w:rsidR="000835E1" w:rsidRPr="00450879">
              <w:rPr>
                <w:sz w:val="18"/>
                <w:szCs w:val="18"/>
                <w:lang w:val="fr-FR"/>
              </w:rPr>
              <w:t>.</w:t>
            </w:r>
          </w:p>
        </w:tc>
        <w:tc>
          <w:tcPr>
            <w:tcW w:w="2489" w:type="dxa"/>
            <w:tcBorders>
              <w:top w:val="nil"/>
              <w:left w:val="nil"/>
              <w:bottom w:val="nil"/>
              <w:right w:val="nil"/>
            </w:tcBorders>
            <w:tcMar>
              <w:top w:w="80" w:type="dxa"/>
              <w:left w:w="80" w:type="dxa"/>
              <w:bottom w:w="80" w:type="dxa"/>
              <w:right w:w="80" w:type="dxa"/>
            </w:tcMar>
          </w:tcPr>
          <w:p w14:paraId="4BA09DEC" w14:textId="6D9468CB" w:rsidR="00D13433" w:rsidRPr="00450879" w:rsidRDefault="00BE174C"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rStyle w:val="Hyperlink0"/>
                <w:sz w:val="18"/>
                <w:lang w:val="fr-FR"/>
              </w:rPr>
            </w:pPr>
            <w:r w:rsidRPr="00450879">
              <w:rPr>
                <w:rStyle w:val="Hyperlink0"/>
                <w:sz w:val="18"/>
                <w:lang w:val="fr-FR"/>
              </w:rPr>
              <w:t>Juin </w:t>
            </w:r>
            <w:r w:rsidR="00E96FEE" w:rsidRPr="00450879">
              <w:rPr>
                <w:rStyle w:val="Hyperlink0"/>
                <w:sz w:val="18"/>
                <w:lang w:val="fr-FR"/>
              </w:rPr>
              <w:t>2018</w:t>
            </w:r>
          </w:p>
        </w:tc>
      </w:tr>
      <w:tr w:rsidR="00D7265E" w:rsidRPr="008433FD" w14:paraId="36C91D4B" w14:textId="77777777" w:rsidTr="008908B6">
        <w:trPr>
          <w:trHeight w:val="807"/>
          <w:jc w:val="right"/>
        </w:trPr>
        <w:tc>
          <w:tcPr>
            <w:tcW w:w="5809" w:type="dxa"/>
            <w:tcBorders>
              <w:top w:val="nil"/>
              <w:left w:val="nil"/>
              <w:bottom w:val="single" w:sz="12" w:space="0" w:color="auto"/>
              <w:right w:val="nil"/>
            </w:tcBorders>
            <w:tcMar>
              <w:top w:w="80" w:type="dxa"/>
              <w:left w:w="80" w:type="dxa"/>
              <w:bottom w:w="80" w:type="dxa"/>
              <w:right w:w="80" w:type="dxa"/>
            </w:tcMar>
          </w:tcPr>
          <w:p w14:paraId="3EE01607" w14:textId="4F93C853" w:rsidR="00D7265E" w:rsidRPr="00450879" w:rsidRDefault="001A1497" w:rsidP="00AC4820">
            <w:pPr>
              <w:pStyle w:val="Brdtext"/>
              <w:pBdr>
                <w:top w:val="none" w:sz="0" w:space="0" w:color="auto"/>
                <w:left w:val="none" w:sz="0" w:space="0" w:color="auto"/>
                <w:bottom w:val="none" w:sz="0" w:space="0" w:color="auto"/>
                <w:right w:val="none" w:sz="0" w:space="0" w:color="auto"/>
                <w:bar w:val="none" w:sz="0" w:color="auto"/>
              </w:pBdr>
              <w:tabs>
                <w:tab w:val="left" w:pos="4082"/>
              </w:tabs>
              <w:rPr>
                <w:rStyle w:val="Hyperlink0"/>
                <w:color w:val="auto"/>
                <w:sz w:val="18"/>
                <w:lang w:val="fr-FR"/>
              </w:rPr>
            </w:pPr>
            <w:r w:rsidRPr="00450879">
              <w:rPr>
                <w:rStyle w:val="Hyperlink0"/>
                <w:sz w:val="18"/>
                <w:lang w:val="fr-FR"/>
              </w:rPr>
              <w:t>Le secrétariat met les résultats du groupe d’experts et le projet de</w:t>
            </w:r>
            <w:r w:rsidR="00D7265E" w:rsidRPr="00450879">
              <w:rPr>
                <w:rStyle w:val="Hyperlink0"/>
                <w:sz w:val="18"/>
                <w:lang w:val="fr-FR"/>
              </w:rPr>
              <w:t xml:space="preserve"> </w:t>
            </w:r>
            <w:r w:rsidR="009B5984" w:rsidRPr="00450879">
              <w:rPr>
                <w:rStyle w:val="Hyperlink0"/>
                <w:sz w:val="18"/>
                <w:lang w:val="fr-FR"/>
              </w:rPr>
              <w:t>str</w:t>
            </w:r>
            <w:r w:rsidR="003034F2">
              <w:rPr>
                <w:rStyle w:val="Hyperlink0"/>
                <w:sz w:val="18"/>
                <w:lang w:val="fr-FR"/>
              </w:rPr>
              <w:t xml:space="preserve">atégie visant à tenir compte </w:t>
            </w:r>
            <w:r w:rsidR="00C67C17">
              <w:rPr>
                <w:rStyle w:val="Hyperlink0"/>
                <w:sz w:val="18"/>
                <w:lang w:val="fr-FR"/>
              </w:rPr>
              <w:t>des</w:t>
            </w:r>
            <w:r w:rsidR="009B5984" w:rsidRPr="00450879">
              <w:rPr>
                <w:rStyle w:val="Hyperlink0"/>
                <w:sz w:val="18"/>
                <w:lang w:val="fr-FR"/>
              </w:rPr>
              <w:t xml:space="preserve"> rapports et autres données de surveillance à la disposition de la deuxième réunion de la Conférence des Parties afin que celle-ci les examine et formule d’autres recommandations</w:t>
            </w:r>
            <w:r w:rsidR="00E573D5" w:rsidRPr="00450879">
              <w:rPr>
                <w:rStyle w:val="Hyperlink0"/>
                <w:sz w:val="18"/>
                <w:lang w:val="fr-FR"/>
              </w:rPr>
              <w:t>.</w:t>
            </w:r>
          </w:p>
        </w:tc>
        <w:tc>
          <w:tcPr>
            <w:tcW w:w="2489" w:type="dxa"/>
            <w:tcBorders>
              <w:top w:val="nil"/>
              <w:left w:val="nil"/>
              <w:bottom w:val="single" w:sz="12" w:space="0" w:color="auto"/>
              <w:right w:val="nil"/>
            </w:tcBorders>
            <w:tcMar>
              <w:top w:w="80" w:type="dxa"/>
              <w:left w:w="80" w:type="dxa"/>
              <w:bottom w:w="80" w:type="dxa"/>
              <w:right w:w="80" w:type="dxa"/>
            </w:tcMar>
          </w:tcPr>
          <w:p w14:paraId="35B9DFBD" w14:textId="139A16FA" w:rsidR="00D7265E" w:rsidRPr="00450879" w:rsidRDefault="00BE174C" w:rsidP="00210DBF">
            <w:pPr>
              <w:pStyle w:val="Brdtext"/>
              <w:pBdr>
                <w:top w:val="none" w:sz="0" w:space="0" w:color="auto"/>
                <w:left w:val="none" w:sz="0" w:space="0" w:color="auto"/>
                <w:bottom w:val="none" w:sz="0" w:space="0" w:color="auto"/>
                <w:right w:val="none" w:sz="0" w:space="0" w:color="auto"/>
                <w:bar w:val="none" w:sz="0" w:color="auto"/>
              </w:pBdr>
              <w:tabs>
                <w:tab w:val="left" w:pos="4082"/>
              </w:tabs>
              <w:rPr>
                <w:rStyle w:val="Hyperlink0"/>
                <w:sz w:val="18"/>
                <w:lang w:val="fr-FR"/>
              </w:rPr>
            </w:pPr>
            <w:r w:rsidRPr="00450879">
              <w:rPr>
                <w:rStyle w:val="Hyperlink0"/>
                <w:sz w:val="18"/>
                <w:lang w:val="fr-FR"/>
              </w:rPr>
              <w:t>Novembre </w:t>
            </w:r>
            <w:r w:rsidR="00D7265E" w:rsidRPr="00450879">
              <w:rPr>
                <w:rStyle w:val="Hyperlink0"/>
                <w:sz w:val="18"/>
                <w:lang w:val="fr-FR"/>
              </w:rPr>
              <w:t>2018</w:t>
            </w:r>
            <w:r w:rsidR="00B52E6A" w:rsidRPr="00450879">
              <w:rPr>
                <w:rStyle w:val="Hyperlink0"/>
                <w:sz w:val="18"/>
                <w:lang w:val="fr-FR"/>
              </w:rPr>
              <w:t xml:space="preserve"> (date</w:t>
            </w:r>
            <w:r w:rsidR="00210DBF">
              <w:rPr>
                <w:rStyle w:val="Hyperlink0"/>
                <w:sz w:val="18"/>
                <w:lang w:val="fr-FR"/>
              </w:rPr>
              <w:t> </w:t>
            </w:r>
            <w:r w:rsidRPr="00450879">
              <w:rPr>
                <w:rStyle w:val="Hyperlink0"/>
                <w:sz w:val="18"/>
                <w:lang w:val="fr-FR"/>
              </w:rPr>
              <w:t xml:space="preserve">provisoire </w:t>
            </w:r>
            <w:r w:rsidR="00504F54">
              <w:rPr>
                <w:rStyle w:val="Hyperlink0"/>
                <w:sz w:val="18"/>
                <w:lang w:val="fr-FR"/>
              </w:rPr>
              <w:t xml:space="preserve">fixée </w:t>
            </w:r>
            <w:r w:rsidRPr="00450879">
              <w:rPr>
                <w:rStyle w:val="Hyperlink0"/>
                <w:sz w:val="18"/>
                <w:lang w:val="fr-FR"/>
              </w:rPr>
              <w:t>pour la deuxième réunion de la Conférence des Parties</w:t>
            </w:r>
            <w:r w:rsidR="00B52E6A" w:rsidRPr="00450879">
              <w:rPr>
                <w:rStyle w:val="Hyperlink0"/>
                <w:sz w:val="18"/>
                <w:lang w:val="fr-FR"/>
              </w:rPr>
              <w:t>)</w:t>
            </w:r>
          </w:p>
        </w:tc>
      </w:tr>
    </w:tbl>
    <w:p w14:paraId="5C759299" w14:textId="77777777" w:rsidR="00D7265E" w:rsidRPr="00450879" w:rsidRDefault="00D7265E" w:rsidP="00945EA0">
      <w:pPr>
        <w:rPr>
          <w:lang w:val="fr-FR"/>
        </w:rPr>
      </w:pPr>
    </w:p>
    <w:p w14:paraId="2585D4F2" w14:textId="1EAB9DA5" w:rsidR="00D7265E" w:rsidRPr="00450879" w:rsidRDefault="00D7265E" w:rsidP="008908B6">
      <w:pPr>
        <w:pStyle w:val="ZZAnxheader"/>
        <w:rPr>
          <w:lang w:val="fr-FR"/>
        </w:rPr>
      </w:pPr>
      <w:r w:rsidRPr="00450879">
        <w:rPr>
          <w:lang w:val="fr-FR"/>
        </w:rPr>
        <w:br w:type="page"/>
      </w:r>
      <w:r w:rsidR="00E868DE" w:rsidRPr="00450879">
        <w:rPr>
          <w:lang w:val="fr-FR"/>
        </w:rPr>
        <w:t>Annexe </w:t>
      </w:r>
      <w:r w:rsidRPr="00450879">
        <w:rPr>
          <w:lang w:val="fr-FR"/>
        </w:rPr>
        <w:t xml:space="preserve">II </w:t>
      </w:r>
    </w:p>
    <w:p w14:paraId="1A4707D5" w14:textId="108E3103" w:rsidR="00D7265E" w:rsidRPr="00450879" w:rsidRDefault="00C047A0">
      <w:pPr>
        <w:pStyle w:val="ZZAnxtitle"/>
        <w:rPr>
          <w:lang w:val="fr-FR"/>
        </w:rPr>
      </w:pPr>
      <w:r w:rsidRPr="00450879">
        <w:rPr>
          <w:lang w:val="fr-FR"/>
        </w:rPr>
        <w:t>Rapport sur la mise en place</w:t>
      </w:r>
      <w:r w:rsidR="00D7265E" w:rsidRPr="00450879">
        <w:rPr>
          <w:lang w:val="fr-FR"/>
        </w:rPr>
        <w:t xml:space="preserve"> </w:t>
      </w:r>
      <w:r w:rsidRPr="00450879">
        <w:rPr>
          <w:lang w:val="fr-FR"/>
        </w:rPr>
        <w:t>d’arrangements pour obtenir des</w:t>
      </w:r>
      <w:r w:rsidR="00210DBF">
        <w:rPr>
          <w:lang w:val="fr-FR"/>
        </w:rPr>
        <w:t> </w:t>
      </w:r>
      <w:r w:rsidRPr="00450879">
        <w:rPr>
          <w:lang w:val="fr-FR"/>
        </w:rPr>
        <w:t>données de surveillance comparables sur la présence et</w:t>
      </w:r>
      <w:r w:rsidR="00773E4C">
        <w:rPr>
          <w:lang w:val="fr-FR"/>
        </w:rPr>
        <w:t> </w:t>
      </w:r>
      <w:r w:rsidRPr="00450879">
        <w:rPr>
          <w:lang w:val="fr-FR"/>
        </w:rPr>
        <w:t>les</w:t>
      </w:r>
      <w:r w:rsidR="00210DBF">
        <w:rPr>
          <w:lang w:val="fr-FR"/>
        </w:rPr>
        <w:t> </w:t>
      </w:r>
      <w:r w:rsidRPr="00450879">
        <w:rPr>
          <w:lang w:val="fr-FR"/>
        </w:rPr>
        <w:t>mouvements de mercure et de composés du mercure dans</w:t>
      </w:r>
      <w:r w:rsidR="00773E4C">
        <w:rPr>
          <w:lang w:val="fr-FR"/>
        </w:rPr>
        <w:t> </w:t>
      </w:r>
      <w:r w:rsidRPr="00450879">
        <w:rPr>
          <w:lang w:val="fr-FR"/>
        </w:rPr>
        <w:t>l’environnement ainsi que sur les tendances des concentrations de</w:t>
      </w:r>
      <w:r w:rsidR="00210DBF">
        <w:rPr>
          <w:lang w:val="fr-FR"/>
        </w:rPr>
        <w:t> </w:t>
      </w:r>
      <w:r w:rsidRPr="00450879">
        <w:rPr>
          <w:lang w:val="fr-FR"/>
        </w:rPr>
        <w:t>mercure et de composés du mercure observées dans les milieux biotiques et chez les populations vulnérables</w:t>
      </w:r>
      <w:r w:rsidR="007667C2" w:rsidRPr="00450879">
        <w:rPr>
          <w:lang w:val="fr-FR"/>
        </w:rPr>
        <w:t xml:space="preserve"> </w:t>
      </w:r>
    </w:p>
    <w:p w14:paraId="54DE4636" w14:textId="536F9939" w:rsidR="00945EA0" w:rsidRPr="00450879" w:rsidRDefault="0056523B" w:rsidP="0056523B">
      <w:pPr>
        <w:pStyle w:val="Normalnumber"/>
        <w:numPr>
          <w:ilvl w:val="0"/>
          <w:numId w:val="39"/>
        </w:numPr>
        <w:rPr>
          <w:lang w:val="fr-FR"/>
        </w:rPr>
      </w:pPr>
      <w:r w:rsidRPr="00450879">
        <w:rPr>
          <w:lang w:val="fr-FR"/>
        </w:rPr>
        <w:t>À sa septième session, le Comité de négociation intergouvernemental chargé d’élaborer un instrument international juridiquement contraignant sur le mercure a prié le secrétariat provisoire d’établir un rapport assorti de recommandations concernant la mise en place d’arrangements pour obtenir des données de surveillance comparables sur la présence et les mouvements de mercure et de composés du mercure dans l’environnement ainsi que sur les tendances des concentrations de mercure et de composés du mercure observées dans les milieux biotiques et chez les populations vulnérables, tel que prévu au paragraphe 2 de l’article 22</w:t>
      </w:r>
      <w:r w:rsidR="0021251F">
        <w:rPr>
          <w:lang w:val="fr-FR"/>
        </w:rPr>
        <w:t xml:space="preserve"> de la Convention de Minamata sur le mercure</w:t>
      </w:r>
      <w:r w:rsidRPr="00450879">
        <w:rPr>
          <w:lang w:val="fr-FR"/>
        </w:rPr>
        <w:t>, y compris des références pour évaluer les données de base</w:t>
      </w:r>
      <w:r w:rsidR="00945EA0" w:rsidRPr="00450879">
        <w:rPr>
          <w:lang w:val="fr-FR"/>
        </w:rPr>
        <w:t>.</w:t>
      </w:r>
    </w:p>
    <w:p w14:paraId="6E386E97" w14:textId="27D20A89" w:rsidR="00945EA0" w:rsidRPr="00450879" w:rsidRDefault="00C67C17" w:rsidP="003C2335">
      <w:pPr>
        <w:pStyle w:val="Normalnumber"/>
        <w:numPr>
          <w:ilvl w:val="0"/>
          <w:numId w:val="39"/>
        </w:numPr>
        <w:rPr>
          <w:lang w:val="fr-FR"/>
        </w:rPr>
      </w:pPr>
      <w:r>
        <w:rPr>
          <w:lang w:val="fr-FR"/>
        </w:rPr>
        <w:t>Pour l’établissement du</w:t>
      </w:r>
      <w:r w:rsidR="001744E2" w:rsidRPr="00450879">
        <w:rPr>
          <w:lang w:val="fr-FR"/>
        </w:rPr>
        <w:t xml:space="preserve"> présent rapport, le secrétariat a sollicité </w:t>
      </w:r>
      <w:r w:rsidR="00324C70" w:rsidRPr="00450879">
        <w:rPr>
          <w:lang w:val="fr-FR"/>
        </w:rPr>
        <w:t xml:space="preserve">des contributions et des informations sur les données auprès de gouvernements, de programmes régionaux et </w:t>
      </w:r>
      <w:proofErr w:type="spellStart"/>
      <w:r w:rsidR="00324C70" w:rsidRPr="00450879">
        <w:rPr>
          <w:lang w:val="fr-FR"/>
        </w:rPr>
        <w:t>sous-régionaux</w:t>
      </w:r>
      <w:proofErr w:type="spellEnd"/>
      <w:r w:rsidR="00324C70" w:rsidRPr="00450879">
        <w:rPr>
          <w:lang w:val="fr-FR"/>
        </w:rPr>
        <w:t xml:space="preserve"> et d’autres sources </w:t>
      </w:r>
      <w:r>
        <w:rPr>
          <w:lang w:val="fr-FR"/>
        </w:rPr>
        <w:t>et a</w:t>
      </w:r>
      <w:r w:rsidR="00504F54">
        <w:rPr>
          <w:lang w:val="fr-FR"/>
        </w:rPr>
        <w:t xml:space="preserve"> également </w:t>
      </w:r>
      <w:r>
        <w:rPr>
          <w:lang w:val="fr-FR"/>
        </w:rPr>
        <w:t>tenu compte des</w:t>
      </w:r>
      <w:r w:rsidR="00324C70" w:rsidRPr="00450879">
        <w:rPr>
          <w:lang w:val="fr-FR"/>
        </w:rPr>
        <w:t xml:space="preserve"> informations </w:t>
      </w:r>
      <w:r w:rsidR="003C2335" w:rsidRPr="00450879">
        <w:rPr>
          <w:lang w:val="fr-FR"/>
        </w:rPr>
        <w:t>communiquées</w:t>
      </w:r>
      <w:r w:rsidR="00324C70" w:rsidRPr="00450879">
        <w:rPr>
          <w:lang w:val="fr-FR"/>
        </w:rPr>
        <w:t xml:space="preserve"> par </w:t>
      </w:r>
      <w:r w:rsidR="00504F54">
        <w:rPr>
          <w:lang w:val="fr-FR"/>
        </w:rPr>
        <w:t>l</w:t>
      </w:r>
      <w:r w:rsidR="00324C70" w:rsidRPr="00450879">
        <w:rPr>
          <w:lang w:val="fr-FR"/>
        </w:rPr>
        <w:t>es parties prenantes intéressées</w:t>
      </w:r>
      <w:r w:rsidR="003C2335" w:rsidRPr="00450879">
        <w:rPr>
          <w:lang w:val="fr-FR"/>
        </w:rPr>
        <w:t xml:space="preserve"> en réponse aux appels à soumission </w:t>
      </w:r>
      <w:r w:rsidR="0082728F">
        <w:rPr>
          <w:lang w:val="fr-FR"/>
        </w:rPr>
        <w:t>faisant</w:t>
      </w:r>
      <w:r w:rsidR="003C2335" w:rsidRPr="00450879">
        <w:rPr>
          <w:lang w:val="fr-FR"/>
        </w:rPr>
        <w:t xml:space="preserve"> suite </w:t>
      </w:r>
      <w:r w:rsidR="0082728F">
        <w:rPr>
          <w:lang w:val="fr-FR"/>
        </w:rPr>
        <w:t>aux</w:t>
      </w:r>
      <w:r w:rsidR="003C2335" w:rsidRPr="00450879">
        <w:rPr>
          <w:lang w:val="fr-FR"/>
        </w:rPr>
        <w:t xml:space="preserve"> sixième et septième sessions du</w:t>
      </w:r>
      <w:r w:rsidR="00945EA0" w:rsidRPr="00450879">
        <w:rPr>
          <w:lang w:val="fr-FR"/>
        </w:rPr>
        <w:t xml:space="preserve"> </w:t>
      </w:r>
      <w:r w:rsidR="003C2335" w:rsidRPr="00450879">
        <w:rPr>
          <w:lang w:val="fr-FR"/>
        </w:rPr>
        <w:t>Comité de négociation intergouvernemental</w:t>
      </w:r>
      <w:r w:rsidR="00945EA0" w:rsidRPr="00450879">
        <w:rPr>
          <w:lang w:val="fr-FR"/>
        </w:rPr>
        <w:t>.</w:t>
      </w:r>
      <w:r w:rsidR="003C2335" w:rsidRPr="00450879">
        <w:rPr>
          <w:lang w:val="fr-FR"/>
        </w:rPr>
        <w:t xml:space="preserve"> Le rapport traite d’un certain nombre de questions clés qui se sont posées en vue de la mise en place </w:t>
      </w:r>
      <w:r w:rsidR="00610DAE" w:rsidRPr="00450879">
        <w:rPr>
          <w:lang w:val="fr-FR"/>
        </w:rPr>
        <w:t>d’arrangements pour obtenir ces données et tendances</w:t>
      </w:r>
      <w:r w:rsidR="00945EA0" w:rsidRPr="00450879">
        <w:rPr>
          <w:lang w:val="fr-FR"/>
        </w:rPr>
        <w:t>.</w:t>
      </w:r>
      <w:r w:rsidR="00610DAE" w:rsidRPr="00450879">
        <w:rPr>
          <w:lang w:val="fr-FR"/>
        </w:rPr>
        <w:t xml:space="preserve"> Il fournit ensuite des recommandations initiales afin que la Conférence des Parties les examine</w:t>
      </w:r>
      <w:r w:rsidR="00945EA0" w:rsidRPr="00450879">
        <w:rPr>
          <w:lang w:val="fr-FR"/>
        </w:rPr>
        <w:t xml:space="preserve">. </w:t>
      </w:r>
    </w:p>
    <w:p w14:paraId="05F7830E" w14:textId="4103C8F8" w:rsidR="00945EA0" w:rsidRPr="00450879" w:rsidRDefault="00610DAE" w:rsidP="001C5F3B">
      <w:pPr>
        <w:pStyle w:val="Normalnumber"/>
        <w:numPr>
          <w:ilvl w:val="0"/>
          <w:numId w:val="39"/>
        </w:numPr>
        <w:rPr>
          <w:lang w:val="fr-FR"/>
        </w:rPr>
      </w:pPr>
      <w:r w:rsidRPr="00450879">
        <w:rPr>
          <w:lang w:val="fr-FR"/>
        </w:rPr>
        <w:t>L’analyse du paragraphe 2 de l’article 22 fait ressortir un certain nombre de questions devant être examinées par la Conférence des Parties</w:t>
      </w:r>
      <w:r w:rsidR="000224A3" w:rsidRPr="00450879">
        <w:rPr>
          <w:lang w:val="fr-FR"/>
        </w:rPr>
        <w:t>, qui</w:t>
      </w:r>
      <w:r w:rsidRPr="00450879">
        <w:rPr>
          <w:lang w:val="fr-FR"/>
        </w:rPr>
        <w:t xml:space="preserve"> sont exposées ci-après</w:t>
      </w:r>
      <w:r w:rsidR="00945EA0" w:rsidRPr="00450879">
        <w:rPr>
          <w:lang w:val="fr-FR"/>
        </w:rPr>
        <w:t xml:space="preserve">. </w:t>
      </w:r>
    </w:p>
    <w:p w14:paraId="036B6EA8" w14:textId="264D73ED" w:rsidR="00945EA0" w:rsidRPr="00450879" w:rsidRDefault="008908B6" w:rsidP="00236C0F">
      <w:pPr>
        <w:pStyle w:val="CH2"/>
        <w:rPr>
          <w:lang w:val="fr-FR"/>
        </w:rPr>
      </w:pPr>
      <w:r w:rsidRPr="00450879">
        <w:rPr>
          <w:lang w:val="fr-FR"/>
        </w:rPr>
        <w:tab/>
        <w:t>A.</w:t>
      </w:r>
      <w:r w:rsidRPr="00450879">
        <w:rPr>
          <w:lang w:val="fr-FR"/>
        </w:rPr>
        <w:tab/>
      </w:r>
      <w:r w:rsidR="00A47578" w:rsidRPr="00450879">
        <w:rPr>
          <w:lang w:val="fr-FR"/>
        </w:rPr>
        <w:t>Mise en place d’</w:t>
      </w:r>
      <w:r w:rsidR="00945EA0" w:rsidRPr="00450879">
        <w:rPr>
          <w:lang w:val="fr-FR"/>
        </w:rPr>
        <w:t xml:space="preserve">arrangements </w:t>
      </w:r>
      <w:r w:rsidR="00A47578" w:rsidRPr="00450879">
        <w:rPr>
          <w:lang w:val="fr-FR"/>
        </w:rPr>
        <w:t>pour obtenir des données de surveillance comparables</w:t>
      </w:r>
    </w:p>
    <w:p w14:paraId="4B80C9D8" w14:textId="0914DBC9" w:rsidR="00945EA0" w:rsidRPr="00450879" w:rsidRDefault="008908B6" w:rsidP="008908B6">
      <w:pPr>
        <w:pStyle w:val="CH3"/>
        <w:rPr>
          <w:lang w:val="fr-FR"/>
        </w:rPr>
      </w:pPr>
      <w:r w:rsidRPr="00450879">
        <w:rPr>
          <w:lang w:val="fr-FR"/>
        </w:rPr>
        <w:tab/>
        <w:t>1.</w:t>
      </w:r>
      <w:r w:rsidRPr="00450879">
        <w:rPr>
          <w:lang w:val="fr-FR"/>
        </w:rPr>
        <w:tab/>
      </w:r>
      <w:r w:rsidR="00945EA0" w:rsidRPr="00450879">
        <w:rPr>
          <w:lang w:val="fr-FR"/>
        </w:rPr>
        <w:t>Comparabilit</w:t>
      </w:r>
      <w:r w:rsidR="00A47578" w:rsidRPr="00450879">
        <w:rPr>
          <w:lang w:val="fr-FR"/>
        </w:rPr>
        <w:t>é</w:t>
      </w:r>
    </w:p>
    <w:p w14:paraId="26CC40C2" w14:textId="7CFE88A4" w:rsidR="00945EA0" w:rsidRPr="00450879" w:rsidRDefault="00A47578" w:rsidP="00236C0F">
      <w:pPr>
        <w:pStyle w:val="Normalnumber"/>
        <w:numPr>
          <w:ilvl w:val="0"/>
          <w:numId w:val="39"/>
        </w:numPr>
        <w:rPr>
          <w:lang w:val="fr-FR"/>
        </w:rPr>
      </w:pPr>
      <w:r w:rsidRPr="00450879">
        <w:rPr>
          <w:lang w:val="fr-FR"/>
        </w:rPr>
        <w:t>Sur la base de</w:t>
      </w:r>
      <w:r w:rsidR="00945EA0" w:rsidRPr="00450879">
        <w:rPr>
          <w:lang w:val="fr-FR"/>
        </w:rPr>
        <w:t xml:space="preserve"> consultations, </w:t>
      </w:r>
      <w:r w:rsidRPr="00450879">
        <w:rPr>
          <w:lang w:val="fr-FR"/>
        </w:rPr>
        <w:t xml:space="preserve">en particulier avec des organisations régionales ayant une expérience dans l’analyse de données provenant de nombreuses sources, il semble possible de déterminer la comparabilité de données </w:t>
      </w:r>
      <w:r w:rsidR="00BE6758" w:rsidRPr="00450879">
        <w:rPr>
          <w:lang w:val="fr-FR"/>
        </w:rPr>
        <w:t>qui proviennent</w:t>
      </w:r>
      <w:r w:rsidR="000C5CF3" w:rsidRPr="00450879">
        <w:rPr>
          <w:lang w:val="fr-FR"/>
        </w:rPr>
        <w:t xml:space="preserve"> du</w:t>
      </w:r>
      <w:r w:rsidRPr="00450879">
        <w:rPr>
          <w:lang w:val="fr-FR"/>
        </w:rPr>
        <w:t xml:space="preserve"> même milieu</w:t>
      </w:r>
      <w:r w:rsidR="00BE6758" w:rsidRPr="00450879">
        <w:rPr>
          <w:lang w:val="fr-FR"/>
        </w:rPr>
        <w:t xml:space="preserve"> et sont</w:t>
      </w:r>
      <w:r w:rsidRPr="00450879">
        <w:rPr>
          <w:lang w:val="fr-FR"/>
        </w:rPr>
        <w:t xml:space="preserve"> </w:t>
      </w:r>
      <w:r w:rsidR="000C5CF3" w:rsidRPr="00450879">
        <w:rPr>
          <w:lang w:val="fr-FR"/>
        </w:rPr>
        <w:t>obtenues par des méthodes d’échantillonnage ou d’analyse différentes, à condition que des facteurs pertinents soient pris en compte</w:t>
      </w:r>
      <w:r w:rsidR="00945EA0" w:rsidRPr="00450879">
        <w:rPr>
          <w:lang w:val="fr-FR"/>
        </w:rPr>
        <w:t xml:space="preserve">.  </w:t>
      </w:r>
    </w:p>
    <w:p w14:paraId="04DD0B6D" w14:textId="1F56930E" w:rsidR="00945EA0" w:rsidRPr="00450879" w:rsidRDefault="00EE58CD" w:rsidP="00C10336">
      <w:pPr>
        <w:pStyle w:val="Normalnumber"/>
        <w:numPr>
          <w:ilvl w:val="0"/>
          <w:numId w:val="39"/>
        </w:numPr>
        <w:rPr>
          <w:lang w:val="fr-FR"/>
        </w:rPr>
      </w:pPr>
      <w:r w:rsidRPr="00450879">
        <w:rPr>
          <w:lang w:val="fr-FR"/>
        </w:rPr>
        <w:t>Un certain nombre de question</w:t>
      </w:r>
      <w:r w:rsidR="00691C5B">
        <w:rPr>
          <w:lang w:val="fr-FR"/>
        </w:rPr>
        <w:t>s</w:t>
      </w:r>
      <w:r w:rsidRPr="00450879">
        <w:rPr>
          <w:lang w:val="fr-FR"/>
        </w:rPr>
        <w:t xml:space="preserve"> techniques doivent être examinées</w:t>
      </w:r>
      <w:r w:rsidR="00945EA0" w:rsidRPr="00450879">
        <w:rPr>
          <w:lang w:val="fr-FR"/>
        </w:rPr>
        <w:t>.</w:t>
      </w:r>
      <w:r w:rsidR="00BE6758" w:rsidRPr="00450879">
        <w:rPr>
          <w:lang w:val="fr-FR"/>
        </w:rPr>
        <w:t xml:space="preserve"> Parmi les questions importantes figurent la méthode d’échantillonnage, la méthode d’analyse et le traitement des données</w:t>
      </w:r>
      <w:r w:rsidR="00945EA0" w:rsidRPr="00450879">
        <w:rPr>
          <w:lang w:val="fr-FR"/>
        </w:rPr>
        <w:t xml:space="preserve">. </w:t>
      </w:r>
      <w:r w:rsidR="00BE6758" w:rsidRPr="00450879">
        <w:rPr>
          <w:lang w:val="fr-FR"/>
        </w:rPr>
        <w:t>Des méthodes normalisées ont été élaborées afin d’évaluer les concentrations de mercure dans un grand nombre de milieux différents,</w:t>
      </w:r>
      <w:r w:rsidR="00B153FE" w:rsidRPr="00450879">
        <w:rPr>
          <w:lang w:val="fr-FR"/>
        </w:rPr>
        <w:t xml:space="preserve"> en s’assurant de la cohérence et de la comparabilité des résultats par l’utilisation de la même méthode</w:t>
      </w:r>
      <w:r w:rsidR="00945EA0" w:rsidRPr="00450879">
        <w:rPr>
          <w:lang w:val="fr-FR"/>
        </w:rPr>
        <w:t>.</w:t>
      </w:r>
      <w:r w:rsidR="00B153FE" w:rsidRPr="00450879">
        <w:rPr>
          <w:lang w:val="fr-FR"/>
        </w:rPr>
        <w:t xml:space="preserve"> Dans certains cas, des résultats obtenus par des méthodes différentes peuvent être comparés en </w:t>
      </w:r>
      <w:r w:rsidR="006C0543" w:rsidRPr="00450879">
        <w:rPr>
          <w:lang w:val="fr-FR"/>
        </w:rPr>
        <w:t>se renseignant sur</w:t>
      </w:r>
      <w:r w:rsidR="00B153FE" w:rsidRPr="00450879">
        <w:rPr>
          <w:lang w:val="fr-FR"/>
        </w:rPr>
        <w:t xml:space="preserve"> les méthodes</w:t>
      </w:r>
      <w:r w:rsidR="006C0543" w:rsidRPr="00450879">
        <w:rPr>
          <w:lang w:val="fr-FR"/>
        </w:rPr>
        <w:t xml:space="preserve"> utilisées</w:t>
      </w:r>
      <w:r w:rsidR="00B153FE" w:rsidRPr="00450879">
        <w:rPr>
          <w:lang w:val="fr-FR"/>
        </w:rPr>
        <w:t xml:space="preserve"> et en les</w:t>
      </w:r>
      <w:r w:rsidR="006C0543" w:rsidRPr="00450879">
        <w:rPr>
          <w:lang w:val="fr-FR"/>
        </w:rPr>
        <w:t xml:space="preserve"> évaluant </w:t>
      </w:r>
      <w:r w:rsidR="00691C5B">
        <w:rPr>
          <w:lang w:val="fr-FR"/>
        </w:rPr>
        <w:t>au regard de</w:t>
      </w:r>
      <w:r w:rsidR="00B153FE" w:rsidRPr="00450879">
        <w:rPr>
          <w:lang w:val="fr-FR"/>
        </w:rPr>
        <w:t xml:space="preserve"> procédures</w:t>
      </w:r>
      <w:r w:rsidR="006C0543" w:rsidRPr="00450879">
        <w:rPr>
          <w:lang w:val="fr-FR"/>
        </w:rPr>
        <w:t xml:space="preserve"> de test normalisées</w:t>
      </w:r>
      <w:r w:rsidR="00945EA0" w:rsidRPr="00450879">
        <w:rPr>
          <w:lang w:val="fr-FR"/>
        </w:rPr>
        <w:t xml:space="preserve">. </w:t>
      </w:r>
      <w:r w:rsidR="006C0543" w:rsidRPr="00450879">
        <w:rPr>
          <w:lang w:val="fr-FR"/>
        </w:rPr>
        <w:t>En outre</w:t>
      </w:r>
      <w:r w:rsidR="00945EA0" w:rsidRPr="00450879">
        <w:rPr>
          <w:lang w:val="fr-FR"/>
        </w:rPr>
        <w:t>,</w:t>
      </w:r>
      <w:r w:rsidR="00C67C17">
        <w:rPr>
          <w:lang w:val="fr-FR"/>
        </w:rPr>
        <w:t xml:space="preserve"> au fur et à mesure que</w:t>
      </w:r>
      <w:r w:rsidR="006C0543" w:rsidRPr="00450879">
        <w:rPr>
          <w:lang w:val="fr-FR"/>
        </w:rPr>
        <w:t xml:space="preserve"> des techniques d’évaluation nouvelles et améliorées </w:t>
      </w:r>
      <w:r w:rsidR="00C67C17">
        <w:rPr>
          <w:lang w:val="fr-FR"/>
        </w:rPr>
        <w:t>sont</w:t>
      </w:r>
      <w:r w:rsidR="00945EA0" w:rsidRPr="00450879">
        <w:rPr>
          <w:lang w:val="fr-FR"/>
        </w:rPr>
        <w:t xml:space="preserve"> </w:t>
      </w:r>
      <w:r w:rsidR="006C0543" w:rsidRPr="00450879">
        <w:rPr>
          <w:lang w:val="fr-FR"/>
        </w:rPr>
        <w:t>mises au point, des informations concernant la manière dont il convient de comparer ces résultats avec ceux obtenus par d’autres méthodes</w:t>
      </w:r>
      <w:r w:rsidR="00C53432" w:rsidRPr="00450879">
        <w:rPr>
          <w:lang w:val="fr-FR"/>
        </w:rPr>
        <w:t xml:space="preserve"> doivent être produites et mises à disposition</w:t>
      </w:r>
      <w:r w:rsidR="00945EA0" w:rsidRPr="00450879">
        <w:rPr>
          <w:lang w:val="fr-FR"/>
        </w:rPr>
        <w:t>.</w:t>
      </w:r>
      <w:r w:rsidR="00C53432" w:rsidRPr="00450879">
        <w:rPr>
          <w:lang w:val="fr-FR"/>
        </w:rPr>
        <w:t xml:space="preserve"> Ce</w:t>
      </w:r>
      <w:r w:rsidR="00C67C17">
        <w:rPr>
          <w:lang w:val="fr-FR"/>
        </w:rPr>
        <w:t>tte</w:t>
      </w:r>
      <w:r w:rsidR="00C53432" w:rsidRPr="00450879">
        <w:rPr>
          <w:lang w:val="fr-FR"/>
        </w:rPr>
        <w:t xml:space="preserve"> </w:t>
      </w:r>
      <w:r w:rsidR="00C67C17">
        <w:rPr>
          <w:lang w:val="fr-FR"/>
        </w:rPr>
        <w:t>question</w:t>
      </w:r>
      <w:r w:rsidR="00C53432" w:rsidRPr="00450879">
        <w:rPr>
          <w:lang w:val="fr-FR"/>
        </w:rPr>
        <w:t xml:space="preserve"> devrait être examiné</w:t>
      </w:r>
      <w:r w:rsidR="00C67C17">
        <w:rPr>
          <w:lang w:val="fr-FR"/>
        </w:rPr>
        <w:t>e</w:t>
      </w:r>
      <w:r w:rsidR="00C53432" w:rsidRPr="00450879">
        <w:rPr>
          <w:lang w:val="fr-FR"/>
        </w:rPr>
        <w:t xml:space="preserve"> </w:t>
      </w:r>
      <w:r w:rsidR="00C67C17">
        <w:rPr>
          <w:lang w:val="fr-FR"/>
        </w:rPr>
        <w:t>pendant la mise au point</w:t>
      </w:r>
      <w:r w:rsidR="00C53432" w:rsidRPr="00450879">
        <w:rPr>
          <w:lang w:val="fr-FR"/>
        </w:rPr>
        <w:t xml:space="preserve"> de telles techniques</w:t>
      </w:r>
      <w:r w:rsidR="00945EA0" w:rsidRPr="00450879">
        <w:rPr>
          <w:lang w:val="fr-FR"/>
        </w:rPr>
        <w:t xml:space="preserve">. </w:t>
      </w:r>
      <w:r w:rsidR="00C53432" w:rsidRPr="00450879">
        <w:rPr>
          <w:lang w:val="fr-FR"/>
        </w:rPr>
        <w:t>Il est important de reconnaître que certaines technologies actuelles ne seront pas</w:t>
      </w:r>
      <w:r w:rsidR="00945EA0" w:rsidRPr="00450879">
        <w:rPr>
          <w:lang w:val="fr-FR"/>
        </w:rPr>
        <w:t xml:space="preserve"> </w:t>
      </w:r>
      <w:r w:rsidR="00C53432" w:rsidRPr="00450879">
        <w:rPr>
          <w:lang w:val="fr-FR"/>
        </w:rPr>
        <w:t>immédiatement disponibles dans toutes les régions</w:t>
      </w:r>
      <w:r w:rsidR="00945EA0" w:rsidRPr="00450879">
        <w:rPr>
          <w:lang w:val="fr-FR"/>
        </w:rPr>
        <w:t>.</w:t>
      </w:r>
      <w:r w:rsidR="00C53432" w:rsidRPr="00450879">
        <w:rPr>
          <w:lang w:val="fr-FR"/>
        </w:rPr>
        <w:t xml:space="preserve"> Il est également important </w:t>
      </w:r>
      <w:r w:rsidR="00BA747F" w:rsidRPr="00450879">
        <w:rPr>
          <w:lang w:val="fr-FR"/>
        </w:rPr>
        <w:t>de réaliser une évaluation globale de l’efficacité de la Convention de Minamata sur le mercure, incluant des données de toutes les régions</w:t>
      </w:r>
      <w:r w:rsidR="00945EA0" w:rsidRPr="00450879">
        <w:rPr>
          <w:lang w:val="fr-FR"/>
        </w:rPr>
        <w:t>.</w:t>
      </w:r>
      <w:r w:rsidR="00C10336" w:rsidRPr="00450879">
        <w:rPr>
          <w:lang w:val="fr-FR"/>
        </w:rPr>
        <w:t xml:space="preserve"> Des données quantitatives et représentatives</w:t>
      </w:r>
      <w:r w:rsidR="00945EA0" w:rsidRPr="00450879">
        <w:rPr>
          <w:lang w:val="fr-FR"/>
        </w:rPr>
        <w:t xml:space="preserve"> </w:t>
      </w:r>
      <w:r w:rsidR="00C10336" w:rsidRPr="00450879">
        <w:rPr>
          <w:lang w:val="fr-FR"/>
        </w:rPr>
        <w:t>ayant fait l’objet de procédures d’assurance et de contrôle de la qualité sont nécessaires</w:t>
      </w:r>
      <w:r w:rsidR="00945EA0" w:rsidRPr="00450879">
        <w:rPr>
          <w:lang w:val="fr-FR"/>
        </w:rPr>
        <w:t xml:space="preserve">. </w:t>
      </w:r>
    </w:p>
    <w:p w14:paraId="2F0C09DF" w14:textId="6620ADC5" w:rsidR="00945EA0" w:rsidRPr="00450879" w:rsidRDefault="00601057" w:rsidP="00716D50">
      <w:pPr>
        <w:pStyle w:val="Normalnumber"/>
        <w:numPr>
          <w:ilvl w:val="0"/>
          <w:numId w:val="39"/>
        </w:numPr>
        <w:rPr>
          <w:lang w:val="fr-FR"/>
        </w:rPr>
      </w:pPr>
      <w:r w:rsidRPr="00450879">
        <w:rPr>
          <w:lang w:val="fr-FR"/>
        </w:rPr>
        <w:t>La comparabilité de</w:t>
      </w:r>
      <w:r w:rsidR="00C10336" w:rsidRPr="00450879">
        <w:rPr>
          <w:lang w:val="fr-FR"/>
        </w:rPr>
        <w:t xml:space="preserve"> données provenant de différents milieux peut également être influencée par </w:t>
      </w:r>
      <w:r w:rsidRPr="00450879">
        <w:rPr>
          <w:lang w:val="fr-FR"/>
        </w:rPr>
        <w:t>la raison pour laquelle les</w:t>
      </w:r>
      <w:r w:rsidR="00C10336" w:rsidRPr="00450879">
        <w:rPr>
          <w:lang w:val="fr-FR"/>
        </w:rPr>
        <w:t xml:space="preserve"> activités d’échantillonnage</w:t>
      </w:r>
      <w:r w:rsidRPr="00450879">
        <w:rPr>
          <w:lang w:val="fr-FR"/>
        </w:rPr>
        <w:t xml:space="preserve"> sont menées</w:t>
      </w:r>
      <w:r w:rsidR="00945EA0" w:rsidRPr="00450879">
        <w:rPr>
          <w:lang w:val="fr-FR"/>
        </w:rPr>
        <w:t xml:space="preserve">. </w:t>
      </w:r>
      <w:r w:rsidRPr="00450879">
        <w:rPr>
          <w:lang w:val="fr-FR"/>
        </w:rPr>
        <w:t>L’objectif de l’échantillonnage et de l’analyse peut orienter le choix des sites ou de la méthode</w:t>
      </w:r>
      <w:r w:rsidR="00716D50" w:rsidRPr="00703511">
        <w:rPr>
          <w:lang w:val="fr-FR"/>
        </w:rPr>
        <w:t xml:space="preserve"> </w:t>
      </w:r>
      <w:r w:rsidR="00716D50" w:rsidRPr="00716D50">
        <w:rPr>
          <w:lang w:val="fr-FR"/>
        </w:rPr>
        <w:t>d’échantillonnage</w:t>
      </w:r>
      <w:r w:rsidR="00945EA0" w:rsidRPr="00450879">
        <w:rPr>
          <w:lang w:val="fr-FR"/>
        </w:rPr>
        <w:t>.</w:t>
      </w:r>
      <w:r w:rsidRPr="00450879">
        <w:rPr>
          <w:lang w:val="fr-FR"/>
        </w:rPr>
        <w:t xml:space="preserve"> Par exemple, dans </w:t>
      </w:r>
      <w:r w:rsidR="001D3E5C" w:rsidRPr="00450879">
        <w:rPr>
          <w:lang w:val="fr-FR"/>
        </w:rPr>
        <w:t>le</w:t>
      </w:r>
      <w:r w:rsidRPr="00450879">
        <w:rPr>
          <w:lang w:val="fr-FR"/>
        </w:rPr>
        <w:t xml:space="preserve"> choix des sites de surveillance et des milieux, les décideurs nationaux peuvent s’attacher à déterminer des zones préoccupantes, notamment des sites</w:t>
      </w:r>
      <w:r w:rsidR="00666595" w:rsidRPr="00450879">
        <w:rPr>
          <w:lang w:val="fr-FR"/>
        </w:rPr>
        <w:t xml:space="preserve"> présentant des sources locales de pollution</w:t>
      </w:r>
      <w:r w:rsidR="005606F6" w:rsidRPr="00450879">
        <w:rPr>
          <w:lang w:val="fr-FR"/>
        </w:rPr>
        <w:t>, ou porter leur attention sur les concentrations de fond de mercure</w:t>
      </w:r>
      <w:r w:rsidRPr="00450879">
        <w:rPr>
          <w:lang w:val="fr-FR"/>
        </w:rPr>
        <w:t xml:space="preserve"> </w:t>
      </w:r>
      <w:r w:rsidR="005606F6" w:rsidRPr="00450879">
        <w:rPr>
          <w:lang w:val="fr-FR"/>
        </w:rPr>
        <w:t xml:space="preserve">auxquelles la population peut </w:t>
      </w:r>
      <w:r w:rsidR="001D3E5C" w:rsidRPr="00450879">
        <w:rPr>
          <w:lang w:val="fr-FR"/>
        </w:rPr>
        <w:t>être exposée</w:t>
      </w:r>
      <w:r w:rsidR="00945EA0" w:rsidRPr="00450879">
        <w:rPr>
          <w:lang w:val="fr-FR"/>
        </w:rPr>
        <w:t xml:space="preserve">. </w:t>
      </w:r>
      <w:r w:rsidR="001D3E5C" w:rsidRPr="00450879">
        <w:rPr>
          <w:lang w:val="fr-FR"/>
        </w:rPr>
        <w:t>Si les deux programmes de surveillance peuvent fournir des informations utiles pour aider les décideurs nationaux à prendre des décisions éclairées, l’objectif de la collecte des données peut avoir un effet sur ces dernières, qui devrait être pris en compte lors de leur inclusion à des fins d’évaluation</w:t>
      </w:r>
      <w:r w:rsidR="009627CF" w:rsidRPr="00450879">
        <w:rPr>
          <w:lang w:val="fr-FR"/>
        </w:rPr>
        <w:t>.</w:t>
      </w:r>
      <w:r w:rsidR="00945EA0" w:rsidRPr="00450879">
        <w:rPr>
          <w:lang w:val="fr-FR"/>
        </w:rPr>
        <w:t xml:space="preserve"> </w:t>
      </w:r>
      <w:r w:rsidR="001D3E5C" w:rsidRPr="00450879">
        <w:rPr>
          <w:lang w:val="fr-FR"/>
        </w:rPr>
        <w:t xml:space="preserve">Des données de surveillance supplémentaires </w:t>
      </w:r>
      <w:r w:rsidR="00BC0EBF" w:rsidRPr="00450879">
        <w:rPr>
          <w:lang w:val="fr-FR"/>
        </w:rPr>
        <w:t>correspondant aux</w:t>
      </w:r>
      <w:r w:rsidR="001D3E5C" w:rsidRPr="00450879">
        <w:rPr>
          <w:lang w:val="fr-FR"/>
        </w:rPr>
        <w:t xml:space="preserve"> objectifs</w:t>
      </w:r>
      <w:r w:rsidR="00BC0EBF" w:rsidRPr="00450879">
        <w:rPr>
          <w:lang w:val="fr-FR"/>
        </w:rPr>
        <w:t xml:space="preserve"> du processus d’évaluation de l’efficacité peuvent être nécessaires et des sites de surveillance additionnels et/ou des changements au niveau de la localisation des sites de surveillance actuels dans certaines régions peuvent être envisagés dans le cadre de ce processus</w:t>
      </w:r>
      <w:r w:rsidR="00945EA0" w:rsidRPr="00450879">
        <w:rPr>
          <w:lang w:val="fr-FR"/>
        </w:rPr>
        <w:t>.</w:t>
      </w:r>
    </w:p>
    <w:p w14:paraId="7BE38F78" w14:textId="74A691B3" w:rsidR="00945EA0" w:rsidRPr="00450879" w:rsidRDefault="00BC0EBF" w:rsidP="00132739">
      <w:pPr>
        <w:pStyle w:val="Normalnumber"/>
        <w:numPr>
          <w:ilvl w:val="0"/>
          <w:numId w:val="39"/>
        </w:numPr>
        <w:rPr>
          <w:lang w:val="fr-FR"/>
        </w:rPr>
      </w:pPr>
      <w:r w:rsidRPr="00450879">
        <w:rPr>
          <w:lang w:val="fr-FR"/>
        </w:rPr>
        <w:t xml:space="preserve">D’autres facteurs </w:t>
      </w:r>
      <w:r w:rsidR="00DE6F4F">
        <w:rPr>
          <w:lang w:val="fr-FR"/>
        </w:rPr>
        <w:t xml:space="preserve">qui </w:t>
      </w:r>
      <w:r w:rsidRPr="00450879">
        <w:rPr>
          <w:lang w:val="fr-FR"/>
        </w:rPr>
        <w:t>influen</w:t>
      </w:r>
      <w:r w:rsidR="00504F54">
        <w:rPr>
          <w:lang w:val="fr-FR"/>
        </w:rPr>
        <w:t>t</w:t>
      </w:r>
      <w:r w:rsidRPr="00450879">
        <w:rPr>
          <w:lang w:val="fr-FR"/>
        </w:rPr>
        <w:t xml:space="preserve"> sur les concentrations </w:t>
      </w:r>
      <w:r w:rsidR="00FA30AC" w:rsidRPr="00450879">
        <w:rPr>
          <w:lang w:val="fr-FR"/>
        </w:rPr>
        <w:t xml:space="preserve">locales </w:t>
      </w:r>
      <w:r w:rsidRPr="00450879">
        <w:rPr>
          <w:lang w:val="fr-FR"/>
        </w:rPr>
        <w:t>de mercure, comme les régimes météorologiques, les conditions climatiques et les cycles saisonniers, devrai</w:t>
      </w:r>
      <w:r w:rsidR="00FA30AC" w:rsidRPr="00450879">
        <w:rPr>
          <w:lang w:val="fr-FR"/>
        </w:rPr>
        <w:t>en</w:t>
      </w:r>
      <w:r w:rsidRPr="00450879">
        <w:rPr>
          <w:lang w:val="fr-FR"/>
        </w:rPr>
        <w:t>t également être</w:t>
      </w:r>
      <w:r w:rsidR="00FA30AC" w:rsidRPr="00450879">
        <w:rPr>
          <w:lang w:val="fr-FR"/>
        </w:rPr>
        <w:t xml:space="preserve"> enregistrés et incorporés aux données notifiées afin de permettre la prise en compte de ces facteurs </w:t>
      </w:r>
      <w:r w:rsidR="00C67C17">
        <w:rPr>
          <w:lang w:val="fr-FR"/>
        </w:rPr>
        <w:t>lors de</w:t>
      </w:r>
      <w:r w:rsidR="00FA30AC" w:rsidRPr="00450879">
        <w:rPr>
          <w:lang w:val="fr-FR"/>
        </w:rPr>
        <w:t xml:space="preserve"> l’interprétation des données</w:t>
      </w:r>
      <w:r w:rsidR="00945EA0" w:rsidRPr="00450879">
        <w:rPr>
          <w:lang w:val="fr-FR"/>
        </w:rPr>
        <w:t>.</w:t>
      </w:r>
    </w:p>
    <w:p w14:paraId="6403D82A" w14:textId="5E2D4947" w:rsidR="00945EA0" w:rsidRPr="00450879" w:rsidRDefault="00777DA3" w:rsidP="00ED2C54">
      <w:pPr>
        <w:pStyle w:val="Normalnumber"/>
        <w:numPr>
          <w:ilvl w:val="0"/>
          <w:numId w:val="39"/>
        </w:numPr>
        <w:rPr>
          <w:lang w:val="fr-FR"/>
        </w:rPr>
      </w:pPr>
      <w:r w:rsidRPr="00450879">
        <w:rPr>
          <w:lang w:val="fr-FR"/>
        </w:rPr>
        <w:t xml:space="preserve">Il conviendrait de prendre en compte les facteurs susmentionnés </w:t>
      </w:r>
      <w:r w:rsidR="00ED2C54" w:rsidRPr="00450879">
        <w:rPr>
          <w:lang w:val="fr-FR"/>
        </w:rPr>
        <w:t>dans l’examen des tendances des concentrations de mercure et de composés du mercure observées dans les milieux biotiques et chez les populations vulnérables</w:t>
      </w:r>
      <w:r w:rsidR="00945EA0" w:rsidRPr="00450879">
        <w:rPr>
          <w:lang w:val="fr-FR"/>
        </w:rPr>
        <w:t>.</w:t>
      </w:r>
      <w:r w:rsidR="00ED2C54" w:rsidRPr="00450879">
        <w:rPr>
          <w:lang w:val="fr-FR"/>
        </w:rPr>
        <w:t xml:space="preserve"> Des questions spatiales et temporelles devraient également être prises en compte</w:t>
      </w:r>
      <w:r w:rsidR="00945EA0" w:rsidRPr="00450879">
        <w:rPr>
          <w:lang w:val="fr-FR"/>
        </w:rPr>
        <w:t xml:space="preserve">. </w:t>
      </w:r>
      <w:r w:rsidR="00ED2C54" w:rsidRPr="00450879">
        <w:rPr>
          <w:lang w:val="fr-FR"/>
        </w:rPr>
        <w:t>D’anciennes données peuvent éventuellement compléter les informations sur les tendances temporelles si les critères d’acceptabilité sont remplis et si suffisamment d’informations sont d</w:t>
      </w:r>
      <w:r w:rsidR="00EC1E57" w:rsidRPr="00450879">
        <w:rPr>
          <w:lang w:val="fr-FR"/>
        </w:rPr>
        <w:t>isponibles pour déterminer leur</w:t>
      </w:r>
      <w:r w:rsidR="00ED2C54" w:rsidRPr="00450879">
        <w:rPr>
          <w:lang w:val="fr-FR"/>
        </w:rPr>
        <w:t xml:space="preserve"> comparabilité avec </w:t>
      </w:r>
      <w:r w:rsidR="00EC1E57" w:rsidRPr="00450879">
        <w:rPr>
          <w:lang w:val="fr-FR"/>
        </w:rPr>
        <w:t>des données plus récentes</w:t>
      </w:r>
      <w:r w:rsidR="00945EA0" w:rsidRPr="00450879">
        <w:rPr>
          <w:lang w:val="fr-FR"/>
        </w:rPr>
        <w:t>.</w:t>
      </w:r>
      <w:r w:rsidR="00716D50">
        <w:rPr>
          <w:lang w:val="fr-FR"/>
        </w:rPr>
        <w:t xml:space="preserve"> La comparaison de</w:t>
      </w:r>
      <w:r w:rsidR="00EC1E57" w:rsidRPr="00450879">
        <w:rPr>
          <w:lang w:val="fr-FR"/>
        </w:rPr>
        <w:t xml:space="preserve"> données temporelles peut être facilitée par l’utilisation de la même méthode au fil du temps</w:t>
      </w:r>
      <w:r w:rsidR="00945EA0" w:rsidRPr="00450879">
        <w:rPr>
          <w:lang w:val="fr-FR"/>
        </w:rPr>
        <w:t>.</w:t>
      </w:r>
      <w:r w:rsidR="00EC1E57" w:rsidRPr="00450879">
        <w:rPr>
          <w:lang w:val="fr-FR"/>
        </w:rPr>
        <w:t xml:space="preserve"> Une attention particulière devrait être accordée aux méthodes de modélisation</w:t>
      </w:r>
      <w:r w:rsidR="00945EA0" w:rsidRPr="00450879">
        <w:rPr>
          <w:lang w:val="fr-FR"/>
        </w:rPr>
        <w:t>.</w:t>
      </w:r>
      <w:r w:rsidR="00EC1E57" w:rsidRPr="00450879">
        <w:rPr>
          <w:lang w:val="fr-FR"/>
        </w:rPr>
        <w:t xml:space="preserve"> La modélisation est importante non seulement pour combler les lacunes en matière de données de surveillance mais également pour établir un lien entre les données des différents milieux</w:t>
      </w:r>
      <w:r w:rsidR="00945EA0" w:rsidRPr="00450879">
        <w:rPr>
          <w:lang w:val="fr-FR"/>
        </w:rPr>
        <w:t>.</w:t>
      </w:r>
      <w:r w:rsidR="00EC1E57" w:rsidRPr="00450879">
        <w:rPr>
          <w:lang w:val="fr-FR"/>
        </w:rPr>
        <w:t xml:space="preserve"> La détermination d’espèces indicatrices clés peut être nécessaire pour veiller à ce que suffisamment d’informations comparables et pertinentes puissent être obtenues</w:t>
      </w:r>
      <w:r w:rsidR="00945EA0" w:rsidRPr="00450879">
        <w:rPr>
          <w:lang w:val="fr-FR"/>
        </w:rPr>
        <w:t xml:space="preserve">. </w:t>
      </w:r>
    </w:p>
    <w:p w14:paraId="0288C0EB" w14:textId="045F652E" w:rsidR="00945EA0" w:rsidRPr="00450879" w:rsidRDefault="00843163" w:rsidP="00BD280C">
      <w:pPr>
        <w:pStyle w:val="Normalnumber"/>
        <w:numPr>
          <w:ilvl w:val="0"/>
          <w:numId w:val="39"/>
        </w:numPr>
        <w:rPr>
          <w:lang w:val="fr-FR"/>
        </w:rPr>
      </w:pPr>
      <w:r w:rsidRPr="00450879">
        <w:rPr>
          <w:lang w:val="fr-FR"/>
        </w:rPr>
        <w:t>Il est important que l’évaluation globale de l’efficacité de la Convention s’appuie sur une base mondiale</w:t>
      </w:r>
      <w:r w:rsidR="009E591D" w:rsidRPr="00450879">
        <w:rPr>
          <w:lang w:val="fr-FR"/>
        </w:rPr>
        <w:t>.</w:t>
      </w:r>
      <w:r w:rsidRPr="00450879">
        <w:rPr>
          <w:lang w:val="fr-FR"/>
        </w:rPr>
        <w:t xml:space="preserve"> En conséquence, il est souhaitable d’assurer l’obtention d’un large éventail de données provenant du plus grand nombre possible de régions, étant entendu que les technologies disponibles varieront d’un</w:t>
      </w:r>
      <w:r w:rsidR="008C3727" w:rsidRPr="00450879">
        <w:rPr>
          <w:lang w:val="fr-FR"/>
        </w:rPr>
        <w:t>e</w:t>
      </w:r>
      <w:r w:rsidRPr="00450879">
        <w:rPr>
          <w:lang w:val="fr-FR"/>
        </w:rPr>
        <w:t xml:space="preserve"> région à l’autre</w:t>
      </w:r>
      <w:r w:rsidR="00945EA0" w:rsidRPr="00450879">
        <w:rPr>
          <w:lang w:val="fr-FR"/>
        </w:rPr>
        <w:t xml:space="preserve">.  </w:t>
      </w:r>
    </w:p>
    <w:p w14:paraId="535D9BEF" w14:textId="120AEED4" w:rsidR="00945EA0" w:rsidRPr="00450879" w:rsidRDefault="008908B6" w:rsidP="008908B6">
      <w:pPr>
        <w:pStyle w:val="CH3"/>
        <w:rPr>
          <w:lang w:val="fr-FR"/>
        </w:rPr>
      </w:pPr>
      <w:r w:rsidRPr="00450879">
        <w:rPr>
          <w:lang w:val="fr-FR"/>
        </w:rPr>
        <w:tab/>
        <w:t>2.</w:t>
      </w:r>
      <w:r w:rsidRPr="00450879">
        <w:rPr>
          <w:lang w:val="fr-FR"/>
        </w:rPr>
        <w:tab/>
      </w:r>
      <w:r w:rsidR="008C3727" w:rsidRPr="00450879">
        <w:rPr>
          <w:lang w:val="fr-FR"/>
        </w:rPr>
        <w:t>Mise en place d’</w:t>
      </w:r>
      <w:r w:rsidR="00945EA0" w:rsidRPr="00450879">
        <w:rPr>
          <w:lang w:val="fr-FR"/>
        </w:rPr>
        <w:t>arrangements</w:t>
      </w:r>
    </w:p>
    <w:p w14:paraId="4934123E" w14:textId="5785CA96" w:rsidR="00945EA0" w:rsidRPr="00450879" w:rsidRDefault="00716D50" w:rsidP="00F27438">
      <w:pPr>
        <w:pStyle w:val="Normalnumber"/>
        <w:numPr>
          <w:ilvl w:val="0"/>
          <w:numId w:val="39"/>
        </w:numPr>
        <w:rPr>
          <w:lang w:val="fr-FR"/>
        </w:rPr>
      </w:pPr>
      <w:r>
        <w:rPr>
          <w:lang w:val="fr-FR"/>
        </w:rPr>
        <w:t>En lançant</w:t>
      </w:r>
      <w:r w:rsidR="00F27438" w:rsidRPr="00450879">
        <w:rPr>
          <w:lang w:val="fr-FR"/>
        </w:rPr>
        <w:t xml:space="preserve"> la mise en place d’</w:t>
      </w:r>
      <w:r w:rsidR="00945EA0" w:rsidRPr="00450879">
        <w:rPr>
          <w:lang w:val="fr-FR"/>
        </w:rPr>
        <w:t xml:space="preserve">arrangements </w:t>
      </w:r>
      <w:r w:rsidR="00F27438" w:rsidRPr="00450879">
        <w:rPr>
          <w:lang w:val="fr-FR"/>
        </w:rPr>
        <w:t xml:space="preserve">pour obtenir des données de surveillance comparables, il conviendrait de commencer par examiner les données actuellement disponibles </w:t>
      </w:r>
      <w:r w:rsidR="008C2D27">
        <w:rPr>
          <w:lang w:val="fr-FR"/>
        </w:rPr>
        <w:t>qui ont été établies par des</w:t>
      </w:r>
      <w:r w:rsidR="00F27438" w:rsidRPr="00450879">
        <w:rPr>
          <w:lang w:val="fr-FR"/>
        </w:rPr>
        <w:t xml:space="preserve"> programmes de surveillance nationaux, </w:t>
      </w:r>
      <w:proofErr w:type="spellStart"/>
      <w:r w:rsidR="00F27438" w:rsidRPr="00450879">
        <w:rPr>
          <w:lang w:val="fr-FR"/>
        </w:rPr>
        <w:t>sous-régionaux</w:t>
      </w:r>
      <w:proofErr w:type="spellEnd"/>
      <w:r w:rsidR="00F27438" w:rsidRPr="00450879">
        <w:rPr>
          <w:lang w:val="fr-FR"/>
        </w:rPr>
        <w:t>, régionaux ou mondiaux</w:t>
      </w:r>
      <w:r w:rsidR="00945EA0" w:rsidRPr="00450879">
        <w:rPr>
          <w:lang w:val="fr-FR"/>
        </w:rPr>
        <w:t>.</w:t>
      </w:r>
      <w:r w:rsidR="00F27438" w:rsidRPr="00450879">
        <w:rPr>
          <w:lang w:val="fr-FR"/>
        </w:rPr>
        <w:t xml:space="preserve"> Un protocole d’évaluation sera requis afin de déterminer la qualité et </w:t>
      </w:r>
      <w:r w:rsidR="00454715" w:rsidRPr="00450879">
        <w:rPr>
          <w:lang w:val="fr-FR"/>
        </w:rPr>
        <w:t>l’applicabilité de ces données aux fins de l’évaluation de l’efficacité de la Convention</w:t>
      </w:r>
      <w:r w:rsidR="00945EA0" w:rsidRPr="00450879">
        <w:rPr>
          <w:lang w:val="fr-FR"/>
        </w:rPr>
        <w:t xml:space="preserve">. </w:t>
      </w:r>
    </w:p>
    <w:p w14:paraId="6DACAD03" w14:textId="6CF72837" w:rsidR="00945EA0" w:rsidRPr="00450879" w:rsidRDefault="00454715" w:rsidP="00454715">
      <w:pPr>
        <w:pStyle w:val="Normalnumber"/>
        <w:numPr>
          <w:ilvl w:val="0"/>
          <w:numId w:val="39"/>
        </w:numPr>
        <w:rPr>
          <w:lang w:val="fr-FR"/>
        </w:rPr>
      </w:pPr>
      <w:r w:rsidRPr="00450879">
        <w:rPr>
          <w:lang w:val="fr-FR"/>
        </w:rPr>
        <w:t xml:space="preserve">Un certain nombre de gouvernements, d’organisations </w:t>
      </w:r>
      <w:proofErr w:type="spellStart"/>
      <w:r w:rsidRPr="00450879">
        <w:rPr>
          <w:lang w:val="fr-FR"/>
        </w:rPr>
        <w:t>sous-régionales</w:t>
      </w:r>
      <w:proofErr w:type="spellEnd"/>
      <w:r w:rsidRPr="00450879">
        <w:rPr>
          <w:lang w:val="fr-FR"/>
        </w:rPr>
        <w:t xml:space="preserve"> et d’organisations régionales ont fourni des informations sur les données disponibles, qui avaient été demandées dans le cadre du suivi des sixième et septième sessions du Comité de négociation intergouvernemental</w:t>
      </w:r>
      <w:r w:rsidR="00945EA0" w:rsidRPr="00450879">
        <w:rPr>
          <w:lang w:val="fr-FR"/>
        </w:rPr>
        <w:t xml:space="preserve">. </w:t>
      </w:r>
      <w:r w:rsidRPr="00450879">
        <w:rPr>
          <w:lang w:val="fr-FR"/>
        </w:rPr>
        <w:t>Certaines informations sont également disponibles au niveau mondial</w:t>
      </w:r>
      <w:r w:rsidR="00945EA0" w:rsidRPr="00450879">
        <w:rPr>
          <w:lang w:val="fr-FR"/>
        </w:rPr>
        <w:t xml:space="preserve">. </w:t>
      </w:r>
    </w:p>
    <w:p w14:paraId="147639CA" w14:textId="69CB4095" w:rsidR="00945EA0" w:rsidRPr="00450879" w:rsidRDefault="00833658" w:rsidP="00E47BAC">
      <w:pPr>
        <w:pStyle w:val="Normalnumber"/>
        <w:numPr>
          <w:ilvl w:val="0"/>
          <w:numId w:val="39"/>
        </w:numPr>
        <w:rPr>
          <w:lang w:val="fr-FR"/>
        </w:rPr>
      </w:pPr>
      <w:r w:rsidRPr="00450879">
        <w:rPr>
          <w:lang w:val="fr-FR"/>
        </w:rPr>
        <w:t>Afin de préparer la mise en œuvre de la</w:t>
      </w:r>
      <w:r w:rsidR="00945EA0" w:rsidRPr="00450879">
        <w:rPr>
          <w:lang w:val="fr-FR"/>
        </w:rPr>
        <w:t xml:space="preserve"> Convention, </w:t>
      </w:r>
      <w:r w:rsidRPr="00450879">
        <w:rPr>
          <w:lang w:val="fr-FR"/>
        </w:rPr>
        <w:t xml:space="preserve">de nombreux gouvernements ont entrepris des évaluations individuelles des émissions de mercure dans l’air et des rejets de cette substance dans la terre et l’eau et </w:t>
      </w:r>
      <w:r w:rsidR="00C67C17">
        <w:rPr>
          <w:lang w:val="fr-FR"/>
        </w:rPr>
        <w:t xml:space="preserve">ont </w:t>
      </w:r>
      <w:r w:rsidRPr="00450879">
        <w:rPr>
          <w:lang w:val="fr-FR"/>
        </w:rPr>
        <w:t>élaboré des plans pour étudier les sources ponctuelles de mercure au niveau national</w:t>
      </w:r>
      <w:r w:rsidR="00945EA0" w:rsidRPr="00450879">
        <w:rPr>
          <w:lang w:val="fr-FR"/>
        </w:rPr>
        <w:t>.</w:t>
      </w:r>
      <w:r w:rsidRPr="00450879">
        <w:rPr>
          <w:lang w:val="fr-FR"/>
        </w:rPr>
        <w:t xml:space="preserve"> </w:t>
      </w:r>
      <w:r w:rsidR="00CD72C5">
        <w:rPr>
          <w:lang w:val="fr-FR"/>
        </w:rPr>
        <w:t>C</w:t>
      </w:r>
      <w:r w:rsidRPr="00450879">
        <w:rPr>
          <w:lang w:val="fr-FR"/>
        </w:rPr>
        <w:t>ertains gouvernements</w:t>
      </w:r>
      <w:r w:rsidR="00CD72C5">
        <w:rPr>
          <w:lang w:val="fr-FR"/>
        </w:rPr>
        <w:t xml:space="preserve"> ont réalisé </w:t>
      </w:r>
      <w:r w:rsidRPr="00450879">
        <w:rPr>
          <w:lang w:val="fr-FR"/>
        </w:rPr>
        <w:t>une évaluation</w:t>
      </w:r>
      <w:r w:rsidR="00D4138C" w:rsidRPr="00450879">
        <w:rPr>
          <w:lang w:val="fr-FR"/>
        </w:rPr>
        <w:t xml:space="preserve"> documentaire </w:t>
      </w:r>
      <w:r w:rsidRPr="00450879">
        <w:rPr>
          <w:lang w:val="fr-FR"/>
        </w:rPr>
        <w:t>générale</w:t>
      </w:r>
      <w:r w:rsidR="00D4138C" w:rsidRPr="00450879">
        <w:rPr>
          <w:lang w:val="fr-FR"/>
        </w:rPr>
        <w:t xml:space="preserve">, tandis que </w:t>
      </w:r>
      <w:r w:rsidR="00C67C17">
        <w:rPr>
          <w:lang w:val="fr-FR"/>
        </w:rPr>
        <w:t xml:space="preserve">d’autres ont </w:t>
      </w:r>
      <w:r w:rsidR="00CD72C5">
        <w:rPr>
          <w:lang w:val="fr-FR"/>
        </w:rPr>
        <w:t>opté pour</w:t>
      </w:r>
      <w:r w:rsidR="00D4138C" w:rsidRPr="00450879">
        <w:rPr>
          <w:lang w:val="fr-FR"/>
        </w:rPr>
        <w:t xml:space="preserve"> une évaluation plus détaillée</w:t>
      </w:r>
      <w:r w:rsidR="00945EA0" w:rsidRPr="00450879">
        <w:rPr>
          <w:lang w:val="fr-FR"/>
        </w:rPr>
        <w:t>.</w:t>
      </w:r>
      <w:r w:rsidR="00D4138C" w:rsidRPr="00450879">
        <w:rPr>
          <w:lang w:val="fr-FR"/>
        </w:rPr>
        <w:t xml:space="preserve"> De telles données contribuent au corpus d’informations sur les sources de mercure dans l’environnement, qui peuvent ensuite être utilisées </w:t>
      </w:r>
      <w:r w:rsidR="00D435D0" w:rsidRPr="00450879">
        <w:rPr>
          <w:lang w:val="fr-FR"/>
        </w:rPr>
        <w:t>au moyen</w:t>
      </w:r>
      <w:r w:rsidR="00D4138C" w:rsidRPr="00450879">
        <w:rPr>
          <w:lang w:val="fr-FR"/>
        </w:rPr>
        <w:t xml:space="preserve"> de modèle</w:t>
      </w:r>
      <w:r w:rsidR="00242D67" w:rsidRPr="00450879">
        <w:rPr>
          <w:lang w:val="fr-FR"/>
        </w:rPr>
        <w:t>s</w:t>
      </w:r>
      <w:r w:rsidR="00D4138C" w:rsidRPr="00450879">
        <w:rPr>
          <w:lang w:val="fr-FR"/>
        </w:rPr>
        <w:t xml:space="preserve"> appropriés pour estimer les concentrations de mercure au niveau local et</w:t>
      </w:r>
      <w:r w:rsidR="00242D67" w:rsidRPr="00450879">
        <w:rPr>
          <w:lang w:val="fr-FR"/>
        </w:rPr>
        <w:t xml:space="preserve"> à un niveau plus éloigné</w:t>
      </w:r>
      <w:r w:rsidR="00945EA0" w:rsidRPr="00450879">
        <w:rPr>
          <w:lang w:val="fr-FR"/>
        </w:rPr>
        <w:t>,</w:t>
      </w:r>
      <w:r w:rsidR="00242D67" w:rsidRPr="00450879">
        <w:rPr>
          <w:lang w:val="fr-FR"/>
        </w:rPr>
        <w:t xml:space="preserve"> en fonction des voies de dépôt</w:t>
      </w:r>
      <w:r w:rsidR="00945EA0" w:rsidRPr="00450879">
        <w:rPr>
          <w:lang w:val="fr-FR"/>
        </w:rPr>
        <w:t xml:space="preserve">. </w:t>
      </w:r>
    </w:p>
    <w:p w14:paraId="1693AADD" w14:textId="640E1023" w:rsidR="00945EA0" w:rsidRPr="00450879" w:rsidRDefault="00242D67" w:rsidP="008C2D27">
      <w:pPr>
        <w:pStyle w:val="Normalnumber"/>
        <w:numPr>
          <w:ilvl w:val="0"/>
          <w:numId w:val="39"/>
        </w:numPr>
        <w:rPr>
          <w:lang w:val="fr-FR"/>
        </w:rPr>
      </w:pPr>
      <w:r w:rsidRPr="00450879">
        <w:rPr>
          <w:lang w:val="fr-FR"/>
        </w:rPr>
        <w:t xml:space="preserve">En outre, </w:t>
      </w:r>
      <w:r w:rsidR="00FA44CB">
        <w:rPr>
          <w:lang w:val="fr-FR"/>
        </w:rPr>
        <w:t>l’article 8 et l’Annexe </w:t>
      </w:r>
      <w:r w:rsidR="00B078FB" w:rsidRPr="00450879">
        <w:rPr>
          <w:lang w:val="fr-FR"/>
        </w:rPr>
        <w:t xml:space="preserve">D de </w:t>
      </w:r>
      <w:r w:rsidRPr="00450879">
        <w:rPr>
          <w:lang w:val="fr-FR"/>
        </w:rPr>
        <w:t>la</w:t>
      </w:r>
      <w:r w:rsidR="00945EA0" w:rsidRPr="00450879">
        <w:rPr>
          <w:lang w:val="fr-FR"/>
        </w:rPr>
        <w:t xml:space="preserve"> Convention </w:t>
      </w:r>
      <w:r w:rsidRPr="00450879">
        <w:rPr>
          <w:lang w:val="fr-FR"/>
        </w:rPr>
        <w:t>prévoi</w:t>
      </w:r>
      <w:r w:rsidR="00B078FB" w:rsidRPr="00450879">
        <w:rPr>
          <w:lang w:val="fr-FR"/>
        </w:rPr>
        <w:t>en</w:t>
      </w:r>
      <w:r w:rsidRPr="00450879">
        <w:rPr>
          <w:lang w:val="fr-FR"/>
        </w:rPr>
        <w:t>t une obligation pour chaque Partie d’</w:t>
      </w:r>
      <w:r w:rsidR="00B078FB" w:rsidRPr="00450879">
        <w:rPr>
          <w:lang w:val="fr-FR"/>
        </w:rPr>
        <w:t xml:space="preserve">établir, au plus tard cinq ans après la date d’entrée en vigueur de la Convention à son égard, </w:t>
      </w:r>
      <w:r w:rsidRPr="00450879">
        <w:rPr>
          <w:lang w:val="fr-FR"/>
        </w:rPr>
        <w:t>un inventaire des émissions des sources pertinentes</w:t>
      </w:r>
      <w:r w:rsidR="00945EA0" w:rsidRPr="00450879">
        <w:rPr>
          <w:lang w:val="fr-FR"/>
        </w:rPr>
        <w:t xml:space="preserve">. </w:t>
      </w:r>
      <w:r w:rsidR="00B078FB" w:rsidRPr="00450879">
        <w:rPr>
          <w:lang w:val="fr-FR"/>
        </w:rPr>
        <w:t>De tels inventaires peuvent fournir des données utiles dans le futur</w:t>
      </w:r>
      <w:r w:rsidR="00945EA0" w:rsidRPr="00450879">
        <w:rPr>
          <w:lang w:val="fr-FR"/>
        </w:rPr>
        <w:t xml:space="preserve">. </w:t>
      </w:r>
      <w:r w:rsidR="00B078FB" w:rsidRPr="00450879">
        <w:rPr>
          <w:lang w:val="fr-FR"/>
        </w:rPr>
        <w:t>Aux termes de l’article </w:t>
      </w:r>
      <w:r w:rsidR="00B721D6" w:rsidRPr="00450879">
        <w:rPr>
          <w:lang w:val="fr-FR"/>
        </w:rPr>
        <w:t xml:space="preserve">9, </w:t>
      </w:r>
      <w:r w:rsidR="00B078FB" w:rsidRPr="00450879">
        <w:rPr>
          <w:lang w:val="fr-FR"/>
        </w:rPr>
        <w:t>chaque Partie est également tenue d’établir, au plus tard cinq ans après la date d’entrée en vigueur de la Convention à son égard, un inventaire des rejets de mercure des sources pertinentes</w:t>
      </w:r>
      <w:r w:rsidR="00B721D6" w:rsidRPr="00450879">
        <w:rPr>
          <w:lang w:val="fr-FR"/>
        </w:rPr>
        <w:t>,</w:t>
      </w:r>
      <w:r w:rsidR="00B078FB" w:rsidRPr="00450879">
        <w:rPr>
          <w:lang w:val="fr-FR"/>
        </w:rPr>
        <w:t xml:space="preserve"> qui fournira des données supplémentaires</w:t>
      </w:r>
      <w:r w:rsidR="00945EA0" w:rsidRPr="00450879">
        <w:rPr>
          <w:lang w:val="fr-FR"/>
        </w:rPr>
        <w:t>.</w:t>
      </w:r>
      <w:r w:rsidR="00B078FB" w:rsidRPr="00450879">
        <w:rPr>
          <w:lang w:val="fr-FR"/>
        </w:rPr>
        <w:t xml:space="preserve"> Chaque Partie aura également l’obligation de faire rapport sur sa mise en œuvre de la </w:t>
      </w:r>
      <w:r w:rsidR="00945EA0" w:rsidRPr="00450879">
        <w:rPr>
          <w:lang w:val="fr-FR"/>
        </w:rPr>
        <w:t>Convention.</w:t>
      </w:r>
      <w:r w:rsidR="0050199C" w:rsidRPr="00450879">
        <w:rPr>
          <w:lang w:val="fr-FR"/>
        </w:rPr>
        <w:t xml:space="preserve"> </w:t>
      </w:r>
      <w:r w:rsidR="008C2D27">
        <w:rPr>
          <w:lang w:val="fr-FR"/>
        </w:rPr>
        <w:t>D</w:t>
      </w:r>
      <w:r w:rsidR="0050199C" w:rsidRPr="00450879">
        <w:rPr>
          <w:lang w:val="fr-FR"/>
        </w:rPr>
        <w:t>es données quantitatives sur les émissions et les rejets de mercure pourraient être obtenues au moyen de ces rapports</w:t>
      </w:r>
      <w:r w:rsidR="008C2D27">
        <w:rPr>
          <w:lang w:val="fr-FR"/>
        </w:rPr>
        <w:t>, dont</w:t>
      </w:r>
      <w:r w:rsidR="008C2D27" w:rsidRPr="008C2D27">
        <w:rPr>
          <w:lang w:val="fr-FR"/>
        </w:rPr>
        <w:t xml:space="preserve"> le modèle de présentation n’a pas encore </w:t>
      </w:r>
      <w:r w:rsidR="008C2D27">
        <w:rPr>
          <w:lang w:val="fr-FR"/>
        </w:rPr>
        <w:t>été finalisé</w:t>
      </w:r>
      <w:r w:rsidR="00945EA0" w:rsidRPr="00450879">
        <w:rPr>
          <w:lang w:val="fr-FR"/>
        </w:rPr>
        <w:t>.</w:t>
      </w:r>
      <w:r w:rsidR="0050199C" w:rsidRPr="00450879">
        <w:rPr>
          <w:lang w:val="fr-FR"/>
        </w:rPr>
        <w:t xml:space="preserve"> Cha</w:t>
      </w:r>
      <w:r w:rsidR="008C2D27">
        <w:rPr>
          <w:lang w:val="fr-FR"/>
        </w:rPr>
        <w:t>que Partie devrait communiquer c</w:t>
      </w:r>
      <w:r w:rsidR="0050199C" w:rsidRPr="00450879">
        <w:rPr>
          <w:lang w:val="fr-FR"/>
        </w:rPr>
        <w:t>es informations par l’intermédiaire d’un correspondant national</w:t>
      </w:r>
      <w:r w:rsidR="00945EA0" w:rsidRPr="00450879">
        <w:rPr>
          <w:lang w:val="fr-FR"/>
        </w:rPr>
        <w:t>.</w:t>
      </w:r>
    </w:p>
    <w:p w14:paraId="3A0EA7C4" w14:textId="7792EADF" w:rsidR="00945EA0" w:rsidRPr="00450879" w:rsidRDefault="0050199C" w:rsidP="0050199C">
      <w:pPr>
        <w:pStyle w:val="Normalnumber"/>
        <w:numPr>
          <w:ilvl w:val="0"/>
          <w:numId w:val="39"/>
        </w:numPr>
        <w:rPr>
          <w:lang w:val="fr-FR"/>
        </w:rPr>
      </w:pPr>
      <w:r w:rsidRPr="00450879">
        <w:rPr>
          <w:lang w:val="fr-FR"/>
        </w:rPr>
        <w:t>Lors de l’évaluation du mercure chez les populations humaines, la vulnérabilité (par exemple, des enfants et des femmes enceintes) et l’exposition</w:t>
      </w:r>
      <w:r w:rsidR="00945EA0" w:rsidRPr="00450879">
        <w:rPr>
          <w:lang w:val="fr-FR"/>
        </w:rPr>
        <w:t xml:space="preserve"> (</w:t>
      </w:r>
      <w:r w:rsidRPr="00450879">
        <w:rPr>
          <w:lang w:val="fr-FR"/>
        </w:rPr>
        <w:t>notamment par la consommation de poissons et de mammifères marins contaminés et par l’extraction minière artisanale et à petite échelle d’or) devraient être prises en compte</w:t>
      </w:r>
      <w:r w:rsidR="00945EA0" w:rsidRPr="00450879">
        <w:rPr>
          <w:lang w:val="fr-FR"/>
        </w:rPr>
        <w:t>.</w:t>
      </w:r>
      <w:r w:rsidRPr="00450879">
        <w:rPr>
          <w:lang w:val="fr-FR"/>
        </w:rPr>
        <w:t xml:space="preserve"> Il peut être nécessaire d’évaluer l’exposition au</w:t>
      </w:r>
      <w:r w:rsidR="00945EA0" w:rsidRPr="00450879">
        <w:rPr>
          <w:lang w:val="fr-FR"/>
        </w:rPr>
        <w:t xml:space="preserve"> </w:t>
      </w:r>
      <w:proofErr w:type="spellStart"/>
      <w:r w:rsidRPr="00450879">
        <w:rPr>
          <w:lang w:val="fr-FR"/>
        </w:rPr>
        <w:t>méthylmercure</w:t>
      </w:r>
      <w:proofErr w:type="spellEnd"/>
      <w:r w:rsidRPr="00450879">
        <w:rPr>
          <w:lang w:val="fr-FR"/>
        </w:rPr>
        <w:t xml:space="preserve"> </w:t>
      </w:r>
      <w:r w:rsidR="00B96CFC" w:rsidRPr="00450879">
        <w:rPr>
          <w:lang w:val="fr-FR"/>
        </w:rPr>
        <w:t>par une analyse des chev</w:t>
      </w:r>
      <w:r w:rsidR="00504F54">
        <w:rPr>
          <w:lang w:val="fr-FR"/>
        </w:rPr>
        <w:t>e</w:t>
      </w:r>
      <w:r w:rsidR="00B96CFC" w:rsidRPr="00450879">
        <w:rPr>
          <w:lang w:val="fr-FR"/>
        </w:rPr>
        <w:t>ux de la mère</w:t>
      </w:r>
      <w:r w:rsidR="00B05052" w:rsidRPr="00450879">
        <w:rPr>
          <w:lang w:val="fr-FR"/>
        </w:rPr>
        <w:t>,</w:t>
      </w:r>
      <w:r w:rsidR="00E929D4" w:rsidRPr="00450879">
        <w:rPr>
          <w:lang w:val="fr-FR"/>
        </w:rPr>
        <w:t xml:space="preserve"> du cordon ombilical du fœtus/bébé et/ou de l’urine afin de mesurer l’exposition au mercure inorganique</w:t>
      </w:r>
      <w:r w:rsidR="00945EA0" w:rsidRPr="00450879">
        <w:rPr>
          <w:lang w:val="fr-FR"/>
        </w:rPr>
        <w:t xml:space="preserve">. </w:t>
      </w:r>
      <w:r w:rsidR="00E929D4" w:rsidRPr="00450879">
        <w:rPr>
          <w:lang w:val="fr-FR"/>
        </w:rPr>
        <w:t xml:space="preserve">La surveillance du biote devrait être liée </w:t>
      </w:r>
      <w:r w:rsidR="00EA2DC3" w:rsidRPr="00450879">
        <w:rPr>
          <w:lang w:val="fr-FR"/>
        </w:rPr>
        <w:t xml:space="preserve">à la </w:t>
      </w:r>
      <w:proofErr w:type="spellStart"/>
      <w:r w:rsidR="00EA2DC3" w:rsidRPr="00450879">
        <w:rPr>
          <w:lang w:val="fr-FR"/>
        </w:rPr>
        <w:t>biosurveillance</w:t>
      </w:r>
      <w:proofErr w:type="spellEnd"/>
      <w:r w:rsidR="00EA2DC3" w:rsidRPr="00450879">
        <w:rPr>
          <w:lang w:val="fr-FR"/>
        </w:rPr>
        <w:t xml:space="preserve"> du</w:t>
      </w:r>
      <w:r w:rsidR="00E929D4" w:rsidRPr="00450879">
        <w:rPr>
          <w:lang w:val="fr-FR"/>
        </w:rPr>
        <w:t xml:space="preserve"> milieu environnemental et </w:t>
      </w:r>
      <w:r w:rsidR="00EA2DC3" w:rsidRPr="00450879">
        <w:rPr>
          <w:lang w:val="fr-FR"/>
        </w:rPr>
        <w:t>des êtres humains</w:t>
      </w:r>
      <w:r w:rsidR="00B05052" w:rsidRPr="00450879">
        <w:rPr>
          <w:lang w:val="fr-FR"/>
        </w:rPr>
        <w:t>.</w:t>
      </w:r>
      <w:r w:rsidR="00EA2DC3" w:rsidRPr="00450879">
        <w:rPr>
          <w:lang w:val="fr-FR"/>
        </w:rPr>
        <w:t xml:space="preserve"> Il faudra élaborer une méthode pour évaluer les concentrations de mercure dans un écosystème </w:t>
      </w:r>
      <w:r w:rsidR="00CD72C5">
        <w:rPr>
          <w:lang w:val="fr-FR"/>
        </w:rPr>
        <w:t>ou</w:t>
      </w:r>
      <w:r w:rsidR="00EA2DC3" w:rsidRPr="00450879">
        <w:rPr>
          <w:lang w:val="fr-FR"/>
        </w:rPr>
        <w:t xml:space="preserve"> </w:t>
      </w:r>
      <w:r w:rsidR="00CD72C5">
        <w:rPr>
          <w:lang w:val="fr-FR"/>
        </w:rPr>
        <w:t xml:space="preserve">un </w:t>
      </w:r>
      <w:r w:rsidR="00EA2DC3" w:rsidRPr="00450879">
        <w:rPr>
          <w:lang w:val="fr-FR"/>
        </w:rPr>
        <w:t>environnement</w:t>
      </w:r>
      <w:r w:rsidR="00CD72C5">
        <w:rPr>
          <w:lang w:val="fr-FR"/>
        </w:rPr>
        <w:t xml:space="preserve"> régional</w:t>
      </w:r>
      <w:r w:rsidR="00EA2DC3" w:rsidRPr="00450879">
        <w:rPr>
          <w:lang w:val="fr-FR"/>
        </w:rPr>
        <w:t xml:space="preserve"> ainsi que pour </w:t>
      </w:r>
      <w:r w:rsidR="008C2D27">
        <w:rPr>
          <w:lang w:val="fr-FR"/>
        </w:rPr>
        <w:t>mesurer</w:t>
      </w:r>
      <w:r w:rsidR="00EA2DC3" w:rsidRPr="00450879">
        <w:rPr>
          <w:lang w:val="fr-FR"/>
        </w:rPr>
        <w:t xml:space="preserve"> les concentrations de cette substance dans les aliments (provenant de la terre et de la mer)</w:t>
      </w:r>
      <w:r w:rsidR="00945EA0" w:rsidRPr="00450879">
        <w:rPr>
          <w:lang w:val="fr-FR"/>
        </w:rPr>
        <w:t>.</w:t>
      </w:r>
      <w:r w:rsidR="00A77BC5" w:rsidRPr="00450879">
        <w:rPr>
          <w:lang w:val="fr-FR"/>
        </w:rPr>
        <w:t xml:space="preserve"> L’évaluation devrait être harmonisée avec des protocoles existants concernant l’échantillonnage, l’analyse et l’établissement de rapports</w:t>
      </w:r>
      <w:r w:rsidR="00945EA0" w:rsidRPr="00450879">
        <w:rPr>
          <w:lang w:val="fr-FR"/>
        </w:rPr>
        <w:t>.</w:t>
      </w:r>
    </w:p>
    <w:p w14:paraId="5F46EEFB" w14:textId="6D5E7C53" w:rsidR="00945EA0" w:rsidRPr="00450879" w:rsidRDefault="00A77BC5" w:rsidP="00E76977">
      <w:pPr>
        <w:pStyle w:val="Normalnumber"/>
        <w:numPr>
          <w:ilvl w:val="0"/>
          <w:numId w:val="39"/>
        </w:numPr>
        <w:rPr>
          <w:lang w:val="fr-FR"/>
        </w:rPr>
      </w:pPr>
      <w:r w:rsidRPr="00450879">
        <w:rPr>
          <w:lang w:val="fr-FR"/>
        </w:rPr>
        <w:t>Des évaluations mondiales des concentrations de mercure dans l’environnement</w:t>
      </w:r>
      <w:r w:rsidR="0021251F">
        <w:rPr>
          <w:lang w:val="fr-FR"/>
        </w:rPr>
        <w:t xml:space="preserve"> ont été entreprises par le Programme des Nations Unies pour l’environnement (PNUE)</w:t>
      </w:r>
      <w:r w:rsidRPr="00450879">
        <w:rPr>
          <w:lang w:val="fr-FR"/>
        </w:rPr>
        <w:t xml:space="preserve"> en utilisant une combinaison de données </w:t>
      </w:r>
      <w:r w:rsidR="008A0FDF" w:rsidRPr="00450879">
        <w:rPr>
          <w:lang w:val="fr-FR"/>
        </w:rPr>
        <w:t>réelles et modélisées, une nouvelle évaluation technique étant prévue en</w:t>
      </w:r>
      <w:r w:rsidR="00773E4C">
        <w:rPr>
          <w:lang w:val="fr-FR"/>
        </w:rPr>
        <w:t> </w:t>
      </w:r>
      <w:r w:rsidR="00945EA0" w:rsidRPr="00450879">
        <w:rPr>
          <w:lang w:val="fr-FR"/>
        </w:rPr>
        <w:t xml:space="preserve">2018.  </w:t>
      </w:r>
    </w:p>
    <w:p w14:paraId="3F4AF8C9" w14:textId="496350BA" w:rsidR="00945EA0" w:rsidRPr="00450879" w:rsidRDefault="008A0FDF" w:rsidP="005E205C">
      <w:pPr>
        <w:pStyle w:val="Normalnumber"/>
        <w:numPr>
          <w:ilvl w:val="0"/>
          <w:numId w:val="39"/>
        </w:numPr>
        <w:rPr>
          <w:lang w:val="fr-FR"/>
        </w:rPr>
      </w:pPr>
      <w:r w:rsidRPr="00450879">
        <w:rPr>
          <w:lang w:val="fr-FR"/>
        </w:rPr>
        <w:t xml:space="preserve">Une base de données mondiale des contaminants chimiques dans les aliments, la base de données </w:t>
      </w:r>
      <w:r w:rsidR="00504F54" w:rsidRPr="00450879">
        <w:rPr>
          <w:lang w:val="fr-FR"/>
        </w:rPr>
        <w:t>du Système mondial de surveillance continue de l’environnement</w:t>
      </w:r>
      <w:r w:rsidR="005C482F">
        <w:rPr>
          <w:lang w:val="fr-FR"/>
        </w:rPr>
        <w:t>/</w:t>
      </w:r>
      <w:r w:rsidRPr="00450879">
        <w:rPr>
          <w:lang w:val="fr-FR"/>
        </w:rPr>
        <w:t xml:space="preserve">Programme </w:t>
      </w:r>
      <w:r w:rsidR="002A1D07">
        <w:rPr>
          <w:lang w:val="fr-FR"/>
        </w:rPr>
        <w:t xml:space="preserve">de surveillance et </w:t>
      </w:r>
      <w:r w:rsidRPr="00450879">
        <w:rPr>
          <w:lang w:val="fr-FR"/>
        </w:rPr>
        <w:t>d’évaluation de la contamination des denrées alimentaires</w:t>
      </w:r>
      <w:r w:rsidR="002A1D07">
        <w:rPr>
          <w:lang w:val="fr-FR"/>
        </w:rPr>
        <w:t xml:space="preserve"> (GEMS/Food)</w:t>
      </w:r>
      <w:r w:rsidRPr="00450879">
        <w:rPr>
          <w:lang w:val="fr-FR"/>
        </w:rPr>
        <w:t>, contient de nombreuses données sur les concentrations de mercure</w:t>
      </w:r>
      <w:r w:rsidR="00CC551D" w:rsidRPr="00450879">
        <w:rPr>
          <w:lang w:val="fr-FR"/>
        </w:rPr>
        <w:t>.</w:t>
      </w:r>
      <w:r w:rsidRPr="00450879">
        <w:rPr>
          <w:lang w:val="fr-FR"/>
        </w:rPr>
        <w:t xml:space="preserve"> La base de données comprend </w:t>
      </w:r>
      <w:r w:rsidR="005E205C" w:rsidRPr="00450879">
        <w:rPr>
          <w:lang w:val="fr-FR"/>
        </w:rPr>
        <w:t xml:space="preserve">actuellement </w:t>
      </w:r>
      <w:r w:rsidRPr="00450879">
        <w:rPr>
          <w:lang w:val="fr-FR"/>
        </w:rPr>
        <w:t xml:space="preserve">des résultats </w:t>
      </w:r>
      <w:r w:rsidR="002A1D07">
        <w:rPr>
          <w:lang w:val="fr-FR"/>
        </w:rPr>
        <w:t>d’</w:t>
      </w:r>
      <w:r w:rsidRPr="00450879">
        <w:rPr>
          <w:lang w:val="fr-FR"/>
        </w:rPr>
        <w:t>analy</w:t>
      </w:r>
      <w:r w:rsidR="002A1D07">
        <w:rPr>
          <w:lang w:val="fr-FR"/>
        </w:rPr>
        <w:t>se de</w:t>
      </w:r>
      <w:r w:rsidRPr="00450879">
        <w:rPr>
          <w:lang w:val="fr-FR"/>
        </w:rPr>
        <w:t xml:space="preserve"> plus de </w:t>
      </w:r>
      <w:r w:rsidR="005E205C" w:rsidRPr="00450879">
        <w:rPr>
          <w:lang w:val="fr-FR"/>
        </w:rPr>
        <w:t>75 </w:t>
      </w:r>
      <w:r w:rsidR="00945EA0" w:rsidRPr="00450879">
        <w:rPr>
          <w:lang w:val="fr-FR"/>
        </w:rPr>
        <w:t>000</w:t>
      </w:r>
      <w:r w:rsidR="005E205C" w:rsidRPr="00450879">
        <w:rPr>
          <w:lang w:val="fr-FR"/>
        </w:rPr>
        <w:t xml:space="preserve"> échantillons concernant le mercure élémentaire et </w:t>
      </w:r>
      <w:r w:rsidR="002A1D07">
        <w:rPr>
          <w:lang w:val="fr-FR"/>
        </w:rPr>
        <w:t xml:space="preserve">de </w:t>
      </w:r>
      <w:r w:rsidR="005E205C" w:rsidRPr="00450879">
        <w:rPr>
          <w:lang w:val="fr-FR"/>
        </w:rPr>
        <w:t xml:space="preserve">plus de 1 000 échantillons concernant le </w:t>
      </w:r>
      <w:proofErr w:type="spellStart"/>
      <w:r w:rsidR="005E205C" w:rsidRPr="00450879">
        <w:rPr>
          <w:lang w:val="fr-FR"/>
        </w:rPr>
        <w:t>méthylmercure</w:t>
      </w:r>
      <w:proofErr w:type="spellEnd"/>
      <w:r w:rsidR="00945EA0" w:rsidRPr="00450879">
        <w:rPr>
          <w:lang w:val="fr-FR"/>
        </w:rPr>
        <w:t>.</w:t>
      </w:r>
      <w:r w:rsidR="005E205C" w:rsidRPr="00450879">
        <w:rPr>
          <w:lang w:val="fr-FR"/>
        </w:rPr>
        <w:t xml:space="preserve"> Les échantillons de</w:t>
      </w:r>
      <w:r w:rsidR="00945EA0" w:rsidRPr="00450879">
        <w:rPr>
          <w:lang w:val="fr-FR"/>
        </w:rPr>
        <w:t xml:space="preserve"> </w:t>
      </w:r>
      <w:proofErr w:type="spellStart"/>
      <w:r w:rsidR="005E205C" w:rsidRPr="00450879">
        <w:rPr>
          <w:lang w:val="fr-FR"/>
        </w:rPr>
        <w:t>méthylmercure</w:t>
      </w:r>
      <w:proofErr w:type="spellEnd"/>
      <w:r w:rsidR="005E205C" w:rsidRPr="00450879">
        <w:rPr>
          <w:lang w:val="fr-FR"/>
        </w:rPr>
        <w:t xml:space="preserve"> proviennent de biotes, principalement différentes espèces de poissons, mais également des produits de la mer et certains mammifères</w:t>
      </w:r>
      <w:r w:rsidR="00A27419" w:rsidRPr="00450879">
        <w:rPr>
          <w:lang w:val="fr-FR"/>
        </w:rPr>
        <w:t>.</w:t>
      </w:r>
      <w:r w:rsidR="005E205C" w:rsidRPr="00450879">
        <w:rPr>
          <w:lang w:val="fr-FR"/>
        </w:rPr>
        <w:t xml:space="preserve"> Ces données peuvent fournir des informations utiles sur les concentrations de mercure dans les biotes</w:t>
      </w:r>
      <w:r w:rsidR="00945EA0" w:rsidRPr="00450879">
        <w:rPr>
          <w:lang w:val="fr-FR"/>
        </w:rPr>
        <w:t xml:space="preserve">. </w:t>
      </w:r>
    </w:p>
    <w:p w14:paraId="3A371C8C" w14:textId="5B57C42D" w:rsidR="00945EA0" w:rsidRPr="00450879" w:rsidRDefault="005E205C" w:rsidP="00517DE6">
      <w:pPr>
        <w:pStyle w:val="Normalnumber"/>
        <w:numPr>
          <w:ilvl w:val="0"/>
          <w:numId w:val="39"/>
        </w:numPr>
        <w:rPr>
          <w:lang w:val="fr-FR"/>
        </w:rPr>
      </w:pPr>
      <w:r w:rsidRPr="00450879">
        <w:rPr>
          <w:lang w:val="fr-FR"/>
        </w:rPr>
        <w:t>S’agissant de la surveillance atmosphérique, il existe des réseaux efficaces qui peuvent être utilisés</w:t>
      </w:r>
      <w:r w:rsidR="002B47E9" w:rsidRPr="00450879">
        <w:rPr>
          <w:lang w:val="fr-FR"/>
        </w:rPr>
        <w:t xml:space="preserve"> pour obtenir des informations sur le mercure</w:t>
      </w:r>
      <w:r w:rsidR="00945EA0" w:rsidRPr="00450879">
        <w:rPr>
          <w:lang w:val="fr-FR"/>
        </w:rPr>
        <w:t>.</w:t>
      </w:r>
      <w:r w:rsidR="002B47E9" w:rsidRPr="00450879">
        <w:rPr>
          <w:lang w:val="fr-FR"/>
        </w:rPr>
        <w:t xml:space="preserve"> </w:t>
      </w:r>
      <w:r w:rsidR="00517DE6" w:rsidRPr="00450879">
        <w:rPr>
          <w:lang w:val="fr-FR"/>
        </w:rPr>
        <w:t xml:space="preserve">En ce qui concerne </w:t>
      </w:r>
      <w:r w:rsidR="002B47E9" w:rsidRPr="00450879">
        <w:rPr>
          <w:lang w:val="fr-FR"/>
        </w:rPr>
        <w:t>la surveillance marine, un programme de recherche mondial peut constituer un mécanisme adapté, compte tenu de la dimension internationale des océans</w:t>
      </w:r>
      <w:r w:rsidR="00945EA0" w:rsidRPr="00450879">
        <w:rPr>
          <w:lang w:val="fr-FR"/>
        </w:rPr>
        <w:t>.</w:t>
      </w:r>
      <w:r w:rsidR="00517DE6" w:rsidRPr="00450879">
        <w:rPr>
          <w:lang w:val="fr-FR"/>
        </w:rPr>
        <w:t xml:space="preserve"> Pour ce qui est de</w:t>
      </w:r>
      <w:r w:rsidR="002B47E9" w:rsidRPr="00450879">
        <w:rPr>
          <w:lang w:val="fr-FR"/>
        </w:rPr>
        <w:t xml:space="preserve"> la surveillance des biotes, </w:t>
      </w:r>
      <w:r w:rsidR="00517DE6" w:rsidRPr="00450879">
        <w:rPr>
          <w:lang w:val="fr-FR"/>
        </w:rPr>
        <w:t>l’utilisation des réseaux sera très différente selon les espèces qui seront sélectionnées par la Convention (par exemple, espèces marines, côtières ou terrestres)</w:t>
      </w:r>
      <w:r w:rsidR="00945EA0" w:rsidRPr="00450879">
        <w:rPr>
          <w:lang w:val="fr-FR"/>
        </w:rPr>
        <w:t xml:space="preserve">. </w:t>
      </w:r>
      <w:r w:rsidR="00517DE6" w:rsidRPr="00450879">
        <w:rPr>
          <w:lang w:val="fr-FR"/>
        </w:rPr>
        <w:t xml:space="preserve">Concernant la </w:t>
      </w:r>
      <w:proofErr w:type="spellStart"/>
      <w:r w:rsidR="00517DE6" w:rsidRPr="00450879">
        <w:rPr>
          <w:lang w:val="fr-FR"/>
        </w:rPr>
        <w:t>biosurveillance</w:t>
      </w:r>
      <w:proofErr w:type="spellEnd"/>
      <w:r w:rsidR="00517DE6" w:rsidRPr="00450879">
        <w:rPr>
          <w:lang w:val="fr-FR"/>
        </w:rPr>
        <w:t xml:space="preserve"> humaine, les rapports établis dans le cadre de plans d’action nationaux pourraient fournir des informations sur l’exposition résultant de l’extraction minière artisanale et à petite échelle d’or</w:t>
      </w:r>
      <w:r w:rsidR="00945EA0" w:rsidRPr="00450879">
        <w:rPr>
          <w:lang w:val="fr-FR"/>
        </w:rPr>
        <w:t>,</w:t>
      </w:r>
      <w:r w:rsidR="00517DE6" w:rsidRPr="00450879">
        <w:rPr>
          <w:lang w:val="fr-FR"/>
        </w:rPr>
        <w:t xml:space="preserve"> tandis que pour l</w:t>
      </w:r>
      <w:r w:rsidR="002A1D07">
        <w:rPr>
          <w:lang w:val="fr-FR"/>
        </w:rPr>
        <w:t>’</w:t>
      </w:r>
      <w:r w:rsidR="00517DE6" w:rsidRPr="00450879">
        <w:rPr>
          <w:lang w:val="fr-FR"/>
        </w:rPr>
        <w:t xml:space="preserve">exposition résultant de la consommation de poisson, </w:t>
      </w:r>
      <w:r w:rsidR="00247A9C" w:rsidRPr="00450879">
        <w:rPr>
          <w:lang w:val="fr-FR"/>
        </w:rPr>
        <w:t>des efforts nationaux peuvent être nécessaires pour identifier les populations vulnérables</w:t>
      </w:r>
      <w:r w:rsidR="00945EA0" w:rsidRPr="00450879">
        <w:rPr>
          <w:lang w:val="fr-FR"/>
        </w:rPr>
        <w:t xml:space="preserve">. </w:t>
      </w:r>
    </w:p>
    <w:p w14:paraId="6F4F056B" w14:textId="0833B1AD" w:rsidR="00945EA0" w:rsidRPr="00450879" w:rsidRDefault="004853C4" w:rsidP="00132739">
      <w:pPr>
        <w:pStyle w:val="Normalnumber"/>
        <w:numPr>
          <w:ilvl w:val="0"/>
          <w:numId w:val="39"/>
        </w:numPr>
        <w:rPr>
          <w:lang w:val="fr-FR"/>
        </w:rPr>
      </w:pPr>
      <w:r w:rsidRPr="00450879">
        <w:rPr>
          <w:lang w:val="fr-FR"/>
        </w:rPr>
        <w:t xml:space="preserve">Compte tenu de la disponibilité et de la qualité des données existantes, la Conférence des Parties souhaitera peut-être examiner </w:t>
      </w:r>
      <w:r w:rsidR="002A1D07">
        <w:rPr>
          <w:lang w:val="fr-FR"/>
        </w:rPr>
        <w:t xml:space="preserve">s’il est nécessaire de disposer </w:t>
      </w:r>
      <w:r w:rsidRPr="00450879">
        <w:rPr>
          <w:lang w:val="fr-FR"/>
        </w:rPr>
        <w:t xml:space="preserve">de capacités de surveillance supplémentaires ou si des efforts devraient être déployés pour compiler et analyser </w:t>
      </w:r>
      <w:r w:rsidR="00E82B54" w:rsidRPr="00450879">
        <w:rPr>
          <w:lang w:val="fr-FR"/>
        </w:rPr>
        <w:t>les sources de données existantes</w:t>
      </w:r>
      <w:r w:rsidR="00945EA0" w:rsidRPr="00450879">
        <w:rPr>
          <w:lang w:val="fr-FR"/>
        </w:rPr>
        <w:t>.</w:t>
      </w:r>
      <w:r w:rsidR="00E82B54" w:rsidRPr="00450879">
        <w:rPr>
          <w:lang w:val="fr-FR"/>
        </w:rPr>
        <w:t xml:space="preserve"> Il conviendrait peut-être de confier à un groupe technique l’examen de cette question complexe </w:t>
      </w:r>
      <w:r w:rsidR="00096899">
        <w:rPr>
          <w:lang w:val="fr-FR"/>
        </w:rPr>
        <w:t>ainsi que</w:t>
      </w:r>
      <w:r w:rsidR="00E82B54" w:rsidRPr="00450879">
        <w:rPr>
          <w:lang w:val="fr-FR"/>
        </w:rPr>
        <w:t xml:space="preserve"> l’élaboration de plans en vue d’activités de surveillance supplémentaires</w:t>
      </w:r>
      <w:r w:rsidR="00945EA0" w:rsidRPr="00450879">
        <w:rPr>
          <w:lang w:val="fr-FR"/>
        </w:rPr>
        <w:t xml:space="preserve">. </w:t>
      </w:r>
    </w:p>
    <w:p w14:paraId="458FBC8D" w14:textId="5A16241D" w:rsidR="00945EA0" w:rsidRPr="00450879" w:rsidRDefault="008908B6" w:rsidP="008908B6">
      <w:pPr>
        <w:pStyle w:val="CH3"/>
        <w:rPr>
          <w:lang w:val="fr-FR"/>
        </w:rPr>
      </w:pPr>
      <w:r w:rsidRPr="00450879">
        <w:rPr>
          <w:lang w:val="fr-FR"/>
        </w:rPr>
        <w:tab/>
        <w:t>3.</w:t>
      </w:r>
      <w:r w:rsidRPr="00450879">
        <w:rPr>
          <w:lang w:val="fr-FR"/>
        </w:rPr>
        <w:tab/>
      </w:r>
      <w:r w:rsidR="00E82B54" w:rsidRPr="00450879">
        <w:rPr>
          <w:lang w:val="fr-FR"/>
        </w:rPr>
        <w:t>Coû</w:t>
      </w:r>
      <w:r w:rsidR="00945EA0" w:rsidRPr="00450879">
        <w:rPr>
          <w:lang w:val="fr-FR"/>
        </w:rPr>
        <w:t>ts</w:t>
      </w:r>
    </w:p>
    <w:p w14:paraId="36414F9B" w14:textId="68D44A42" w:rsidR="00945EA0" w:rsidRPr="00450879" w:rsidRDefault="00E82B54" w:rsidP="00E82B54">
      <w:pPr>
        <w:pStyle w:val="Normalnumber"/>
        <w:numPr>
          <w:ilvl w:val="0"/>
          <w:numId w:val="39"/>
        </w:numPr>
        <w:rPr>
          <w:lang w:val="fr-FR"/>
        </w:rPr>
      </w:pPr>
      <w:r w:rsidRPr="00450879">
        <w:rPr>
          <w:lang w:val="fr-FR"/>
        </w:rPr>
        <w:t>Dans le cadre de la mise en place d’</w:t>
      </w:r>
      <w:r w:rsidR="00945EA0" w:rsidRPr="00450879">
        <w:rPr>
          <w:lang w:val="fr-FR"/>
        </w:rPr>
        <w:t xml:space="preserve">arrangements </w:t>
      </w:r>
      <w:r w:rsidRPr="00450879">
        <w:rPr>
          <w:lang w:val="fr-FR"/>
        </w:rPr>
        <w:t>pour obtenir des données de surveillance comparables, la question des coûts devra être examinée</w:t>
      </w:r>
      <w:r w:rsidR="00945EA0" w:rsidRPr="00450879">
        <w:rPr>
          <w:lang w:val="fr-FR"/>
        </w:rPr>
        <w:t>.</w:t>
      </w:r>
    </w:p>
    <w:p w14:paraId="0297B3BF" w14:textId="71F6A877" w:rsidR="00945EA0" w:rsidRPr="00450879" w:rsidRDefault="00DA5513" w:rsidP="00236C0F">
      <w:pPr>
        <w:pStyle w:val="Normalnumber"/>
        <w:numPr>
          <w:ilvl w:val="0"/>
          <w:numId w:val="39"/>
        </w:numPr>
        <w:rPr>
          <w:lang w:val="fr-FR"/>
        </w:rPr>
      </w:pPr>
      <w:r w:rsidRPr="00450879">
        <w:rPr>
          <w:lang w:val="fr-FR"/>
        </w:rPr>
        <w:t xml:space="preserve">Le processus de compilation des données existantes entraîne des coûts directs au niveau du secrétariat, du temps étant nécessaire pour recueillir les données et </w:t>
      </w:r>
      <w:r w:rsidR="006E72CF">
        <w:rPr>
          <w:lang w:val="fr-FR"/>
        </w:rPr>
        <w:t>établir</w:t>
      </w:r>
      <w:r w:rsidRPr="00450879">
        <w:rPr>
          <w:lang w:val="fr-FR"/>
        </w:rPr>
        <w:t xml:space="preserve"> la compilation</w:t>
      </w:r>
      <w:r w:rsidR="00945EA0" w:rsidRPr="00450879">
        <w:rPr>
          <w:lang w:val="fr-FR"/>
        </w:rPr>
        <w:t>.</w:t>
      </w:r>
      <w:r w:rsidRPr="00450879">
        <w:rPr>
          <w:lang w:val="fr-FR"/>
        </w:rPr>
        <w:t xml:space="preserve"> De plus, des coûts sont supportés par </w:t>
      </w:r>
      <w:r w:rsidR="006E72CF">
        <w:rPr>
          <w:lang w:val="fr-FR"/>
        </w:rPr>
        <w:t>l’ensemble des</w:t>
      </w:r>
      <w:r w:rsidRPr="00450879">
        <w:rPr>
          <w:lang w:val="fr-FR"/>
        </w:rPr>
        <w:t xml:space="preserve"> gouvernements et </w:t>
      </w:r>
      <w:r w:rsidR="006E72CF">
        <w:rPr>
          <w:lang w:val="fr-FR"/>
        </w:rPr>
        <w:t xml:space="preserve">des </w:t>
      </w:r>
      <w:r w:rsidRPr="00450879">
        <w:rPr>
          <w:lang w:val="fr-FR"/>
        </w:rPr>
        <w:t xml:space="preserve">institutions qui répondent aux appels à soumission et fourniture d’informations, le processus de compilation et de soumission requérant </w:t>
      </w:r>
      <w:r w:rsidR="008D4E99" w:rsidRPr="00450879">
        <w:rPr>
          <w:lang w:val="fr-FR"/>
        </w:rPr>
        <w:t>du temps de travail</w:t>
      </w:r>
      <w:r w:rsidR="00945EA0" w:rsidRPr="00450879">
        <w:rPr>
          <w:lang w:val="fr-FR"/>
        </w:rPr>
        <w:t xml:space="preserve">. </w:t>
      </w:r>
    </w:p>
    <w:p w14:paraId="10D74FFA" w14:textId="021CD879" w:rsidR="00945EA0" w:rsidRPr="00450879" w:rsidRDefault="008D4E99" w:rsidP="008D4E99">
      <w:pPr>
        <w:pStyle w:val="Normalnumber"/>
        <w:numPr>
          <w:ilvl w:val="0"/>
          <w:numId w:val="39"/>
        </w:numPr>
        <w:rPr>
          <w:lang w:val="fr-FR"/>
        </w:rPr>
      </w:pPr>
      <w:r w:rsidRPr="00450879">
        <w:rPr>
          <w:lang w:val="fr-FR"/>
        </w:rPr>
        <w:t>Des efforts peuvent être nécessaires pour assurer la comparabilité, idéalement durant le processus de collecte des données et avant leur soumission</w:t>
      </w:r>
      <w:r w:rsidR="00945EA0" w:rsidRPr="00450879">
        <w:rPr>
          <w:lang w:val="fr-FR"/>
        </w:rPr>
        <w:t>.</w:t>
      </w:r>
      <w:r w:rsidRPr="00450879">
        <w:rPr>
          <w:lang w:val="fr-FR"/>
        </w:rPr>
        <w:t xml:space="preserve"> Toutefois, en particulier au cours de la période initiale suivant l’entrée en vigueur, diverses données peuvent être fournies, pour lesquelles la comparabilité devra être déterminée</w:t>
      </w:r>
      <w:r w:rsidR="00945EA0" w:rsidRPr="00450879">
        <w:rPr>
          <w:lang w:val="fr-FR"/>
        </w:rPr>
        <w:t>.</w:t>
      </w:r>
      <w:r w:rsidRPr="00450879">
        <w:rPr>
          <w:lang w:val="fr-FR"/>
        </w:rPr>
        <w:t xml:space="preserve"> À cet effet, il conviendra</w:t>
      </w:r>
      <w:r w:rsidR="006E72CF">
        <w:rPr>
          <w:lang w:val="fr-FR"/>
        </w:rPr>
        <w:t>it</w:t>
      </w:r>
      <w:r w:rsidRPr="00450879">
        <w:rPr>
          <w:lang w:val="fr-FR"/>
        </w:rPr>
        <w:t xml:space="preserve"> peut-être de réaliser une évaluation des données et informations connexes, pouvant nécessiter la contribution d’experts</w:t>
      </w:r>
      <w:r w:rsidR="00945EA0" w:rsidRPr="00450879">
        <w:rPr>
          <w:lang w:val="fr-FR"/>
        </w:rPr>
        <w:t>.</w:t>
      </w:r>
      <w:r w:rsidRPr="00450879">
        <w:rPr>
          <w:lang w:val="fr-FR"/>
        </w:rPr>
        <w:t xml:space="preserve"> Dans le cadre de certains mécanismes (notamment la</w:t>
      </w:r>
      <w:r w:rsidR="00945EA0" w:rsidRPr="00450879">
        <w:rPr>
          <w:lang w:val="fr-FR"/>
        </w:rPr>
        <w:t xml:space="preserve"> </w:t>
      </w:r>
      <w:r w:rsidRPr="00450879">
        <w:rPr>
          <w:lang w:val="fr-FR"/>
        </w:rPr>
        <w:t>Convention sur la pollution atmosphérique transfrontière à longue distance)</w:t>
      </w:r>
      <w:r w:rsidR="00132739" w:rsidRPr="00450879">
        <w:rPr>
          <w:lang w:val="fr-FR"/>
        </w:rPr>
        <w:t>,</w:t>
      </w:r>
      <w:r w:rsidR="00945EA0" w:rsidRPr="00450879">
        <w:rPr>
          <w:lang w:val="fr-FR"/>
        </w:rPr>
        <w:t xml:space="preserve"> </w:t>
      </w:r>
      <w:r w:rsidRPr="00450879">
        <w:rPr>
          <w:lang w:val="fr-FR"/>
        </w:rPr>
        <w:t>des</w:t>
      </w:r>
      <w:r w:rsidR="00945EA0" w:rsidRPr="00450879">
        <w:rPr>
          <w:lang w:val="fr-FR"/>
        </w:rPr>
        <w:t xml:space="preserve"> programmes</w:t>
      </w:r>
      <w:r w:rsidRPr="00450879">
        <w:rPr>
          <w:lang w:val="fr-FR"/>
        </w:rPr>
        <w:t xml:space="preserve"> d’assurance de la qualité sont</w:t>
      </w:r>
      <w:r w:rsidR="00945EA0" w:rsidRPr="00450879">
        <w:rPr>
          <w:lang w:val="fr-FR"/>
        </w:rPr>
        <w:t xml:space="preserve"> </w:t>
      </w:r>
      <w:r w:rsidR="002A1D07">
        <w:rPr>
          <w:lang w:val="fr-FR"/>
        </w:rPr>
        <w:t xml:space="preserve">mis en œuvre, ce qui rend les données plus crédibles </w:t>
      </w:r>
      <w:r w:rsidR="005B6AFE" w:rsidRPr="00450879">
        <w:rPr>
          <w:lang w:val="fr-FR"/>
        </w:rPr>
        <w:t>mais engendre des coûts</w:t>
      </w:r>
      <w:r w:rsidR="00945EA0" w:rsidRPr="00450879">
        <w:rPr>
          <w:lang w:val="fr-FR"/>
        </w:rPr>
        <w:t xml:space="preserve">. </w:t>
      </w:r>
    </w:p>
    <w:p w14:paraId="2F23D608" w14:textId="105E34B1" w:rsidR="00945EA0" w:rsidRPr="00450879" w:rsidRDefault="005B6AFE" w:rsidP="00AB6BEE">
      <w:pPr>
        <w:pStyle w:val="Normalnumber"/>
        <w:numPr>
          <w:ilvl w:val="0"/>
          <w:numId w:val="39"/>
        </w:numPr>
        <w:rPr>
          <w:lang w:val="fr-FR"/>
        </w:rPr>
      </w:pPr>
      <w:r w:rsidRPr="00450879">
        <w:rPr>
          <w:lang w:val="fr-FR"/>
        </w:rPr>
        <w:t xml:space="preserve">Les réunions d’experts </w:t>
      </w:r>
      <w:r w:rsidR="004B446D" w:rsidRPr="00450879">
        <w:rPr>
          <w:lang w:val="fr-FR"/>
        </w:rPr>
        <w:t>entraînent</w:t>
      </w:r>
      <w:r w:rsidRPr="00450879">
        <w:rPr>
          <w:lang w:val="fr-FR"/>
        </w:rPr>
        <w:t xml:space="preserve"> des coûts financiers, notamment en raison de l’aide apportée </w:t>
      </w:r>
      <w:r w:rsidR="002A1D07">
        <w:rPr>
          <w:lang w:val="fr-FR"/>
        </w:rPr>
        <w:t xml:space="preserve">au titre des </w:t>
      </w:r>
      <w:r w:rsidRPr="00450879">
        <w:rPr>
          <w:lang w:val="fr-FR"/>
        </w:rPr>
        <w:t>voyages des participants et des coûts associés aux travaux du secrétariat</w:t>
      </w:r>
      <w:r w:rsidR="00945EA0" w:rsidRPr="00450879">
        <w:rPr>
          <w:lang w:val="fr-FR"/>
        </w:rPr>
        <w:t>.</w:t>
      </w:r>
      <w:r w:rsidR="00684425" w:rsidRPr="00450879">
        <w:rPr>
          <w:lang w:val="fr-FR"/>
        </w:rPr>
        <w:t xml:space="preserve"> Des coûts sont également supportés pour le temps investi par les experts, notamment pour réaliser les travaux préparatoires, élaborer les documents, effectuer la révision et l’édition et participer aux réunions</w:t>
      </w:r>
      <w:r w:rsidR="00945EA0" w:rsidRPr="00450879">
        <w:rPr>
          <w:lang w:val="fr-FR"/>
        </w:rPr>
        <w:t xml:space="preserve">. </w:t>
      </w:r>
    </w:p>
    <w:p w14:paraId="0CD6C1D5" w14:textId="7C975455" w:rsidR="00945EA0" w:rsidRPr="00450879" w:rsidRDefault="002A1D07" w:rsidP="00684425">
      <w:pPr>
        <w:pStyle w:val="Normalnumber"/>
        <w:numPr>
          <w:ilvl w:val="0"/>
          <w:numId w:val="39"/>
        </w:numPr>
        <w:rPr>
          <w:lang w:val="fr-FR"/>
        </w:rPr>
      </w:pPr>
      <w:r>
        <w:rPr>
          <w:lang w:val="fr-FR"/>
        </w:rPr>
        <w:t xml:space="preserve">Comme énoncé au </w:t>
      </w:r>
      <w:r w:rsidR="00684425" w:rsidRPr="00450879">
        <w:rPr>
          <w:lang w:val="fr-FR"/>
        </w:rPr>
        <w:t>paragraphe </w:t>
      </w:r>
      <w:r w:rsidR="001E53BD" w:rsidRPr="00450879">
        <w:rPr>
          <w:lang w:val="fr-FR"/>
        </w:rPr>
        <w:t xml:space="preserve">3 </w:t>
      </w:r>
      <w:r w:rsidR="00684425" w:rsidRPr="00450879">
        <w:rPr>
          <w:lang w:val="fr-FR"/>
        </w:rPr>
        <w:t>de l’</w:t>
      </w:r>
      <w:r w:rsidR="001E53BD" w:rsidRPr="00450879">
        <w:rPr>
          <w:lang w:val="fr-FR"/>
        </w:rPr>
        <w:t>a</w:t>
      </w:r>
      <w:r w:rsidR="00684425" w:rsidRPr="00450879">
        <w:rPr>
          <w:lang w:val="fr-FR"/>
        </w:rPr>
        <w:t>rticle </w:t>
      </w:r>
      <w:r w:rsidR="00945EA0" w:rsidRPr="00450879">
        <w:rPr>
          <w:lang w:val="fr-FR"/>
        </w:rPr>
        <w:t xml:space="preserve">22, </w:t>
      </w:r>
      <w:r w:rsidR="00684425" w:rsidRPr="00450879">
        <w:rPr>
          <w:lang w:val="fr-FR"/>
        </w:rPr>
        <w:t>l’évaluation est effectuée sur la base des informations disponibles</w:t>
      </w:r>
      <w:r w:rsidR="00945EA0" w:rsidRPr="00450879">
        <w:rPr>
          <w:lang w:val="fr-FR"/>
        </w:rPr>
        <w:t xml:space="preserve">. </w:t>
      </w:r>
      <w:r w:rsidR="00684425" w:rsidRPr="00450879">
        <w:rPr>
          <w:lang w:val="fr-FR"/>
        </w:rPr>
        <w:t>Par conséquent</w:t>
      </w:r>
      <w:r w:rsidR="00945EA0" w:rsidRPr="00450879">
        <w:rPr>
          <w:lang w:val="fr-FR"/>
        </w:rPr>
        <w:t>,</w:t>
      </w:r>
      <w:r w:rsidR="00684425" w:rsidRPr="00450879">
        <w:rPr>
          <w:lang w:val="fr-FR"/>
        </w:rPr>
        <w:t xml:space="preserve"> les systèmes de surveillance qui existent aux niveaux national, régional et mondial serviront de base à la mise en place d’arrangements pour obtenir des données de surveillance comparables</w:t>
      </w:r>
      <w:r w:rsidR="00945EA0" w:rsidRPr="00450879">
        <w:rPr>
          <w:lang w:val="fr-FR"/>
        </w:rPr>
        <w:t>.</w:t>
      </w:r>
      <w:r w:rsidR="00684425" w:rsidRPr="00450879">
        <w:rPr>
          <w:lang w:val="fr-FR"/>
        </w:rPr>
        <w:t xml:space="preserve"> Si la Conférence des Parties décide que des activités de surveillance supplémentaires faciliteront l’évaluation de l’efficacité, les coûts engendrés par de telles activités</w:t>
      </w:r>
      <w:r w:rsidR="004B446D" w:rsidRPr="00450879">
        <w:rPr>
          <w:lang w:val="fr-FR"/>
        </w:rPr>
        <w:t>, sur une base ponctuelle ou permanente, devraient être pris en considération</w:t>
      </w:r>
      <w:r w:rsidR="00945EA0" w:rsidRPr="00450879">
        <w:rPr>
          <w:lang w:val="fr-FR"/>
        </w:rPr>
        <w:t xml:space="preserve">. </w:t>
      </w:r>
    </w:p>
    <w:p w14:paraId="3AEE86DA" w14:textId="240AC492" w:rsidR="00945EA0" w:rsidRPr="00450879" w:rsidRDefault="004B446D" w:rsidP="00040D2B">
      <w:pPr>
        <w:pStyle w:val="Normalnumber"/>
        <w:numPr>
          <w:ilvl w:val="0"/>
          <w:numId w:val="39"/>
        </w:numPr>
        <w:rPr>
          <w:lang w:val="fr-FR"/>
        </w:rPr>
      </w:pPr>
      <w:r w:rsidRPr="00450879">
        <w:rPr>
          <w:lang w:val="fr-FR"/>
        </w:rPr>
        <w:t xml:space="preserve">Toute activité de surveillance supplémentaire mise en place par la Conférence des Parties entraînera des coûts, tout comme les activités que les gouvernements jugeront nécessaires </w:t>
      </w:r>
      <w:r w:rsidR="002A1D07">
        <w:rPr>
          <w:lang w:val="fr-FR"/>
        </w:rPr>
        <w:t xml:space="preserve">de mener </w:t>
      </w:r>
      <w:r w:rsidRPr="00450879">
        <w:rPr>
          <w:lang w:val="fr-FR"/>
        </w:rPr>
        <w:t xml:space="preserve">au niveau national </w:t>
      </w:r>
      <w:r w:rsidR="002A1D07">
        <w:rPr>
          <w:lang w:val="fr-FR"/>
        </w:rPr>
        <w:t xml:space="preserve">pour mettre </w:t>
      </w:r>
      <w:r w:rsidRPr="00450879">
        <w:rPr>
          <w:lang w:val="fr-FR"/>
        </w:rPr>
        <w:t>en œuvre la</w:t>
      </w:r>
      <w:r w:rsidR="00945EA0" w:rsidRPr="00450879">
        <w:rPr>
          <w:lang w:val="fr-FR"/>
        </w:rPr>
        <w:t xml:space="preserve"> Convention. </w:t>
      </w:r>
      <w:r w:rsidRPr="00450879">
        <w:rPr>
          <w:lang w:val="fr-FR"/>
        </w:rPr>
        <w:t>L’adoption</w:t>
      </w:r>
      <w:r w:rsidR="00945EA0" w:rsidRPr="00450879">
        <w:rPr>
          <w:lang w:val="fr-FR"/>
        </w:rPr>
        <w:t xml:space="preserve"> </w:t>
      </w:r>
      <w:r w:rsidRPr="00450879">
        <w:rPr>
          <w:lang w:val="fr-FR"/>
        </w:rPr>
        <w:t>de stratégies de surveillance régionales peut réduire ces coûts</w:t>
      </w:r>
      <w:r w:rsidR="00945EA0" w:rsidRPr="00450879">
        <w:rPr>
          <w:lang w:val="fr-FR"/>
        </w:rPr>
        <w:t xml:space="preserve"> </w:t>
      </w:r>
      <w:r w:rsidRPr="00450879">
        <w:rPr>
          <w:lang w:val="fr-FR"/>
        </w:rPr>
        <w:t>au niveau de chaque pays et aboutir à une amélioration de l’</w:t>
      </w:r>
      <w:r w:rsidR="003C1C8B" w:rsidRPr="00450879">
        <w:rPr>
          <w:lang w:val="fr-FR"/>
        </w:rPr>
        <w:t>efficacité</w:t>
      </w:r>
      <w:r w:rsidR="00945EA0" w:rsidRPr="00450879">
        <w:rPr>
          <w:lang w:val="fr-FR"/>
        </w:rPr>
        <w:t xml:space="preserve">. </w:t>
      </w:r>
      <w:r w:rsidR="003C1C8B" w:rsidRPr="00450879">
        <w:rPr>
          <w:lang w:val="fr-FR"/>
        </w:rPr>
        <w:t>La durabilité des activités de surveillance nécessitera un certain niveau d’engagement, en particulier pour assurer un renforcement approprié des capacités, une formation adaptée, une collecte régulière des données et une analyse adéquate de ces dernières</w:t>
      </w:r>
      <w:r w:rsidR="00945EA0" w:rsidRPr="00450879">
        <w:rPr>
          <w:lang w:val="fr-FR"/>
        </w:rPr>
        <w:t xml:space="preserve">. </w:t>
      </w:r>
    </w:p>
    <w:p w14:paraId="11DE90B9" w14:textId="1D99871A" w:rsidR="00945EA0" w:rsidRPr="00450879" w:rsidRDefault="00945EA0" w:rsidP="008908B6">
      <w:pPr>
        <w:pStyle w:val="CH2"/>
        <w:rPr>
          <w:bCs/>
          <w:lang w:val="fr-FR"/>
        </w:rPr>
      </w:pPr>
      <w:r w:rsidRPr="00450879">
        <w:rPr>
          <w:bCs/>
          <w:lang w:val="fr-FR"/>
        </w:rPr>
        <w:tab/>
        <w:t>B</w:t>
      </w:r>
      <w:r w:rsidR="009E591D" w:rsidRPr="00450879">
        <w:rPr>
          <w:bCs/>
          <w:lang w:val="fr-FR"/>
        </w:rPr>
        <w:t>.</w:t>
      </w:r>
      <w:r w:rsidRPr="00450879">
        <w:rPr>
          <w:bCs/>
          <w:lang w:val="fr-FR"/>
        </w:rPr>
        <w:tab/>
      </w:r>
      <w:r w:rsidR="00CE7537" w:rsidRPr="00450879">
        <w:rPr>
          <w:bCs/>
          <w:lang w:val="fr-FR"/>
        </w:rPr>
        <w:t>Références pour évaluer les données de base</w:t>
      </w:r>
    </w:p>
    <w:p w14:paraId="2262D1F7" w14:textId="05D53C1B" w:rsidR="00945EA0" w:rsidRPr="00450879" w:rsidRDefault="00CE7537" w:rsidP="00DD2AFA">
      <w:pPr>
        <w:pStyle w:val="Normalnumber"/>
        <w:numPr>
          <w:ilvl w:val="0"/>
          <w:numId w:val="39"/>
        </w:numPr>
        <w:rPr>
          <w:lang w:val="fr-FR"/>
        </w:rPr>
      </w:pPr>
      <w:r w:rsidRPr="00450879">
        <w:rPr>
          <w:lang w:val="fr-FR"/>
        </w:rPr>
        <w:t xml:space="preserve">Afin de déterminer s’il y a des changements </w:t>
      </w:r>
      <w:r w:rsidR="006E72CF">
        <w:rPr>
          <w:lang w:val="fr-FR"/>
        </w:rPr>
        <w:t>au niveau des</w:t>
      </w:r>
      <w:r w:rsidRPr="00450879">
        <w:rPr>
          <w:lang w:val="fr-FR"/>
        </w:rPr>
        <w:t xml:space="preserve"> concentrations de mercure</w:t>
      </w:r>
      <w:r w:rsidR="00945EA0" w:rsidRPr="00450879">
        <w:rPr>
          <w:lang w:val="fr-FR"/>
        </w:rPr>
        <w:t xml:space="preserve"> </w:t>
      </w:r>
      <w:r w:rsidRPr="00450879">
        <w:rPr>
          <w:lang w:val="fr-FR"/>
        </w:rPr>
        <w:t xml:space="preserve">et de composés du mercure dans l’environnement, des décisions devront être prises </w:t>
      </w:r>
      <w:r w:rsidR="002A1D07">
        <w:rPr>
          <w:lang w:val="fr-FR"/>
        </w:rPr>
        <w:t xml:space="preserve">pour déterminer </w:t>
      </w:r>
      <w:r w:rsidR="006E72CF">
        <w:rPr>
          <w:lang w:val="fr-FR"/>
        </w:rPr>
        <w:t>les</w:t>
      </w:r>
      <w:r w:rsidRPr="00450879">
        <w:rPr>
          <w:lang w:val="fr-FR"/>
        </w:rPr>
        <w:t xml:space="preserve"> chiffres comparatifs ou </w:t>
      </w:r>
      <w:r w:rsidR="006E72CF">
        <w:rPr>
          <w:lang w:val="fr-FR"/>
        </w:rPr>
        <w:t xml:space="preserve">les </w:t>
      </w:r>
      <w:r w:rsidRPr="00450879">
        <w:rPr>
          <w:lang w:val="fr-FR"/>
        </w:rPr>
        <w:t xml:space="preserve">données de </w:t>
      </w:r>
      <w:r w:rsidR="00432755">
        <w:rPr>
          <w:lang w:val="fr-FR"/>
        </w:rPr>
        <w:t>base</w:t>
      </w:r>
      <w:r w:rsidR="006E72CF">
        <w:rPr>
          <w:lang w:val="fr-FR"/>
        </w:rPr>
        <w:t xml:space="preserve"> devant être utilisés</w:t>
      </w:r>
      <w:r w:rsidR="00945EA0" w:rsidRPr="00450879">
        <w:rPr>
          <w:lang w:val="fr-FR"/>
        </w:rPr>
        <w:t>.</w:t>
      </w:r>
      <w:r w:rsidRPr="00450879">
        <w:rPr>
          <w:lang w:val="fr-FR"/>
        </w:rPr>
        <w:t xml:space="preserve"> Une fois que la première évaluation formelle des concentrations de mercure aura été réalisée au titre de la Convention, </w:t>
      </w:r>
      <w:r w:rsidR="00CD72C5">
        <w:rPr>
          <w:lang w:val="fr-FR"/>
        </w:rPr>
        <w:t>les résultats pourront être utilisés</w:t>
      </w:r>
      <w:r w:rsidRPr="00450879">
        <w:rPr>
          <w:lang w:val="fr-FR"/>
        </w:rPr>
        <w:t xml:space="preserve"> à des fins de comparaison avec des évaluations ultérieures</w:t>
      </w:r>
      <w:r w:rsidR="00945EA0" w:rsidRPr="00450879">
        <w:rPr>
          <w:lang w:val="fr-FR"/>
        </w:rPr>
        <w:t>.</w:t>
      </w:r>
      <w:r w:rsidRPr="00450879">
        <w:rPr>
          <w:lang w:val="fr-FR"/>
        </w:rPr>
        <w:t xml:space="preserve"> Toutefois, pour examiner tout changement dans le cadre de la première évaluation, la Conférence des Parties </w:t>
      </w:r>
      <w:r w:rsidR="002216D7" w:rsidRPr="00450879">
        <w:rPr>
          <w:lang w:val="fr-FR"/>
        </w:rPr>
        <w:t xml:space="preserve">devra peut-être choisir les données de </w:t>
      </w:r>
      <w:r w:rsidR="00432755">
        <w:rPr>
          <w:lang w:val="fr-FR"/>
        </w:rPr>
        <w:t>base</w:t>
      </w:r>
      <w:r w:rsidR="002216D7" w:rsidRPr="00450879">
        <w:rPr>
          <w:lang w:val="fr-FR"/>
        </w:rPr>
        <w:t xml:space="preserve"> qu’il conviendrait d’établir et décider si celles-ci devraient être établies sur une base nationale ou mondiale</w:t>
      </w:r>
      <w:r w:rsidR="00945EA0" w:rsidRPr="00450879">
        <w:rPr>
          <w:lang w:val="fr-FR"/>
        </w:rPr>
        <w:t>.</w:t>
      </w:r>
      <w:r w:rsidR="002216D7" w:rsidRPr="00450879">
        <w:rPr>
          <w:lang w:val="fr-FR"/>
        </w:rPr>
        <w:t xml:space="preserve"> En outre, </w:t>
      </w:r>
      <w:proofErr w:type="gramStart"/>
      <w:r w:rsidR="00040F3A" w:rsidRPr="00450879">
        <w:rPr>
          <w:lang w:val="fr-FR"/>
        </w:rPr>
        <w:t>une attention particulière</w:t>
      </w:r>
      <w:proofErr w:type="gramEnd"/>
      <w:r w:rsidR="00040F3A" w:rsidRPr="00450879">
        <w:rPr>
          <w:lang w:val="fr-FR"/>
        </w:rPr>
        <w:t xml:space="preserve"> doit être accordée à la question de savoir si les données de base sont </w:t>
      </w:r>
      <w:r w:rsidR="000206E3" w:rsidRPr="00450879">
        <w:rPr>
          <w:lang w:val="fr-FR"/>
        </w:rPr>
        <w:t>mises en place</w:t>
      </w:r>
      <w:r w:rsidR="00040F3A" w:rsidRPr="00450879">
        <w:rPr>
          <w:lang w:val="fr-FR"/>
        </w:rPr>
        <w:t xml:space="preserve"> sur une base individuelle pour chaque site ou sur une base </w:t>
      </w:r>
      <w:r w:rsidR="000206E3" w:rsidRPr="00450879">
        <w:rPr>
          <w:lang w:val="fr-FR"/>
        </w:rPr>
        <w:t xml:space="preserve">provinciale, nationale, </w:t>
      </w:r>
      <w:proofErr w:type="spellStart"/>
      <w:r w:rsidR="000206E3" w:rsidRPr="00450879">
        <w:rPr>
          <w:lang w:val="fr-FR"/>
        </w:rPr>
        <w:t>sous-régionale</w:t>
      </w:r>
      <w:proofErr w:type="spellEnd"/>
      <w:r w:rsidR="000206E3" w:rsidRPr="00450879">
        <w:rPr>
          <w:lang w:val="fr-FR"/>
        </w:rPr>
        <w:t>, régionale ou mondiale</w:t>
      </w:r>
      <w:r w:rsidR="00945EA0" w:rsidRPr="00450879">
        <w:rPr>
          <w:lang w:val="fr-FR"/>
        </w:rPr>
        <w:t>.</w:t>
      </w:r>
      <w:r w:rsidR="000206E3" w:rsidRPr="00450879">
        <w:rPr>
          <w:lang w:val="fr-FR"/>
        </w:rPr>
        <w:t xml:space="preserve"> Les données de base pourraient également </w:t>
      </w:r>
      <w:r w:rsidR="00A6317E">
        <w:rPr>
          <w:lang w:val="fr-FR"/>
        </w:rPr>
        <w:t>être fondées sur</w:t>
      </w:r>
      <w:r w:rsidR="00CD72C5">
        <w:rPr>
          <w:lang w:val="fr-FR"/>
        </w:rPr>
        <w:t xml:space="preserve"> des relevés effectués</w:t>
      </w:r>
      <w:r w:rsidR="000206E3" w:rsidRPr="00450879">
        <w:rPr>
          <w:lang w:val="fr-FR"/>
        </w:rPr>
        <w:t xml:space="preserve"> un moment précis</w:t>
      </w:r>
      <w:r w:rsidR="00CD72C5">
        <w:rPr>
          <w:lang w:val="fr-FR"/>
        </w:rPr>
        <w:t>, aux fins d’une application</w:t>
      </w:r>
      <w:r w:rsidR="00DD2AFA" w:rsidRPr="00450879">
        <w:rPr>
          <w:lang w:val="fr-FR"/>
        </w:rPr>
        <w:t xml:space="preserve"> dans </w:t>
      </w:r>
      <w:r w:rsidR="00A6317E">
        <w:rPr>
          <w:lang w:val="fr-FR"/>
        </w:rPr>
        <w:t>différentes</w:t>
      </w:r>
      <w:r w:rsidR="00DD2AFA" w:rsidRPr="00450879">
        <w:rPr>
          <w:lang w:val="fr-FR"/>
        </w:rPr>
        <w:t xml:space="preserve"> zones géographiques</w:t>
      </w:r>
      <w:r w:rsidR="00945EA0" w:rsidRPr="00450879">
        <w:rPr>
          <w:lang w:val="fr-FR"/>
        </w:rPr>
        <w:t xml:space="preserve">. </w:t>
      </w:r>
      <w:r w:rsidR="00DD2AFA" w:rsidRPr="00450879">
        <w:rPr>
          <w:lang w:val="fr-FR"/>
        </w:rPr>
        <w:t>De plus, la modélisation ou la comparaison de concentrations au fil du temps sera nécessaire pour déterminer les tendances des concentrations de mercure et de composés du mercure observées dans les milieux biotiques et chez les populations vulnérables</w:t>
      </w:r>
      <w:r w:rsidR="0031280A" w:rsidRPr="00450879">
        <w:rPr>
          <w:lang w:val="fr-FR"/>
        </w:rPr>
        <w:t>.</w:t>
      </w:r>
    </w:p>
    <w:p w14:paraId="441DB285" w14:textId="360343FF" w:rsidR="00945EA0" w:rsidRPr="00450879" w:rsidRDefault="003F0490" w:rsidP="00723529">
      <w:pPr>
        <w:pStyle w:val="Normalnumber"/>
        <w:numPr>
          <w:ilvl w:val="0"/>
          <w:numId w:val="39"/>
        </w:numPr>
        <w:rPr>
          <w:lang w:val="fr-FR"/>
        </w:rPr>
      </w:pPr>
      <w:r w:rsidRPr="00450879">
        <w:rPr>
          <w:lang w:val="fr-FR"/>
        </w:rPr>
        <w:t>La</w:t>
      </w:r>
      <w:r w:rsidR="00945EA0" w:rsidRPr="00450879">
        <w:rPr>
          <w:lang w:val="fr-FR"/>
        </w:rPr>
        <w:t xml:space="preserve"> Convention </w:t>
      </w:r>
      <w:r w:rsidRPr="00450879">
        <w:rPr>
          <w:lang w:val="fr-FR"/>
        </w:rPr>
        <w:t xml:space="preserve">ne contient pas d’obligation de réduction </w:t>
      </w:r>
      <w:r w:rsidR="00723529" w:rsidRPr="00450879">
        <w:rPr>
          <w:lang w:val="fr-FR"/>
        </w:rPr>
        <w:t xml:space="preserve">à une date précise </w:t>
      </w:r>
      <w:r w:rsidR="002A1D07">
        <w:rPr>
          <w:lang w:val="fr-FR"/>
        </w:rPr>
        <w:t>s’agissant d</w:t>
      </w:r>
      <w:r w:rsidRPr="00450879">
        <w:rPr>
          <w:lang w:val="fr-FR"/>
        </w:rPr>
        <w:t>es concentrations de mercure et la question des données de base n’a pas été négociée</w:t>
      </w:r>
      <w:r w:rsidR="00945EA0" w:rsidRPr="00450879">
        <w:rPr>
          <w:lang w:val="fr-FR"/>
        </w:rPr>
        <w:t xml:space="preserve">. </w:t>
      </w:r>
      <w:r w:rsidR="00723529" w:rsidRPr="00450879">
        <w:rPr>
          <w:lang w:val="fr-FR"/>
        </w:rPr>
        <w:t>Il existe un certain nombre d’options qui pourraient être examinées</w:t>
      </w:r>
      <w:r w:rsidR="00945EA0" w:rsidRPr="00450879">
        <w:rPr>
          <w:lang w:val="fr-FR"/>
        </w:rPr>
        <w:t xml:space="preserve">.  </w:t>
      </w:r>
    </w:p>
    <w:p w14:paraId="42565E3A" w14:textId="4D35B878" w:rsidR="00945EA0" w:rsidRPr="00450879" w:rsidRDefault="00723529">
      <w:pPr>
        <w:pStyle w:val="Normalnumber"/>
        <w:numPr>
          <w:ilvl w:val="0"/>
          <w:numId w:val="39"/>
        </w:numPr>
        <w:rPr>
          <w:lang w:val="fr-FR"/>
        </w:rPr>
      </w:pPr>
      <w:r w:rsidRPr="00450879">
        <w:rPr>
          <w:lang w:val="fr-FR"/>
        </w:rPr>
        <w:t>La Conférence des Parties pourrait décider de ne pas établir de données de base pour la période précédant l’entrée en vigueur de la Convention</w:t>
      </w:r>
      <w:r w:rsidR="002A1D07">
        <w:rPr>
          <w:lang w:val="fr-FR"/>
        </w:rPr>
        <w:t>,</w:t>
      </w:r>
      <w:r w:rsidRPr="00450879">
        <w:rPr>
          <w:lang w:val="fr-FR"/>
        </w:rPr>
        <w:t xml:space="preserve"> mais plutôt d’utiliser la première évaluation comme base pour des comparaisons futures</w:t>
      </w:r>
      <w:r w:rsidR="00945EA0" w:rsidRPr="00450879">
        <w:rPr>
          <w:lang w:val="fr-FR"/>
        </w:rPr>
        <w:t>.</w:t>
      </w:r>
      <w:r w:rsidR="00674800" w:rsidRPr="00450879">
        <w:rPr>
          <w:lang w:val="fr-FR"/>
        </w:rPr>
        <w:t xml:space="preserve"> Ce processus limiterait</w:t>
      </w:r>
      <w:r w:rsidRPr="00450879">
        <w:rPr>
          <w:lang w:val="fr-FR"/>
        </w:rPr>
        <w:t xml:space="preserve">, dans un premier temps, l’évaluation de l’efficacité de la Convention, dans la mesure où ce n’est qu’à partir de la deuxième évaluation </w:t>
      </w:r>
      <w:r w:rsidR="00674800" w:rsidRPr="00450879">
        <w:rPr>
          <w:lang w:val="fr-FR"/>
        </w:rPr>
        <w:t>qu’il sera</w:t>
      </w:r>
      <w:r w:rsidR="002A1D07">
        <w:rPr>
          <w:lang w:val="fr-FR"/>
        </w:rPr>
        <w:t>it</w:t>
      </w:r>
      <w:r w:rsidR="00674800" w:rsidRPr="00450879">
        <w:rPr>
          <w:lang w:val="fr-FR"/>
        </w:rPr>
        <w:t xml:space="preserve"> possible de déterminer s’il y a eu des changements </w:t>
      </w:r>
      <w:r w:rsidR="004F46DF">
        <w:rPr>
          <w:lang w:val="fr-FR"/>
        </w:rPr>
        <w:t>au niveau des</w:t>
      </w:r>
      <w:r w:rsidR="00674800" w:rsidRPr="00450879">
        <w:rPr>
          <w:lang w:val="fr-FR"/>
        </w:rPr>
        <w:t xml:space="preserve"> concentrations de mercure dans l’environnement ou dans les biotes</w:t>
      </w:r>
      <w:r w:rsidR="00945EA0" w:rsidRPr="00450879">
        <w:rPr>
          <w:lang w:val="fr-FR"/>
        </w:rPr>
        <w:t>.</w:t>
      </w:r>
      <w:r w:rsidR="00674800" w:rsidRPr="00450879">
        <w:rPr>
          <w:lang w:val="fr-FR"/>
        </w:rPr>
        <w:t xml:space="preserve"> </w:t>
      </w:r>
      <w:r w:rsidR="004F46DF">
        <w:rPr>
          <w:lang w:val="fr-FR"/>
        </w:rPr>
        <w:t>Alors que</w:t>
      </w:r>
      <w:r w:rsidR="00674800" w:rsidRPr="00450879">
        <w:rPr>
          <w:lang w:val="fr-FR"/>
        </w:rPr>
        <w:t xml:space="preserve"> ce processus a été utilisé dans d’autres conventions, la disponibilité d’informations sur les concentrations de mercure dans l’environnement pourrait signifier que d’autres démarches peuvent être adoptées</w:t>
      </w:r>
      <w:r w:rsidR="000970CD" w:rsidRPr="00450879">
        <w:rPr>
          <w:lang w:val="fr-FR"/>
        </w:rPr>
        <w:t>.</w:t>
      </w:r>
    </w:p>
    <w:p w14:paraId="06699C9C" w14:textId="56952898" w:rsidR="00945EA0" w:rsidRPr="00450879" w:rsidRDefault="005333AB" w:rsidP="009B3A42">
      <w:pPr>
        <w:pStyle w:val="Normalnumber"/>
        <w:numPr>
          <w:ilvl w:val="0"/>
          <w:numId w:val="39"/>
        </w:numPr>
        <w:rPr>
          <w:lang w:val="fr-FR"/>
        </w:rPr>
      </w:pPr>
      <w:r w:rsidRPr="00450879">
        <w:rPr>
          <w:lang w:val="fr-FR"/>
        </w:rPr>
        <w:t xml:space="preserve">La Conférence des Parties pourrait décider que, lorsqu’elles sont disponibles, les informations soumises </w:t>
      </w:r>
      <w:r w:rsidR="002A1D07">
        <w:rPr>
          <w:lang w:val="fr-FR"/>
        </w:rPr>
        <w:t xml:space="preserve">dans le cadre </w:t>
      </w:r>
      <w:r w:rsidR="00235B14" w:rsidRPr="00450879">
        <w:rPr>
          <w:lang w:val="fr-FR"/>
        </w:rPr>
        <w:t>d’autres processus formels pourraient servir de base</w:t>
      </w:r>
      <w:r w:rsidR="004F46DF">
        <w:rPr>
          <w:lang w:val="fr-FR"/>
        </w:rPr>
        <w:t xml:space="preserve"> pour établir d</w:t>
      </w:r>
      <w:r w:rsidR="00235B14" w:rsidRPr="00450879">
        <w:rPr>
          <w:lang w:val="fr-FR"/>
        </w:rPr>
        <w:t>es données de base</w:t>
      </w:r>
      <w:r w:rsidR="00945EA0" w:rsidRPr="00450879">
        <w:rPr>
          <w:lang w:val="fr-FR"/>
        </w:rPr>
        <w:t xml:space="preserve">. </w:t>
      </w:r>
      <w:r w:rsidR="00235B14" w:rsidRPr="00450879">
        <w:rPr>
          <w:lang w:val="fr-FR"/>
        </w:rPr>
        <w:t>Il pourrait s’agir d’informations examinées par la Convention sur la pollution atmosphérique transfrontière à longue distance et d’</w:t>
      </w:r>
      <w:r w:rsidR="00945EA0" w:rsidRPr="00450879">
        <w:rPr>
          <w:lang w:val="fr-FR"/>
        </w:rPr>
        <w:t>information</w:t>
      </w:r>
      <w:r w:rsidR="00235B14" w:rsidRPr="00450879">
        <w:rPr>
          <w:lang w:val="fr-FR"/>
        </w:rPr>
        <w:t xml:space="preserve">s provenant du Réseau de surveillance du mercure </w:t>
      </w:r>
      <w:r w:rsidR="002A1D07">
        <w:rPr>
          <w:lang w:val="fr-FR"/>
        </w:rPr>
        <w:t xml:space="preserve">en </w:t>
      </w:r>
      <w:r w:rsidR="00235B14" w:rsidRPr="00450879">
        <w:rPr>
          <w:lang w:val="fr-FR"/>
        </w:rPr>
        <w:t>Asie-Pacifique ou du</w:t>
      </w:r>
      <w:r w:rsidR="00945EA0" w:rsidRPr="00450879">
        <w:rPr>
          <w:lang w:val="fr-FR"/>
        </w:rPr>
        <w:t xml:space="preserve"> </w:t>
      </w:r>
      <w:r w:rsidR="00AF7884" w:rsidRPr="00450879">
        <w:rPr>
          <w:lang w:val="fr-FR"/>
        </w:rPr>
        <w:t>Programme de surveillance et d’évaluation de l’</w:t>
      </w:r>
      <w:r w:rsidR="00235B14" w:rsidRPr="00450879">
        <w:rPr>
          <w:lang w:val="fr-FR"/>
        </w:rPr>
        <w:t>Arctique</w:t>
      </w:r>
      <w:r w:rsidR="00945EA0" w:rsidRPr="00450879">
        <w:rPr>
          <w:lang w:val="fr-FR"/>
        </w:rPr>
        <w:t xml:space="preserve">. </w:t>
      </w:r>
      <w:r w:rsidR="00AF7884" w:rsidRPr="00450879">
        <w:rPr>
          <w:lang w:val="fr-FR"/>
        </w:rPr>
        <w:t xml:space="preserve">Lorsque de telles informations ne sont pas disponibles, il peut </w:t>
      </w:r>
      <w:r w:rsidR="004F46DF">
        <w:rPr>
          <w:lang w:val="fr-FR"/>
        </w:rPr>
        <w:t>être envisagé</w:t>
      </w:r>
      <w:r w:rsidR="00AF7884" w:rsidRPr="00450879">
        <w:rPr>
          <w:lang w:val="fr-FR"/>
        </w:rPr>
        <w:t xml:space="preserve"> d’</w:t>
      </w:r>
      <w:r w:rsidR="004F46DF">
        <w:rPr>
          <w:lang w:val="fr-FR"/>
        </w:rPr>
        <w:t>utiliser l</w:t>
      </w:r>
      <w:r w:rsidR="00AF7884" w:rsidRPr="00450879">
        <w:rPr>
          <w:lang w:val="fr-FR"/>
        </w:rPr>
        <w:t>es données nationales disponibles qui sont représentatives des tendances mondiales</w:t>
      </w:r>
      <w:r w:rsidR="00945EA0" w:rsidRPr="00450879">
        <w:rPr>
          <w:lang w:val="fr-FR"/>
        </w:rPr>
        <w:t>.</w:t>
      </w:r>
      <w:r w:rsidR="00AF7884" w:rsidRPr="00450879">
        <w:rPr>
          <w:lang w:val="fr-FR"/>
        </w:rPr>
        <w:t xml:space="preserve"> </w:t>
      </w:r>
      <w:r w:rsidR="009B3A42" w:rsidRPr="00450879">
        <w:rPr>
          <w:lang w:val="fr-FR"/>
        </w:rPr>
        <w:t>Une coordination et une coopération dans le cadre de forums tels que le volet de recherche sur le devenir et la propagation atmosphériques du Partenariat mondial sur le mercure du PNUE pourraient contribuer à l’obtention des</w:t>
      </w:r>
      <w:r w:rsidR="00AF7884" w:rsidRPr="00450879">
        <w:rPr>
          <w:lang w:val="fr-FR"/>
        </w:rPr>
        <w:t xml:space="preserve"> informations nécessaires pour établir des données de base</w:t>
      </w:r>
      <w:r w:rsidR="00945EA0" w:rsidRPr="00450879">
        <w:rPr>
          <w:lang w:val="fr-FR"/>
        </w:rPr>
        <w:t xml:space="preserve">.  </w:t>
      </w:r>
    </w:p>
    <w:p w14:paraId="1CA9AF5E" w14:textId="5C58FC06" w:rsidR="00945EA0" w:rsidRPr="00450879" w:rsidRDefault="009B3A42" w:rsidP="00FE457E">
      <w:pPr>
        <w:pStyle w:val="Normalnumber"/>
        <w:numPr>
          <w:ilvl w:val="0"/>
          <w:numId w:val="39"/>
        </w:numPr>
        <w:rPr>
          <w:lang w:val="fr-FR"/>
        </w:rPr>
      </w:pPr>
      <w:r w:rsidRPr="00450879">
        <w:rPr>
          <w:lang w:val="fr-FR"/>
        </w:rPr>
        <w:t>Des informations sur les émissions et les rejets de mercure au niveau mondial et sur les concentrations dans l’environnement sont disponibles dans</w:t>
      </w:r>
      <w:r w:rsidR="00DA724A" w:rsidRPr="00450879">
        <w:rPr>
          <w:lang w:val="fr-FR"/>
        </w:rPr>
        <w:t xml:space="preserve"> </w:t>
      </w:r>
      <w:r w:rsidRPr="00450879">
        <w:rPr>
          <w:lang w:val="fr-FR"/>
        </w:rPr>
        <w:t xml:space="preserve">l’évaluation mondiale du mercure, qui a été publiée en </w:t>
      </w:r>
      <w:r w:rsidR="0021251F">
        <w:rPr>
          <w:lang w:val="fr-FR"/>
        </w:rPr>
        <w:t>2002</w:t>
      </w:r>
      <w:r w:rsidR="00945EA0" w:rsidRPr="00450879">
        <w:rPr>
          <w:lang w:val="fr-FR"/>
        </w:rPr>
        <w:t>, 200</w:t>
      </w:r>
      <w:r w:rsidR="0021251F">
        <w:rPr>
          <w:lang w:val="fr-FR"/>
        </w:rPr>
        <w:t>8</w:t>
      </w:r>
      <w:r w:rsidR="00945EA0" w:rsidRPr="00450879">
        <w:rPr>
          <w:lang w:val="fr-FR"/>
        </w:rPr>
        <w:t xml:space="preserve"> </w:t>
      </w:r>
      <w:r w:rsidRPr="00450879">
        <w:rPr>
          <w:lang w:val="fr-FR"/>
        </w:rPr>
        <w:t>et</w:t>
      </w:r>
      <w:r w:rsidR="00945EA0" w:rsidRPr="00450879">
        <w:rPr>
          <w:lang w:val="fr-FR"/>
        </w:rPr>
        <w:t xml:space="preserve"> 2013,</w:t>
      </w:r>
      <w:r w:rsidRPr="00450879">
        <w:rPr>
          <w:lang w:val="fr-FR"/>
        </w:rPr>
        <w:t xml:space="preserve"> une nouvelle version devant être publiée en</w:t>
      </w:r>
      <w:r w:rsidR="00945EA0" w:rsidRPr="00450879">
        <w:rPr>
          <w:lang w:val="fr-FR"/>
        </w:rPr>
        <w:t xml:space="preserve"> 2018. </w:t>
      </w:r>
      <w:r w:rsidRPr="00450879">
        <w:rPr>
          <w:lang w:val="fr-FR"/>
        </w:rPr>
        <w:t>Il est reconnu que, compte tenu des changements dans les méthodes, les résultats ne sont pas directement comparables entre les versions de</w:t>
      </w:r>
      <w:r w:rsidR="00945EA0" w:rsidRPr="00450879">
        <w:rPr>
          <w:lang w:val="fr-FR"/>
        </w:rPr>
        <w:t xml:space="preserve"> 2013 </w:t>
      </w:r>
      <w:r w:rsidRPr="00450879">
        <w:rPr>
          <w:lang w:val="fr-FR"/>
        </w:rPr>
        <w:t>et de</w:t>
      </w:r>
      <w:r w:rsidR="0021251F">
        <w:rPr>
          <w:lang w:val="fr-FR"/>
        </w:rPr>
        <w:t xml:space="preserve"> 2008</w:t>
      </w:r>
      <w:r w:rsidRPr="00450879">
        <w:rPr>
          <w:lang w:val="fr-FR"/>
        </w:rPr>
        <w:t xml:space="preserve">. </w:t>
      </w:r>
      <w:r w:rsidR="00BA6AE1" w:rsidRPr="00450879">
        <w:rPr>
          <w:lang w:val="fr-FR"/>
        </w:rPr>
        <w:t>Néanmoins</w:t>
      </w:r>
      <w:r w:rsidRPr="00450879">
        <w:rPr>
          <w:lang w:val="fr-FR"/>
        </w:rPr>
        <w:t xml:space="preserve">, ces résultats fournissent </w:t>
      </w:r>
      <w:r w:rsidR="00BA6AE1" w:rsidRPr="00450879">
        <w:rPr>
          <w:lang w:val="fr-FR"/>
        </w:rPr>
        <w:t>de nombreuses informations</w:t>
      </w:r>
      <w:r w:rsidR="00945EA0" w:rsidRPr="00450879">
        <w:rPr>
          <w:lang w:val="fr-FR"/>
        </w:rPr>
        <w:t>.</w:t>
      </w:r>
      <w:r w:rsidR="00BA6AE1" w:rsidRPr="00450879">
        <w:rPr>
          <w:lang w:val="fr-FR"/>
        </w:rPr>
        <w:t xml:space="preserve"> Des préoccupations </w:t>
      </w:r>
      <w:r w:rsidR="00D52C44">
        <w:rPr>
          <w:lang w:val="fr-FR"/>
        </w:rPr>
        <w:t>avaient</w:t>
      </w:r>
      <w:r w:rsidR="00BA6AE1" w:rsidRPr="00450879">
        <w:rPr>
          <w:lang w:val="fr-FR"/>
        </w:rPr>
        <w:t xml:space="preserve"> été soulevées durant la préparation des versions précédentes de l’évaluation concernant les données </w:t>
      </w:r>
      <w:r w:rsidR="00945EA0" w:rsidRPr="00450879">
        <w:rPr>
          <w:lang w:val="fr-FR"/>
        </w:rPr>
        <w:t>(</w:t>
      </w:r>
      <w:r w:rsidR="00BA6AE1" w:rsidRPr="00450879">
        <w:rPr>
          <w:lang w:val="fr-FR"/>
        </w:rPr>
        <w:t>notamment la manière dont celles-ci ont été obtenues et leur précision</w:t>
      </w:r>
      <w:r w:rsidR="00945EA0" w:rsidRPr="00450879">
        <w:rPr>
          <w:lang w:val="fr-FR"/>
        </w:rPr>
        <w:t xml:space="preserve">) </w:t>
      </w:r>
      <w:r w:rsidR="00BA6AE1" w:rsidRPr="00450879">
        <w:rPr>
          <w:lang w:val="fr-FR"/>
        </w:rPr>
        <w:t>et la méthode</w:t>
      </w:r>
      <w:r w:rsidR="00945EA0" w:rsidRPr="00450879">
        <w:rPr>
          <w:lang w:val="fr-FR"/>
        </w:rPr>
        <w:t xml:space="preserve"> (</w:t>
      </w:r>
      <w:r w:rsidR="00BA6AE1" w:rsidRPr="00450879">
        <w:rPr>
          <w:lang w:val="fr-FR"/>
        </w:rPr>
        <w:t>en particulier</w:t>
      </w:r>
      <w:r w:rsidR="00FE457E" w:rsidRPr="00450879">
        <w:rPr>
          <w:lang w:val="fr-FR"/>
        </w:rPr>
        <w:t>,</w:t>
      </w:r>
      <w:r w:rsidR="00BA6AE1" w:rsidRPr="00450879">
        <w:rPr>
          <w:lang w:val="fr-FR"/>
        </w:rPr>
        <w:t xml:space="preserve"> la méthode utilisée pour la modélisation</w:t>
      </w:r>
      <w:r w:rsidR="00945EA0" w:rsidRPr="00450879">
        <w:rPr>
          <w:lang w:val="fr-FR"/>
        </w:rPr>
        <w:t>).</w:t>
      </w:r>
      <w:r w:rsidR="00BA6AE1" w:rsidRPr="00450879">
        <w:rPr>
          <w:lang w:val="fr-FR"/>
        </w:rPr>
        <w:t xml:space="preserve"> </w:t>
      </w:r>
      <w:r w:rsidR="002A1D07">
        <w:rPr>
          <w:lang w:val="fr-FR"/>
        </w:rPr>
        <w:t xml:space="preserve">On a tenté de </w:t>
      </w:r>
      <w:r w:rsidR="00BA6AE1" w:rsidRPr="00450879">
        <w:rPr>
          <w:lang w:val="fr-FR"/>
        </w:rPr>
        <w:t xml:space="preserve">répondre à ces préoccupations </w:t>
      </w:r>
      <w:r w:rsidR="002A1D07">
        <w:rPr>
          <w:lang w:val="fr-FR"/>
        </w:rPr>
        <w:t xml:space="preserve">lors de </w:t>
      </w:r>
      <w:r w:rsidR="00BA6AE1" w:rsidRPr="00450879">
        <w:rPr>
          <w:lang w:val="fr-FR"/>
        </w:rPr>
        <w:t>la préparation de la dernière version</w:t>
      </w:r>
      <w:r w:rsidR="00945EA0" w:rsidRPr="00450879">
        <w:rPr>
          <w:lang w:val="fr-FR"/>
        </w:rPr>
        <w:t xml:space="preserve">. </w:t>
      </w:r>
      <w:r w:rsidR="00BA6AE1" w:rsidRPr="00450879">
        <w:rPr>
          <w:lang w:val="fr-FR"/>
        </w:rPr>
        <w:t>À la suite de ces efforts, la</w:t>
      </w:r>
      <w:r w:rsidR="00945EA0" w:rsidRPr="00450879">
        <w:rPr>
          <w:lang w:val="fr-FR"/>
        </w:rPr>
        <w:t xml:space="preserve"> Conf</w:t>
      </w:r>
      <w:r w:rsidR="00BA6AE1" w:rsidRPr="00450879">
        <w:rPr>
          <w:lang w:val="fr-FR"/>
        </w:rPr>
        <w:t>é</w:t>
      </w:r>
      <w:r w:rsidR="00945EA0" w:rsidRPr="00450879">
        <w:rPr>
          <w:lang w:val="fr-FR"/>
        </w:rPr>
        <w:t xml:space="preserve">rence </w:t>
      </w:r>
      <w:r w:rsidR="00BA6AE1" w:rsidRPr="00450879">
        <w:rPr>
          <w:lang w:val="fr-FR"/>
        </w:rPr>
        <w:t>des</w:t>
      </w:r>
      <w:r w:rsidR="005530F1" w:rsidRPr="00450879">
        <w:rPr>
          <w:lang w:val="fr-FR"/>
        </w:rPr>
        <w:t xml:space="preserve"> Parties</w:t>
      </w:r>
      <w:r w:rsidR="00BA6AE1" w:rsidRPr="00450879">
        <w:rPr>
          <w:lang w:val="fr-FR"/>
        </w:rPr>
        <w:t xml:space="preserve"> souhaitera peut-être examiner la dernière version</w:t>
      </w:r>
      <w:r w:rsidR="00ED3DB2" w:rsidRPr="00450879">
        <w:rPr>
          <w:lang w:val="fr-FR"/>
        </w:rPr>
        <w:t xml:space="preserve"> de l’évaluation et l’utiliser pour établir des données de base</w:t>
      </w:r>
      <w:r w:rsidR="00945EA0" w:rsidRPr="00450879">
        <w:rPr>
          <w:lang w:val="fr-FR"/>
        </w:rPr>
        <w:t>.</w:t>
      </w:r>
    </w:p>
    <w:p w14:paraId="34B96072" w14:textId="098F0475" w:rsidR="00945EA0" w:rsidRPr="00450879" w:rsidRDefault="00D52C44" w:rsidP="00106EA3">
      <w:pPr>
        <w:pStyle w:val="Normalnumber"/>
        <w:numPr>
          <w:ilvl w:val="0"/>
          <w:numId w:val="39"/>
        </w:numPr>
        <w:rPr>
          <w:lang w:val="fr-FR"/>
        </w:rPr>
      </w:pPr>
      <w:r>
        <w:rPr>
          <w:lang w:val="fr-FR"/>
        </w:rPr>
        <w:t>La</w:t>
      </w:r>
      <w:r w:rsidR="00405920" w:rsidRPr="00450879">
        <w:rPr>
          <w:lang w:val="fr-FR"/>
        </w:rPr>
        <w:t xml:space="preserve"> base de données sur les denrées alimentaires du </w:t>
      </w:r>
      <w:r w:rsidR="00945EA0" w:rsidRPr="00450879">
        <w:rPr>
          <w:lang w:val="fr-FR"/>
        </w:rPr>
        <w:t>GEMS</w:t>
      </w:r>
      <w:r w:rsidR="002A1D07">
        <w:rPr>
          <w:lang w:val="fr-FR"/>
        </w:rPr>
        <w:t>/Food</w:t>
      </w:r>
      <w:r w:rsidR="00405920" w:rsidRPr="00450879">
        <w:rPr>
          <w:lang w:val="fr-FR"/>
        </w:rPr>
        <w:t xml:space="preserve"> permet</w:t>
      </w:r>
      <w:r>
        <w:rPr>
          <w:lang w:val="fr-FR"/>
        </w:rPr>
        <w:t>tant</w:t>
      </w:r>
      <w:r w:rsidR="00405920" w:rsidRPr="00450879">
        <w:rPr>
          <w:lang w:val="fr-FR"/>
        </w:rPr>
        <w:t xml:space="preserve"> d’effectuer des recherches pour différentes périodes, elle peut </w:t>
      </w:r>
      <w:r w:rsidR="002A1D07">
        <w:rPr>
          <w:lang w:val="fr-FR"/>
        </w:rPr>
        <w:t xml:space="preserve">constituer une source utile </w:t>
      </w:r>
      <w:r w:rsidR="00405920" w:rsidRPr="00450879">
        <w:rPr>
          <w:lang w:val="fr-FR"/>
        </w:rPr>
        <w:t>d’informations sur les tendances</w:t>
      </w:r>
      <w:r w:rsidR="00945EA0" w:rsidRPr="00450879">
        <w:rPr>
          <w:lang w:val="fr-FR"/>
        </w:rPr>
        <w:t xml:space="preserve"> </w:t>
      </w:r>
      <w:r w:rsidR="00405920" w:rsidRPr="00450879">
        <w:rPr>
          <w:lang w:val="fr-FR"/>
        </w:rPr>
        <w:t>des concentrations de mercure et de composés du mercure dans les biotes</w:t>
      </w:r>
      <w:r w:rsidR="00945EA0" w:rsidRPr="00450879">
        <w:rPr>
          <w:lang w:val="fr-FR"/>
        </w:rPr>
        <w:t>.</w:t>
      </w:r>
      <w:r w:rsidR="00405920" w:rsidRPr="00450879">
        <w:rPr>
          <w:lang w:val="fr-FR"/>
        </w:rPr>
        <w:t xml:space="preserve"> Il conviendrait de noter que</w:t>
      </w:r>
      <w:r w:rsidR="00106EA3" w:rsidRPr="00450879">
        <w:rPr>
          <w:lang w:val="fr-FR"/>
        </w:rPr>
        <w:t xml:space="preserve"> le seul composé du mercure actuellement inclus est le </w:t>
      </w:r>
      <w:proofErr w:type="spellStart"/>
      <w:r w:rsidR="00106EA3" w:rsidRPr="00450879">
        <w:rPr>
          <w:lang w:val="fr-FR"/>
        </w:rPr>
        <w:t>méthylmercure</w:t>
      </w:r>
      <w:proofErr w:type="spellEnd"/>
      <w:r w:rsidR="00945EA0" w:rsidRPr="00450879">
        <w:rPr>
          <w:lang w:val="fr-FR"/>
        </w:rPr>
        <w:t xml:space="preserve">. </w:t>
      </w:r>
    </w:p>
    <w:p w14:paraId="46B5D133" w14:textId="3325A731" w:rsidR="00945EA0" w:rsidRPr="00450879" w:rsidRDefault="000C482E" w:rsidP="002F25AD">
      <w:pPr>
        <w:pStyle w:val="Normalnumber"/>
        <w:numPr>
          <w:ilvl w:val="0"/>
          <w:numId w:val="39"/>
        </w:numPr>
        <w:rPr>
          <w:lang w:val="fr-FR"/>
        </w:rPr>
      </w:pPr>
      <w:r w:rsidRPr="00450879">
        <w:rPr>
          <w:lang w:val="fr-FR"/>
        </w:rPr>
        <w:t>Il conviendrait également d’examiner la question de savoir s’il est nécessaire d’établir des données de base</w:t>
      </w:r>
      <w:r w:rsidR="002A1D07">
        <w:rPr>
          <w:lang w:val="fr-FR"/>
        </w:rPr>
        <w:t xml:space="preserve"> au</w:t>
      </w:r>
      <w:r w:rsidRPr="00450879">
        <w:rPr>
          <w:lang w:val="fr-FR"/>
        </w:rPr>
        <w:t xml:space="preserve"> niveau national ou régional et, le cas échéant, à quel moment ces données devraient être établies</w:t>
      </w:r>
      <w:r w:rsidR="00945EA0" w:rsidRPr="00450879">
        <w:rPr>
          <w:lang w:val="fr-FR"/>
        </w:rPr>
        <w:t>.</w:t>
      </w:r>
      <w:r w:rsidRPr="00450879">
        <w:rPr>
          <w:lang w:val="fr-FR"/>
        </w:rPr>
        <w:t xml:space="preserve"> D’autres accords multilatéraux sur l’environnement ont</w:t>
      </w:r>
      <w:r w:rsidR="002A1D07">
        <w:rPr>
          <w:lang w:val="fr-FR"/>
        </w:rPr>
        <w:t xml:space="preserve"> établi </w:t>
      </w:r>
      <w:r w:rsidRPr="00450879">
        <w:rPr>
          <w:lang w:val="fr-FR"/>
        </w:rPr>
        <w:t>des données de base pour certaines années civiles</w:t>
      </w:r>
      <w:r w:rsidR="002A1D07">
        <w:rPr>
          <w:lang w:val="fr-FR"/>
        </w:rPr>
        <w:t>,</w:t>
      </w:r>
      <w:r w:rsidRPr="00450879">
        <w:rPr>
          <w:lang w:val="fr-FR"/>
        </w:rPr>
        <w:t xml:space="preserve"> mais il est également possible </w:t>
      </w:r>
      <w:r w:rsidR="0032456C" w:rsidRPr="00450879">
        <w:rPr>
          <w:lang w:val="fr-FR"/>
        </w:rPr>
        <w:t xml:space="preserve">de </w:t>
      </w:r>
      <w:r w:rsidR="00D52C44">
        <w:rPr>
          <w:lang w:val="fr-FR"/>
        </w:rPr>
        <w:t>faire correspondre</w:t>
      </w:r>
      <w:r w:rsidR="0032456C" w:rsidRPr="00450879">
        <w:rPr>
          <w:lang w:val="fr-FR"/>
        </w:rPr>
        <w:t xml:space="preserve"> les données de base à l’année de l’entrée en vigueur de la Convention à l’égard de chaque Partie</w:t>
      </w:r>
      <w:r w:rsidR="00945EA0" w:rsidRPr="00450879">
        <w:rPr>
          <w:lang w:val="fr-FR"/>
        </w:rPr>
        <w:t>.</w:t>
      </w:r>
      <w:r w:rsidR="0032456C" w:rsidRPr="00450879">
        <w:rPr>
          <w:lang w:val="fr-FR"/>
        </w:rPr>
        <w:t xml:space="preserve"> Compte tenu de la nature du mercure qui est considéré comme un polluant mondial, une attention particulière pourrait être accordée à l’établissement de données de base pour les concentrations de mercure dans l’environnement d’un certain nombre de sites</w:t>
      </w:r>
      <w:r w:rsidR="002A1D07">
        <w:rPr>
          <w:lang w:val="fr-FR"/>
        </w:rPr>
        <w:t xml:space="preserve"> qui reflètent les </w:t>
      </w:r>
      <w:r w:rsidR="0032456C" w:rsidRPr="00450879">
        <w:rPr>
          <w:lang w:val="fr-FR"/>
        </w:rPr>
        <w:t>mouvements de mercure à l’échelle mondiale</w:t>
      </w:r>
      <w:r w:rsidR="00945EA0" w:rsidRPr="00450879">
        <w:rPr>
          <w:lang w:val="fr-FR"/>
        </w:rPr>
        <w:t>.</w:t>
      </w:r>
      <w:r w:rsidR="0032456C" w:rsidRPr="00450879">
        <w:rPr>
          <w:lang w:val="fr-FR"/>
        </w:rPr>
        <w:t xml:space="preserve"> Les changements </w:t>
      </w:r>
      <w:r w:rsidR="002A1D07">
        <w:rPr>
          <w:lang w:val="fr-FR"/>
        </w:rPr>
        <w:t xml:space="preserve">observés au niveau des </w:t>
      </w:r>
      <w:r w:rsidR="0032456C" w:rsidRPr="00450879">
        <w:rPr>
          <w:lang w:val="fr-FR"/>
        </w:rPr>
        <w:t xml:space="preserve">informations sur les émissions et les rejets pourraient ensuite être examinés au niveau national, </w:t>
      </w:r>
      <w:r w:rsidR="00D86FBA" w:rsidRPr="00450879">
        <w:rPr>
          <w:lang w:val="fr-FR"/>
        </w:rPr>
        <w:t xml:space="preserve">permettant une évaluation dans le cadre de l’établissement de rapports nationaux au titre de l’article 21 de la </w:t>
      </w:r>
      <w:r w:rsidR="00945EA0" w:rsidRPr="00450879">
        <w:rPr>
          <w:lang w:val="fr-FR"/>
        </w:rPr>
        <w:t xml:space="preserve">Convention. </w:t>
      </w:r>
    </w:p>
    <w:p w14:paraId="48277EEC" w14:textId="23044388" w:rsidR="00945EA0" w:rsidRPr="00450879" w:rsidRDefault="008908B6" w:rsidP="008908B6">
      <w:pPr>
        <w:pStyle w:val="CH2"/>
        <w:rPr>
          <w:lang w:val="fr-FR"/>
        </w:rPr>
      </w:pPr>
      <w:r w:rsidRPr="00450879">
        <w:rPr>
          <w:lang w:val="fr-FR"/>
        </w:rPr>
        <w:tab/>
        <w:t>C.</w:t>
      </w:r>
      <w:r w:rsidRPr="00450879">
        <w:rPr>
          <w:lang w:val="fr-FR"/>
        </w:rPr>
        <w:tab/>
        <w:t>R</w:t>
      </w:r>
      <w:r w:rsidR="00945EA0" w:rsidRPr="00450879">
        <w:rPr>
          <w:lang w:val="fr-FR"/>
        </w:rPr>
        <w:t>ecomm</w:t>
      </w:r>
      <w:r w:rsidR="0006535F" w:rsidRPr="00450879">
        <w:rPr>
          <w:lang w:val="fr-FR"/>
        </w:rPr>
        <w:t>a</w:t>
      </w:r>
      <w:r w:rsidR="00945EA0" w:rsidRPr="00450879">
        <w:rPr>
          <w:lang w:val="fr-FR"/>
        </w:rPr>
        <w:t>ndations</w:t>
      </w:r>
    </w:p>
    <w:p w14:paraId="2E3D0511" w14:textId="74311E7E" w:rsidR="00945EA0" w:rsidRPr="00450879" w:rsidRDefault="0006535F" w:rsidP="00E76977">
      <w:pPr>
        <w:pStyle w:val="Normalnumber"/>
        <w:numPr>
          <w:ilvl w:val="0"/>
          <w:numId w:val="39"/>
        </w:numPr>
        <w:rPr>
          <w:lang w:val="fr-FR"/>
        </w:rPr>
      </w:pPr>
      <w:r w:rsidRPr="00450879">
        <w:rPr>
          <w:lang w:val="fr-FR"/>
        </w:rPr>
        <w:t>La Confé</w:t>
      </w:r>
      <w:r w:rsidR="00945EA0" w:rsidRPr="00450879">
        <w:rPr>
          <w:lang w:val="fr-FR"/>
        </w:rPr>
        <w:t xml:space="preserve">rence </w:t>
      </w:r>
      <w:r w:rsidRPr="00450879">
        <w:rPr>
          <w:lang w:val="fr-FR"/>
        </w:rPr>
        <w:t>des</w:t>
      </w:r>
      <w:r w:rsidR="005530F1" w:rsidRPr="00450879">
        <w:rPr>
          <w:lang w:val="fr-FR"/>
        </w:rPr>
        <w:t xml:space="preserve"> Parties </w:t>
      </w:r>
      <w:r w:rsidRPr="00450879">
        <w:rPr>
          <w:lang w:val="fr-FR"/>
        </w:rPr>
        <w:t>souhaitera peut-être examiner les recommandations ci-après</w:t>
      </w:r>
      <w:r w:rsidR="00945EA0" w:rsidRPr="00450879">
        <w:rPr>
          <w:lang w:val="fr-FR"/>
        </w:rPr>
        <w:t>.</w:t>
      </w:r>
    </w:p>
    <w:p w14:paraId="75F83523" w14:textId="12AE75AD" w:rsidR="00945EA0" w:rsidRPr="00450879" w:rsidRDefault="00D435D0">
      <w:pPr>
        <w:pStyle w:val="Normalnumber"/>
        <w:numPr>
          <w:ilvl w:val="0"/>
          <w:numId w:val="39"/>
        </w:numPr>
        <w:rPr>
          <w:lang w:val="fr-FR"/>
        </w:rPr>
      </w:pPr>
      <w:r w:rsidRPr="00450879">
        <w:rPr>
          <w:lang w:val="fr-FR"/>
        </w:rPr>
        <w:t>La détermination de données représentatives comparables aux fins d’une utilisation future dans une évaluation de l’efficacité de la Convention est complexe et requiert l’intervention d’experts</w:t>
      </w:r>
      <w:r w:rsidR="00015071" w:rsidRPr="00450879">
        <w:rPr>
          <w:lang w:val="fr-FR"/>
        </w:rPr>
        <w:t>.</w:t>
      </w:r>
      <w:r w:rsidRPr="00450879">
        <w:rPr>
          <w:lang w:val="fr-FR"/>
        </w:rPr>
        <w:t xml:space="preserve"> Par conséquent, la Conférence des Parties souhaitera peut-être envisager de créer un petit groupe d’experts techniques qui évaluerait les catégories d’informations disponibles, formulerait des recommandations</w:t>
      </w:r>
      <w:r w:rsidR="00945EA0" w:rsidRPr="00450879">
        <w:rPr>
          <w:lang w:val="fr-FR"/>
        </w:rPr>
        <w:t xml:space="preserve"> </w:t>
      </w:r>
      <w:r w:rsidRPr="00450879">
        <w:rPr>
          <w:lang w:val="fr-FR"/>
        </w:rPr>
        <w:t>concernant les milieux d’échantillonnage appropriés et conviendrait de techniques pour l’examen des données, en déterminant notamment la comparabilité des données obtenues au moyen de différentes méthodologies ou méthodes d’analyse</w:t>
      </w:r>
      <w:r w:rsidR="00945EA0" w:rsidRPr="00450879">
        <w:rPr>
          <w:lang w:val="fr-FR"/>
        </w:rPr>
        <w:t xml:space="preserve">. </w:t>
      </w:r>
      <w:r w:rsidR="00883BF8" w:rsidRPr="00450879">
        <w:rPr>
          <w:lang w:val="fr-FR"/>
        </w:rPr>
        <w:t>Par souci d’économie, le groupe devrait travailler principalement par voie électronique, y compris dans le cadre de webinaires</w:t>
      </w:r>
      <w:r w:rsidR="00945EA0" w:rsidRPr="00450879">
        <w:rPr>
          <w:lang w:val="fr-FR"/>
        </w:rPr>
        <w:t>.</w:t>
      </w:r>
    </w:p>
    <w:p w14:paraId="4E1B895C" w14:textId="23AC9BE2" w:rsidR="00945EA0" w:rsidRPr="00450879" w:rsidRDefault="009A7A3D" w:rsidP="00056D50">
      <w:pPr>
        <w:pStyle w:val="Normalnumber"/>
        <w:numPr>
          <w:ilvl w:val="0"/>
          <w:numId w:val="39"/>
        </w:numPr>
        <w:rPr>
          <w:lang w:val="fr-FR"/>
        </w:rPr>
      </w:pPr>
      <w:r w:rsidRPr="00450879">
        <w:rPr>
          <w:lang w:val="fr-FR"/>
        </w:rPr>
        <w:t>La</w:t>
      </w:r>
      <w:r w:rsidR="00945EA0" w:rsidRPr="00450879">
        <w:rPr>
          <w:lang w:val="fr-FR"/>
        </w:rPr>
        <w:t xml:space="preserve"> Conf</w:t>
      </w:r>
      <w:r w:rsidRPr="00450879">
        <w:rPr>
          <w:lang w:val="fr-FR"/>
        </w:rPr>
        <w:t>é</w:t>
      </w:r>
      <w:r w:rsidR="00945EA0" w:rsidRPr="00450879">
        <w:rPr>
          <w:lang w:val="fr-FR"/>
        </w:rPr>
        <w:t xml:space="preserve">rence </w:t>
      </w:r>
      <w:r w:rsidRPr="00450879">
        <w:rPr>
          <w:lang w:val="fr-FR"/>
        </w:rPr>
        <w:t>des</w:t>
      </w:r>
      <w:r w:rsidR="005530F1" w:rsidRPr="00450879">
        <w:rPr>
          <w:lang w:val="fr-FR"/>
        </w:rPr>
        <w:t xml:space="preserve"> Parties </w:t>
      </w:r>
      <w:r w:rsidRPr="00450879">
        <w:rPr>
          <w:lang w:val="fr-FR"/>
        </w:rPr>
        <w:t>souhaitera peut-être charger le petit groupe d’experts techniques de déterminer </w:t>
      </w:r>
      <w:r w:rsidR="00945EA0" w:rsidRPr="00450879">
        <w:rPr>
          <w:lang w:val="fr-FR"/>
        </w:rPr>
        <w:t>:</w:t>
      </w:r>
    </w:p>
    <w:p w14:paraId="11715BD3" w14:textId="78428296" w:rsidR="00945EA0" w:rsidRPr="00450879" w:rsidRDefault="000A0895" w:rsidP="000A0895">
      <w:pPr>
        <w:pStyle w:val="Normalnumber"/>
        <w:numPr>
          <w:ilvl w:val="1"/>
          <w:numId w:val="39"/>
        </w:numPr>
        <w:rPr>
          <w:lang w:val="fr-FR"/>
        </w:rPr>
      </w:pPr>
      <w:r w:rsidRPr="00450879">
        <w:rPr>
          <w:lang w:val="fr-FR"/>
        </w:rPr>
        <w:t>Les données pertinentes existantes ainsi que les méthodes pour assurer la comparabilité des données, la normalisation et le recours à des réseaux régionaux, qui appuieraient l’utilisation de données de surveillance dans le cadre de la Convention</w:t>
      </w:r>
      <w:r w:rsidR="00056D50" w:rsidRPr="00450879">
        <w:rPr>
          <w:lang w:val="fr-FR"/>
        </w:rPr>
        <w:t>;</w:t>
      </w:r>
    </w:p>
    <w:p w14:paraId="592D36A1" w14:textId="346D5300" w:rsidR="00945EA0" w:rsidRPr="00450879" w:rsidRDefault="00DB24A4" w:rsidP="007B2907">
      <w:pPr>
        <w:pStyle w:val="Normalnumber"/>
        <w:numPr>
          <w:ilvl w:val="1"/>
          <w:numId w:val="39"/>
        </w:numPr>
        <w:tabs>
          <w:tab w:val="clear" w:pos="624"/>
          <w:tab w:val="left" w:pos="1247"/>
          <w:tab w:val="left" w:pos="1814"/>
          <w:tab w:val="left" w:pos="2381"/>
          <w:tab w:val="left" w:pos="2948"/>
          <w:tab w:val="left" w:pos="3515"/>
          <w:tab w:val="left" w:pos="4082"/>
        </w:tabs>
        <w:rPr>
          <w:lang w:val="fr-FR"/>
        </w:rPr>
      </w:pPr>
      <w:r w:rsidRPr="00450879">
        <w:rPr>
          <w:lang w:val="fr-FR"/>
        </w:rPr>
        <w:t xml:space="preserve">Les méthodes de modélisation qui peuvent être utilisées en combinaison avec des données nationales afin d’estimer les changements dans l’exposition des êtres humains en établissant un lien entre les émissions de mercure et les concentrations dans d’autres milieux </w:t>
      </w:r>
      <w:r w:rsidR="00945EA0" w:rsidRPr="00450879">
        <w:rPr>
          <w:lang w:val="fr-FR"/>
        </w:rPr>
        <w:t>(</w:t>
      </w:r>
      <w:r w:rsidR="00321BB8" w:rsidRPr="00450879">
        <w:rPr>
          <w:lang w:val="fr-FR"/>
        </w:rPr>
        <w:t>par exemple</w:t>
      </w:r>
      <w:r w:rsidR="00945EA0" w:rsidRPr="00450879">
        <w:rPr>
          <w:lang w:val="fr-FR"/>
        </w:rPr>
        <w:t xml:space="preserve">, </w:t>
      </w:r>
      <w:r w:rsidR="00321BB8" w:rsidRPr="00450879">
        <w:rPr>
          <w:lang w:val="fr-FR"/>
        </w:rPr>
        <w:t>dépôts</w:t>
      </w:r>
      <w:r w:rsidR="00945EA0" w:rsidRPr="00450879">
        <w:rPr>
          <w:lang w:val="fr-FR"/>
        </w:rPr>
        <w:t xml:space="preserve">, </w:t>
      </w:r>
      <w:r w:rsidR="00321BB8" w:rsidRPr="00450879">
        <w:rPr>
          <w:lang w:val="fr-FR"/>
        </w:rPr>
        <w:t>eau</w:t>
      </w:r>
      <w:r w:rsidR="00945EA0" w:rsidRPr="00450879">
        <w:rPr>
          <w:lang w:val="fr-FR"/>
        </w:rPr>
        <w:t xml:space="preserve">, </w:t>
      </w:r>
      <w:r w:rsidR="00321BB8" w:rsidRPr="00450879">
        <w:rPr>
          <w:lang w:val="fr-FR"/>
        </w:rPr>
        <w:t>poissons dans différentes zones océaniques</w:t>
      </w:r>
      <w:r w:rsidR="00945EA0" w:rsidRPr="00450879">
        <w:rPr>
          <w:lang w:val="fr-FR"/>
        </w:rPr>
        <w:t xml:space="preserve">), </w:t>
      </w:r>
      <w:r w:rsidR="00321BB8" w:rsidRPr="00450879">
        <w:rPr>
          <w:lang w:val="fr-FR"/>
        </w:rPr>
        <w:t>fournissant ainsi des estimations des changements dans ces milieux à la suite de changements dans les émissions</w:t>
      </w:r>
      <w:r w:rsidR="008E1FBB" w:rsidRPr="00450879">
        <w:rPr>
          <w:lang w:val="fr-FR"/>
        </w:rPr>
        <w:t>;</w:t>
      </w:r>
    </w:p>
    <w:p w14:paraId="2471BB25" w14:textId="36F93458" w:rsidR="00945EA0" w:rsidRPr="00450879" w:rsidRDefault="00321BB8" w:rsidP="002D4013">
      <w:pPr>
        <w:pStyle w:val="Normalnumber"/>
        <w:numPr>
          <w:ilvl w:val="1"/>
          <w:numId w:val="39"/>
        </w:numPr>
        <w:rPr>
          <w:lang w:val="fr-FR"/>
        </w:rPr>
      </w:pPr>
      <w:r w:rsidRPr="00450879">
        <w:rPr>
          <w:lang w:val="fr-FR"/>
        </w:rPr>
        <w:t>Les q</w:t>
      </w:r>
      <w:r w:rsidR="00945EA0" w:rsidRPr="00450879">
        <w:rPr>
          <w:lang w:val="fr-FR"/>
        </w:rPr>
        <w:t>uestions</w:t>
      </w:r>
      <w:r w:rsidRPr="00450879">
        <w:rPr>
          <w:lang w:val="fr-FR"/>
        </w:rPr>
        <w:t xml:space="preserve"> liées </w:t>
      </w:r>
      <w:r w:rsidR="002A1D07">
        <w:rPr>
          <w:lang w:val="fr-FR"/>
        </w:rPr>
        <w:t xml:space="preserve">aux </w:t>
      </w:r>
      <w:r w:rsidRPr="00450879">
        <w:rPr>
          <w:lang w:val="fr-FR"/>
        </w:rPr>
        <w:t>politique</w:t>
      </w:r>
      <w:r w:rsidR="002A1D07">
        <w:rPr>
          <w:lang w:val="fr-FR"/>
        </w:rPr>
        <w:t xml:space="preserve">s </w:t>
      </w:r>
      <w:r w:rsidRPr="00450879">
        <w:rPr>
          <w:lang w:val="fr-FR"/>
        </w:rPr>
        <w:t>auxquelles il est possible de répondre grâce aux données existantes</w:t>
      </w:r>
      <w:r w:rsidR="00C14FF7" w:rsidRPr="00450879">
        <w:rPr>
          <w:lang w:val="fr-FR"/>
        </w:rPr>
        <w:t xml:space="preserve">. </w:t>
      </w:r>
      <w:r w:rsidRPr="00450879">
        <w:rPr>
          <w:lang w:val="fr-FR"/>
        </w:rPr>
        <w:t xml:space="preserve">Le calendrier et les informations spécifiques </w:t>
      </w:r>
      <w:r w:rsidR="002A1D07">
        <w:rPr>
          <w:lang w:val="fr-FR"/>
        </w:rPr>
        <w:t>concernant la</w:t>
      </w:r>
      <w:r w:rsidRPr="00450879">
        <w:rPr>
          <w:lang w:val="fr-FR"/>
        </w:rPr>
        <w:t xml:space="preserve"> surveillance et </w:t>
      </w:r>
      <w:r w:rsidR="002A1D07">
        <w:rPr>
          <w:lang w:val="fr-FR"/>
        </w:rPr>
        <w:t xml:space="preserve">la </w:t>
      </w:r>
      <w:r w:rsidRPr="00450879">
        <w:rPr>
          <w:lang w:val="fr-FR"/>
        </w:rPr>
        <w:t>modélisation actuellement utilisées devraient être</w:t>
      </w:r>
      <w:r w:rsidR="00F73267" w:rsidRPr="00450879">
        <w:rPr>
          <w:lang w:val="fr-FR"/>
        </w:rPr>
        <w:t xml:space="preserve"> </w:t>
      </w:r>
      <w:r w:rsidR="00080AF1">
        <w:rPr>
          <w:lang w:val="fr-FR"/>
        </w:rPr>
        <w:t>exposés</w:t>
      </w:r>
      <w:r w:rsidR="001F1CC3" w:rsidRPr="00450879">
        <w:rPr>
          <w:lang w:val="fr-FR"/>
        </w:rPr>
        <w:t>.</w:t>
      </w:r>
    </w:p>
    <w:p w14:paraId="43F70D26" w14:textId="02E57760" w:rsidR="00945EA0" w:rsidRPr="00450879" w:rsidRDefault="00F73267" w:rsidP="003F4A10">
      <w:pPr>
        <w:pStyle w:val="Normalnumber"/>
        <w:numPr>
          <w:ilvl w:val="0"/>
          <w:numId w:val="39"/>
        </w:numPr>
        <w:rPr>
          <w:lang w:val="fr-FR"/>
        </w:rPr>
      </w:pPr>
      <w:r w:rsidRPr="00450879">
        <w:rPr>
          <w:lang w:val="fr-FR"/>
        </w:rPr>
        <w:t>La</w:t>
      </w:r>
      <w:r w:rsidR="00D135F6" w:rsidRPr="00450879">
        <w:rPr>
          <w:lang w:val="fr-FR"/>
        </w:rPr>
        <w:t xml:space="preserve"> Conf</w:t>
      </w:r>
      <w:r w:rsidRPr="00450879">
        <w:rPr>
          <w:lang w:val="fr-FR"/>
        </w:rPr>
        <w:t>é</w:t>
      </w:r>
      <w:r w:rsidR="00D135F6" w:rsidRPr="00450879">
        <w:rPr>
          <w:lang w:val="fr-FR"/>
        </w:rPr>
        <w:t>rence</w:t>
      </w:r>
      <w:r w:rsidR="005530F1" w:rsidRPr="00450879">
        <w:rPr>
          <w:lang w:val="fr-FR"/>
        </w:rPr>
        <w:t xml:space="preserve"> </w:t>
      </w:r>
      <w:r w:rsidRPr="00450879">
        <w:rPr>
          <w:lang w:val="fr-FR"/>
        </w:rPr>
        <w:t>des</w:t>
      </w:r>
      <w:r w:rsidR="005530F1" w:rsidRPr="00450879">
        <w:rPr>
          <w:lang w:val="fr-FR"/>
        </w:rPr>
        <w:t xml:space="preserve"> Parties</w:t>
      </w:r>
      <w:r w:rsidRPr="00450879">
        <w:rPr>
          <w:lang w:val="fr-FR"/>
        </w:rPr>
        <w:t xml:space="preserve"> peut considérer que les données actuellement disponibles </w:t>
      </w:r>
      <w:r w:rsidR="002A1D07">
        <w:rPr>
          <w:lang w:val="fr-FR"/>
        </w:rPr>
        <w:t xml:space="preserve">pour déterminer les </w:t>
      </w:r>
      <w:r w:rsidRPr="00450879">
        <w:rPr>
          <w:lang w:val="fr-FR"/>
        </w:rPr>
        <w:t>concentrations de mercure présent dans l’environnement, y compris les biotes, sont suffisantes</w:t>
      </w:r>
      <w:r w:rsidR="00D135F6" w:rsidRPr="00450879">
        <w:rPr>
          <w:lang w:val="fr-FR"/>
        </w:rPr>
        <w:t>.</w:t>
      </w:r>
      <w:r w:rsidR="00945EA0" w:rsidRPr="00450879">
        <w:rPr>
          <w:lang w:val="fr-FR"/>
        </w:rPr>
        <w:t xml:space="preserve"> </w:t>
      </w:r>
      <w:r w:rsidRPr="00450879">
        <w:rPr>
          <w:lang w:val="fr-FR"/>
        </w:rPr>
        <w:t>La</w:t>
      </w:r>
      <w:r w:rsidR="00945EA0" w:rsidRPr="00450879">
        <w:rPr>
          <w:lang w:val="fr-FR"/>
        </w:rPr>
        <w:t xml:space="preserve"> question </w:t>
      </w:r>
      <w:r w:rsidRPr="00450879">
        <w:rPr>
          <w:lang w:val="fr-FR"/>
        </w:rPr>
        <w:t xml:space="preserve">des informations supplémentaires, qui sont susceptibles d’améliorer les évaluations futures, peut être soumise par la Conférence des Parties au groupe d’experts techniques, </w:t>
      </w:r>
      <w:r w:rsidR="00BE5742">
        <w:rPr>
          <w:lang w:val="fr-FR"/>
        </w:rPr>
        <w:t>de même</w:t>
      </w:r>
      <w:r w:rsidRPr="00450879">
        <w:rPr>
          <w:lang w:val="fr-FR"/>
        </w:rPr>
        <w:t xml:space="preserve"> que des options pour obtenir de telles informations et les coûts </w:t>
      </w:r>
      <w:r w:rsidR="00EA5A60" w:rsidRPr="00450879">
        <w:rPr>
          <w:lang w:val="fr-FR"/>
        </w:rPr>
        <w:t>associés à ces options</w:t>
      </w:r>
      <w:r w:rsidR="00AD0986" w:rsidRPr="00450879">
        <w:rPr>
          <w:lang w:val="fr-FR"/>
        </w:rPr>
        <w:t>.</w:t>
      </w:r>
    </w:p>
    <w:p w14:paraId="77C046AA" w14:textId="7E15D387" w:rsidR="00945EA0" w:rsidRPr="00450879" w:rsidRDefault="00EA5A60" w:rsidP="00EA5A60">
      <w:pPr>
        <w:pStyle w:val="Normalnumber"/>
        <w:numPr>
          <w:ilvl w:val="0"/>
          <w:numId w:val="39"/>
        </w:numPr>
        <w:rPr>
          <w:lang w:val="fr-FR"/>
        </w:rPr>
      </w:pPr>
      <w:r w:rsidRPr="00450879">
        <w:rPr>
          <w:lang w:val="fr-FR"/>
        </w:rPr>
        <w:t>En examinant la question de l</w:t>
      </w:r>
      <w:r w:rsidR="002A1D07">
        <w:rPr>
          <w:lang w:val="fr-FR"/>
        </w:rPr>
        <w:t xml:space="preserve">’établissement </w:t>
      </w:r>
      <w:r w:rsidRPr="00450879">
        <w:rPr>
          <w:lang w:val="fr-FR"/>
        </w:rPr>
        <w:t xml:space="preserve">de données de base permettant d’évaluer les progrès réalisés dans la mise en œuvre de la Convention, la Conférence des Parties souhaitera </w:t>
      </w:r>
      <w:r w:rsidR="008C6038">
        <w:rPr>
          <w:lang w:val="fr-FR"/>
        </w:rPr>
        <w:br/>
      </w:r>
      <w:r w:rsidRPr="00450879">
        <w:rPr>
          <w:lang w:val="fr-FR"/>
        </w:rPr>
        <w:t>peut-être envisager d’utiliser</w:t>
      </w:r>
      <w:r w:rsidR="002A1D07">
        <w:rPr>
          <w:lang w:val="fr-FR"/>
        </w:rPr>
        <w:t xml:space="preserve"> l</w:t>
      </w:r>
      <w:r w:rsidRPr="00450879">
        <w:rPr>
          <w:lang w:val="fr-FR"/>
        </w:rPr>
        <w:t>es évaluations disponibles</w:t>
      </w:r>
      <w:r w:rsidR="00C257CD" w:rsidRPr="00450879">
        <w:rPr>
          <w:lang w:val="fr-FR"/>
        </w:rPr>
        <w:t>,</w:t>
      </w:r>
      <w:r w:rsidRPr="00450879">
        <w:rPr>
          <w:lang w:val="fr-FR"/>
        </w:rPr>
        <w:t xml:space="preserve"> notamment</w:t>
      </w:r>
      <w:r w:rsidR="00C257CD" w:rsidRPr="00450879">
        <w:rPr>
          <w:lang w:val="fr-FR"/>
        </w:rPr>
        <w:t xml:space="preserve"> </w:t>
      </w:r>
      <w:r w:rsidRPr="00450879">
        <w:rPr>
          <w:lang w:val="fr-FR"/>
        </w:rPr>
        <w:t xml:space="preserve">l’évaluation mondiale du mercure et le </w:t>
      </w:r>
      <w:r w:rsidR="002A1D07" w:rsidRPr="00450879">
        <w:rPr>
          <w:lang w:val="fr-FR"/>
        </w:rPr>
        <w:t>Système mondial de surveilla</w:t>
      </w:r>
      <w:r w:rsidR="008C6038">
        <w:rPr>
          <w:lang w:val="fr-FR"/>
        </w:rPr>
        <w:t>nce continue de l’environnement/</w:t>
      </w:r>
      <w:r w:rsidRPr="00450879">
        <w:rPr>
          <w:lang w:val="fr-FR"/>
        </w:rPr>
        <w:t xml:space="preserve">Programme </w:t>
      </w:r>
      <w:r w:rsidR="002A1D07">
        <w:rPr>
          <w:lang w:val="fr-FR"/>
        </w:rPr>
        <w:t xml:space="preserve">de surveillance et </w:t>
      </w:r>
      <w:r w:rsidRPr="00450879">
        <w:rPr>
          <w:lang w:val="fr-FR"/>
        </w:rPr>
        <w:t>d’évaluation de la contamination des denrées alimentaires</w:t>
      </w:r>
      <w:r w:rsidR="00147DA1" w:rsidRPr="00450879">
        <w:rPr>
          <w:lang w:val="fr-FR"/>
        </w:rPr>
        <w:t>.</w:t>
      </w:r>
      <w:r w:rsidRPr="00450879">
        <w:rPr>
          <w:lang w:val="fr-FR"/>
        </w:rPr>
        <w:t xml:space="preserve"> La Conférence des Parties souhaitera </w:t>
      </w:r>
      <w:r w:rsidR="008C6038">
        <w:rPr>
          <w:lang w:val="fr-FR"/>
        </w:rPr>
        <w:br/>
      </w:r>
      <w:r w:rsidRPr="00450879">
        <w:rPr>
          <w:lang w:val="fr-FR"/>
        </w:rPr>
        <w:t xml:space="preserve">peut-être également utiliser les informations disponibles </w:t>
      </w:r>
      <w:r w:rsidR="002A1D07">
        <w:rPr>
          <w:lang w:val="fr-FR"/>
        </w:rPr>
        <w:t xml:space="preserve">au </w:t>
      </w:r>
      <w:r w:rsidRPr="00450879">
        <w:rPr>
          <w:lang w:val="fr-FR"/>
        </w:rPr>
        <w:t xml:space="preserve">niveau national ou régional </w:t>
      </w:r>
      <w:r w:rsidR="002A1D07">
        <w:rPr>
          <w:lang w:val="fr-FR"/>
        </w:rPr>
        <w:t xml:space="preserve">communiquées par les pays </w:t>
      </w:r>
      <w:r w:rsidRPr="00450879">
        <w:rPr>
          <w:lang w:val="fr-FR"/>
        </w:rPr>
        <w:t>comme base pour des comparaisons futures</w:t>
      </w:r>
      <w:r w:rsidR="00945EA0" w:rsidRPr="00450879">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040D2B" w:rsidRPr="008433FD" w14:paraId="0A4360A6" w14:textId="77777777" w:rsidTr="00040D2B">
        <w:tc>
          <w:tcPr>
            <w:tcW w:w="1942" w:type="dxa"/>
          </w:tcPr>
          <w:p w14:paraId="2F375282" w14:textId="77777777" w:rsidR="00040D2B" w:rsidRPr="00450879" w:rsidRDefault="00040D2B" w:rsidP="00040D2B">
            <w:pPr>
              <w:pStyle w:val="Normal-pool"/>
              <w:spacing w:before="520"/>
              <w:rPr>
                <w:lang w:val="fr-FR"/>
              </w:rPr>
            </w:pPr>
          </w:p>
        </w:tc>
        <w:tc>
          <w:tcPr>
            <w:tcW w:w="1942" w:type="dxa"/>
          </w:tcPr>
          <w:p w14:paraId="7864FF38" w14:textId="77777777" w:rsidR="00040D2B" w:rsidRPr="00450879" w:rsidRDefault="00040D2B" w:rsidP="00040D2B">
            <w:pPr>
              <w:pStyle w:val="Normal-pool"/>
              <w:spacing w:before="520"/>
              <w:rPr>
                <w:lang w:val="fr-FR"/>
              </w:rPr>
            </w:pPr>
          </w:p>
        </w:tc>
        <w:tc>
          <w:tcPr>
            <w:tcW w:w="1942" w:type="dxa"/>
            <w:tcBorders>
              <w:bottom w:val="single" w:sz="4" w:space="0" w:color="auto"/>
            </w:tcBorders>
          </w:tcPr>
          <w:p w14:paraId="559FF7CF" w14:textId="77777777" w:rsidR="00040D2B" w:rsidRPr="00450879" w:rsidRDefault="00040D2B" w:rsidP="00040D2B">
            <w:pPr>
              <w:pStyle w:val="Normal-pool"/>
              <w:spacing w:before="520"/>
              <w:rPr>
                <w:lang w:val="fr-FR"/>
              </w:rPr>
            </w:pPr>
          </w:p>
        </w:tc>
        <w:tc>
          <w:tcPr>
            <w:tcW w:w="1943" w:type="dxa"/>
          </w:tcPr>
          <w:p w14:paraId="74F2B2C3" w14:textId="77777777" w:rsidR="00040D2B" w:rsidRPr="00450879" w:rsidRDefault="00040D2B" w:rsidP="00040D2B">
            <w:pPr>
              <w:pStyle w:val="Normal-pool"/>
              <w:spacing w:before="520"/>
              <w:rPr>
                <w:lang w:val="fr-FR"/>
              </w:rPr>
            </w:pPr>
          </w:p>
        </w:tc>
        <w:tc>
          <w:tcPr>
            <w:tcW w:w="1943" w:type="dxa"/>
          </w:tcPr>
          <w:p w14:paraId="1DC0D8A1" w14:textId="77777777" w:rsidR="00040D2B" w:rsidRPr="00450879" w:rsidRDefault="00040D2B" w:rsidP="00040D2B">
            <w:pPr>
              <w:pStyle w:val="Normal-pool"/>
              <w:spacing w:before="520"/>
              <w:rPr>
                <w:lang w:val="fr-FR"/>
              </w:rPr>
            </w:pPr>
          </w:p>
        </w:tc>
      </w:tr>
    </w:tbl>
    <w:p w14:paraId="2663DC20" w14:textId="77777777" w:rsidR="00D7265E" w:rsidRPr="00450879" w:rsidRDefault="00D7265E" w:rsidP="00040D2B">
      <w:pPr>
        <w:pStyle w:val="Normal-pool"/>
        <w:rPr>
          <w:lang w:val="fr-FR"/>
        </w:rPr>
      </w:pPr>
    </w:p>
    <w:sectPr w:rsidR="00D7265E" w:rsidRPr="00450879" w:rsidSect="008908B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E28F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6FFD3" w14:textId="77777777" w:rsidR="003965B1" w:rsidRDefault="003965B1">
      <w:r>
        <w:separator/>
      </w:r>
    </w:p>
  </w:endnote>
  <w:endnote w:type="continuationSeparator" w:id="0">
    <w:p w14:paraId="1CE88CDA" w14:textId="77777777" w:rsidR="003965B1" w:rsidRDefault="003965B1">
      <w:r>
        <w:continuationSeparator/>
      </w:r>
    </w:p>
  </w:endnote>
  <w:endnote w:type="continuationNotice" w:id="1">
    <w:p w14:paraId="0CCF86ED" w14:textId="77777777" w:rsidR="003965B1" w:rsidRDefault="00396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0C11" w14:textId="571640F6" w:rsidR="002216D7" w:rsidRDefault="002216D7">
    <w:pPr>
      <w:pStyle w:val="Footer"/>
    </w:pPr>
    <w:r>
      <w:rPr>
        <w:rStyle w:val="PageNumber"/>
      </w:rPr>
      <w:fldChar w:fldCharType="begin"/>
    </w:r>
    <w:r>
      <w:rPr>
        <w:rStyle w:val="PageNumber"/>
      </w:rPr>
      <w:instrText xml:space="preserve"> PAGE </w:instrText>
    </w:r>
    <w:r>
      <w:rPr>
        <w:rStyle w:val="PageNumber"/>
      </w:rPr>
      <w:fldChar w:fldCharType="separate"/>
    </w:r>
    <w:r w:rsidR="00050725">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F625E" w14:textId="0AE9D4E5" w:rsidR="002216D7" w:rsidRDefault="002216D7"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050725">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964C" w14:textId="536EB601" w:rsidR="002216D7" w:rsidRPr="001D7B83" w:rsidRDefault="002216D7" w:rsidP="008908B6">
    <w:pPr>
      <w:pStyle w:val="Footer"/>
      <w:tabs>
        <w:tab w:val="clear" w:pos="1247"/>
        <w:tab w:val="clear" w:pos="1814"/>
        <w:tab w:val="clear" w:pos="2381"/>
        <w:tab w:val="clear" w:pos="2948"/>
        <w:tab w:val="clear" w:pos="3515"/>
        <w:tab w:val="clear" w:pos="4320"/>
        <w:tab w:val="clear" w:pos="8640"/>
        <w:tab w:val="left" w:pos="624"/>
      </w:tabs>
      <w:rPr>
        <w:sz w:val="20"/>
      </w:rPr>
    </w:pPr>
    <w:r w:rsidRPr="001D7B83">
      <w:rPr>
        <w:sz w:val="20"/>
      </w:rPr>
      <w:t>K170600</w:t>
    </w:r>
    <w:r w:rsidR="00703511">
      <w:rPr>
        <w:sz w:val="20"/>
      </w:rPr>
      <w:t>5</w:t>
    </w:r>
    <w:r w:rsidRPr="001D7B83">
      <w:rPr>
        <w:sz w:val="20"/>
      </w:rPr>
      <w:tab/>
    </w:r>
    <w:r w:rsidR="001E46AC">
      <w:rPr>
        <w:sz w:val="20"/>
      </w:rPr>
      <w:t>23</w:t>
    </w:r>
    <w:r w:rsidRPr="001D7B83">
      <w:rPr>
        <w:sz w:val="20"/>
      </w:rPr>
      <w:t>0</w:t>
    </w:r>
    <w:r>
      <w:rPr>
        <w:sz w:val="20"/>
      </w:rPr>
      <w:t>6</w:t>
    </w:r>
    <w:r w:rsidRPr="001D7B83">
      <w:rPr>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5295B" w14:textId="77777777" w:rsidR="003965B1" w:rsidRDefault="003965B1" w:rsidP="00DF3637">
      <w:pPr>
        <w:tabs>
          <w:tab w:val="clear" w:pos="1247"/>
          <w:tab w:val="clear" w:pos="1814"/>
          <w:tab w:val="clear" w:pos="2381"/>
          <w:tab w:val="clear" w:pos="2948"/>
          <w:tab w:val="clear" w:pos="3515"/>
          <w:tab w:val="left" w:pos="624"/>
        </w:tabs>
        <w:spacing w:before="60"/>
        <w:ind w:left="624"/>
      </w:pPr>
      <w:r>
        <w:separator/>
      </w:r>
    </w:p>
  </w:footnote>
  <w:footnote w:type="continuationSeparator" w:id="0">
    <w:p w14:paraId="0F132E10" w14:textId="77777777" w:rsidR="003965B1" w:rsidRDefault="003965B1">
      <w:r>
        <w:continuationSeparator/>
      </w:r>
    </w:p>
  </w:footnote>
  <w:footnote w:type="continuationNotice" w:id="1">
    <w:p w14:paraId="7EBC56A3" w14:textId="77777777" w:rsidR="003965B1" w:rsidRDefault="003965B1"/>
  </w:footnote>
  <w:footnote w:id="2">
    <w:p w14:paraId="6FB40B45" w14:textId="10A981BE" w:rsidR="002216D7" w:rsidRPr="00067B00" w:rsidRDefault="002216D7" w:rsidP="002013B3">
      <w:pPr>
        <w:tabs>
          <w:tab w:val="clear" w:pos="1247"/>
          <w:tab w:val="clear" w:pos="1814"/>
          <w:tab w:val="clear" w:pos="2381"/>
          <w:tab w:val="clear" w:pos="2948"/>
          <w:tab w:val="clear" w:pos="3515"/>
          <w:tab w:val="left" w:pos="624"/>
        </w:tabs>
        <w:spacing w:before="20" w:after="40"/>
        <w:ind w:left="1247"/>
        <w:rPr>
          <w:sz w:val="18"/>
          <w:szCs w:val="18"/>
        </w:rPr>
      </w:pPr>
      <w:proofErr w:type="gramStart"/>
      <w:r w:rsidRPr="00036ACD">
        <w:rPr>
          <w:sz w:val="18"/>
          <w:szCs w:val="18"/>
        </w:rPr>
        <w:t>* UNEP</w:t>
      </w:r>
      <w:r>
        <w:rPr>
          <w:sz w:val="18"/>
          <w:szCs w:val="18"/>
        </w:rPr>
        <w:t>/MC</w:t>
      </w:r>
      <w:r w:rsidRPr="00036ACD">
        <w:rPr>
          <w:sz w:val="18"/>
          <w:szCs w:val="18"/>
        </w:rPr>
        <w:t>/</w:t>
      </w:r>
      <w:r>
        <w:rPr>
          <w:sz w:val="18"/>
          <w:szCs w:val="18"/>
        </w:rPr>
        <w:t>COP</w:t>
      </w:r>
      <w:r w:rsidRPr="00036ACD">
        <w:rPr>
          <w:sz w:val="18"/>
          <w:szCs w:val="18"/>
        </w:rPr>
        <w:t>.</w:t>
      </w:r>
      <w:r>
        <w:rPr>
          <w:sz w:val="18"/>
          <w:szCs w:val="18"/>
        </w:rPr>
        <w:t>1</w:t>
      </w:r>
      <w:r w:rsidRPr="00036ACD">
        <w:rPr>
          <w:sz w:val="18"/>
          <w:szCs w:val="18"/>
        </w:rPr>
        <w:t>/</w:t>
      </w:r>
      <w:r>
        <w:rPr>
          <w:sz w:val="18"/>
          <w:szCs w:val="18"/>
        </w:rPr>
        <w:t>1</w:t>
      </w:r>
      <w:r w:rsidRPr="00036ACD">
        <w:rPr>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C8B6A" w14:textId="46102C62" w:rsidR="002216D7" w:rsidRPr="00CA5CA9" w:rsidRDefault="002216D7" w:rsidP="00312543">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0C8B9" w14:textId="75837388" w:rsidR="002216D7" w:rsidRPr="00CA5CA9" w:rsidRDefault="002216D7" w:rsidP="00312543">
    <w:pPr>
      <w:pStyle w:val="Header"/>
      <w:jc w:val="right"/>
      <w:rPr>
        <w:szCs w:val="18"/>
      </w:rPr>
    </w:pPr>
    <w:r>
      <w:rPr>
        <w:bCs/>
        <w:szCs w:val="18"/>
      </w:rPr>
      <w:t>UNEP/MC/COP.1/12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A437D" w14:textId="4A4EA4AC" w:rsidR="002216D7" w:rsidRDefault="002216D7"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72F25E5"/>
    <w:multiLevelType w:val="hybridMultilevel"/>
    <w:tmpl w:val="12F23D9E"/>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013BD"/>
    <w:multiLevelType w:val="hybridMultilevel"/>
    <w:tmpl w:val="93824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D8176E"/>
    <w:multiLevelType w:val="hybridMultilevel"/>
    <w:tmpl w:val="090C8A44"/>
    <w:lvl w:ilvl="0" w:tplc="E3F023A8">
      <w:start w:val="1"/>
      <w:numFmt w:val="decimal"/>
      <w:lvlText w:val="%1."/>
      <w:lvlJc w:val="left"/>
      <w:pPr>
        <w:ind w:left="720" w:hanging="360"/>
      </w:pPr>
    </w:lvl>
    <w:lvl w:ilvl="1" w:tplc="08090019">
      <w:start w:val="1"/>
      <w:numFmt w:val="lowerLetter"/>
      <w:lvlText w:val="%2."/>
      <w:lvlJc w:val="left"/>
      <w:pPr>
        <w:ind w:left="1440" w:hanging="360"/>
      </w:pPr>
    </w:lvl>
    <w:lvl w:ilvl="2" w:tplc="BF3CE5B6">
      <w:start w:val="1"/>
      <w:numFmt w:val="lowerLetter"/>
      <w:lvlText w:val="%3)"/>
      <w:lvlJc w:val="lef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1D73585"/>
    <w:multiLevelType w:val="hybridMultilevel"/>
    <w:tmpl w:val="EB8C1B50"/>
    <w:lvl w:ilvl="0" w:tplc="E3F023A8">
      <w:start w:val="1"/>
      <w:numFmt w:val="decimal"/>
      <w:pStyle w:val="Normal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nsid w:val="414D6681"/>
    <w:multiLevelType w:val="hybridMultilevel"/>
    <w:tmpl w:val="7A02146E"/>
    <w:styleLink w:val="Importeradestilen16"/>
    <w:lvl w:ilvl="0" w:tplc="39B41576">
      <w:start w:val="1"/>
      <w:numFmt w:val="lowerLetter"/>
      <w:lvlText w:val="%1)"/>
      <w:lvlJc w:val="left"/>
      <w:pPr>
        <w:tabs>
          <w:tab w:val="left" w:pos="624"/>
          <w:tab w:val="num" w:pos="1909"/>
        </w:tabs>
        <w:ind w:left="660" w:firstLine="949"/>
      </w:pPr>
      <w:rPr>
        <w:rFonts w:hAnsi="Arial Unicode MS" w:cs="Times New Roman"/>
        <w:caps w:val="0"/>
        <w:smallCaps w:val="0"/>
        <w:strike w:val="0"/>
        <w:dstrike w:val="0"/>
        <w:color w:val="000000"/>
        <w:spacing w:val="0"/>
        <w:w w:val="100"/>
        <w:kern w:val="0"/>
        <w:position w:val="0"/>
        <w:vertAlign w:val="baseline"/>
      </w:rPr>
    </w:lvl>
    <w:lvl w:ilvl="1" w:tplc="C6B23022">
      <w:start w:val="1"/>
      <w:numFmt w:val="lowerLetter"/>
      <w:lvlText w:val="%2)"/>
      <w:lvlJc w:val="left"/>
      <w:pPr>
        <w:tabs>
          <w:tab w:val="left" w:pos="624"/>
          <w:tab w:val="num" w:pos="2644"/>
        </w:tabs>
        <w:ind w:left="1395" w:firstLine="1024"/>
      </w:pPr>
      <w:rPr>
        <w:rFonts w:hAnsi="Arial Unicode MS" w:cs="Times New Roman"/>
        <w:caps w:val="0"/>
        <w:smallCaps w:val="0"/>
        <w:strike w:val="0"/>
        <w:dstrike w:val="0"/>
        <w:color w:val="000000"/>
        <w:spacing w:val="0"/>
        <w:w w:val="100"/>
        <w:kern w:val="0"/>
        <w:position w:val="0"/>
        <w:vertAlign w:val="baseline"/>
      </w:rPr>
    </w:lvl>
    <w:lvl w:ilvl="2" w:tplc="D904FDF4">
      <w:start w:val="1"/>
      <w:numFmt w:val="lowerLetter"/>
      <w:lvlText w:val="(%3)"/>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3" w:tplc="33849518">
      <w:start w:val="1"/>
      <w:numFmt w:val="decimal"/>
      <w:lvlText w:val="%4."/>
      <w:lvlJc w:val="left"/>
      <w:pPr>
        <w:tabs>
          <w:tab w:val="left" w:pos="624"/>
          <w:tab w:val="num" w:pos="3216"/>
        </w:tabs>
        <w:ind w:left="1967" w:firstLine="540"/>
      </w:pPr>
      <w:rPr>
        <w:rFonts w:hAnsi="Arial Unicode MS" w:cs="Times New Roman"/>
        <w:caps w:val="0"/>
        <w:smallCaps w:val="0"/>
        <w:strike w:val="0"/>
        <w:dstrike w:val="0"/>
        <w:color w:val="000000"/>
        <w:spacing w:val="0"/>
        <w:w w:val="100"/>
        <w:kern w:val="0"/>
        <w:position w:val="0"/>
        <w:vertAlign w:val="baseline"/>
      </w:rPr>
    </w:lvl>
    <w:lvl w:ilvl="4" w:tplc="4738ACAA">
      <w:start w:val="1"/>
      <w:numFmt w:val="lowerLetter"/>
      <w:lvlText w:val="%5."/>
      <w:lvlJc w:val="left"/>
      <w:pPr>
        <w:tabs>
          <w:tab w:val="left" w:pos="624"/>
          <w:tab w:val="num" w:pos="3936"/>
        </w:tabs>
        <w:ind w:left="2687" w:firstLine="636"/>
      </w:pPr>
      <w:rPr>
        <w:rFonts w:hAnsi="Arial Unicode MS" w:cs="Times New Roman"/>
        <w:caps w:val="0"/>
        <w:smallCaps w:val="0"/>
        <w:strike w:val="0"/>
        <w:dstrike w:val="0"/>
        <w:color w:val="000000"/>
        <w:spacing w:val="0"/>
        <w:w w:val="100"/>
        <w:kern w:val="0"/>
        <w:position w:val="0"/>
        <w:vertAlign w:val="baseline"/>
      </w:rPr>
    </w:lvl>
    <w:lvl w:ilvl="5" w:tplc="5FBAD3F2">
      <w:start w:val="1"/>
      <w:numFmt w:val="lowerRoman"/>
      <w:lvlText w:val="%6."/>
      <w:lvlJc w:val="left"/>
      <w:pPr>
        <w:tabs>
          <w:tab w:val="left" w:pos="624"/>
          <w:tab w:val="num" w:pos="4656"/>
        </w:tabs>
        <w:ind w:left="3407" w:firstLine="825"/>
      </w:pPr>
      <w:rPr>
        <w:rFonts w:hAnsi="Arial Unicode MS" w:cs="Times New Roman"/>
        <w:caps w:val="0"/>
        <w:smallCaps w:val="0"/>
        <w:strike w:val="0"/>
        <w:dstrike w:val="0"/>
        <w:color w:val="000000"/>
        <w:spacing w:val="0"/>
        <w:w w:val="100"/>
        <w:kern w:val="0"/>
        <w:position w:val="0"/>
        <w:vertAlign w:val="baseline"/>
      </w:rPr>
    </w:lvl>
    <w:lvl w:ilvl="6" w:tplc="95BCD89A">
      <w:start w:val="1"/>
      <w:numFmt w:val="decimal"/>
      <w:lvlText w:val="%7."/>
      <w:lvlJc w:val="left"/>
      <w:pPr>
        <w:tabs>
          <w:tab w:val="left" w:pos="624"/>
          <w:tab w:val="num" w:pos="5376"/>
        </w:tabs>
        <w:ind w:left="4127" w:firstLine="828"/>
      </w:pPr>
      <w:rPr>
        <w:rFonts w:hAnsi="Arial Unicode MS" w:cs="Times New Roman"/>
        <w:caps w:val="0"/>
        <w:smallCaps w:val="0"/>
        <w:strike w:val="0"/>
        <w:dstrike w:val="0"/>
        <w:color w:val="000000"/>
        <w:spacing w:val="0"/>
        <w:w w:val="100"/>
        <w:kern w:val="0"/>
        <w:position w:val="0"/>
        <w:vertAlign w:val="baseline"/>
      </w:rPr>
    </w:lvl>
    <w:lvl w:ilvl="7" w:tplc="1E308D9A">
      <w:start w:val="1"/>
      <w:numFmt w:val="lowerLetter"/>
      <w:lvlText w:val="%8."/>
      <w:lvlJc w:val="left"/>
      <w:pPr>
        <w:tabs>
          <w:tab w:val="left" w:pos="624"/>
          <w:tab w:val="num" w:pos="6096"/>
        </w:tabs>
        <w:ind w:left="4847" w:firstLine="924"/>
      </w:pPr>
      <w:rPr>
        <w:rFonts w:hAnsi="Arial Unicode MS" w:cs="Times New Roman"/>
        <w:caps w:val="0"/>
        <w:smallCaps w:val="0"/>
        <w:strike w:val="0"/>
        <w:dstrike w:val="0"/>
        <w:color w:val="000000"/>
        <w:spacing w:val="0"/>
        <w:w w:val="100"/>
        <w:kern w:val="0"/>
        <w:position w:val="0"/>
        <w:vertAlign w:val="baseline"/>
      </w:rPr>
    </w:lvl>
    <w:lvl w:ilvl="8" w:tplc="EF0C5D60">
      <w:start w:val="1"/>
      <w:numFmt w:val="lowerRoman"/>
      <w:lvlText w:val="%9."/>
      <w:lvlJc w:val="left"/>
      <w:pPr>
        <w:tabs>
          <w:tab w:val="left" w:pos="624"/>
          <w:tab w:val="num" w:pos="6816"/>
        </w:tabs>
        <w:ind w:left="5567" w:firstLine="1113"/>
      </w:pPr>
      <w:rPr>
        <w:rFonts w:hAnsi="Arial Unicode MS" w:cs="Times New Roman"/>
        <w:caps w:val="0"/>
        <w:smallCaps w:val="0"/>
        <w:strike w:val="0"/>
        <w:dstrike w:val="0"/>
        <w:color w:val="000000"/>
        <w:spacing w:val="0"/>
        <w:w w:val="100"/>
        <w:kern w:val="0"/>
        <w:position w:val="0"/>
        <w:vertAlign w:val="baseline"/>
      </w:rPr>
    </w:lvl>
  </w:abstractNum>
  <w:abstractNum w:abstractNumId="9">
    <w:nsid w:val="481B0640"/>
    <w:multiLevelType w:val="hybridMultilevel"/>
    <w:tmpl w:val="89EEF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914458"/>
    <w:multiLevelType w:val="hybridMultilevel"/>
    <w:tmpl w:val="8F12154E"/>
    <w:numStyleLink w:val="Importeradestilen17"/>
  </w:abstractNum>
  <w:abstractNum w:abstractNumId="11">
    <w:nsid w:val="4F1A58D9"/>
    <w:multiLevelType w:val="hybridMultilevel"/>
    <w:tmpl w:val="8F12154E"/>
    <w:styleLink w:val="Importeradestilen17"/>
    <w:lvl w:ilvl="0" w:tplc="C2CA7860">
      <w:start w:val="1"/>
      <w:numFmt w:val="lowerLetter"/>
      <w:lvlText w:val="%1)"/>
      <w:lvlJc w:val="left"/>
      <w:pPr>
        <w:ind w:left="660" w:hanging="300"/>
      </w:pPr>
      <w:rPr>
        <w:rFonts w:hAnsi="Arial Unicode MS" w:cs="Times New Roman"/>
        <w:caps w:val="0"/>
        <w:smallCaps w:val="0"/>
        <w:strike w:val="0"/>
        <w:dstrike w:val="0"/>
        <w:color w:val="000000"/>
        <w:spacing w:val="0"/>
        <w:w w:val="100"/>
        <w:kern w:val="0"/>
        <w:position w:val="0"/>
        <w:vertAlign w:val="baseline"/>
      </w:rPr>
    </w:lvl>
    <w:lvl w:ilvl="1" w:tplc="768E7FE6">
      <w:start w:val="1"/>
      <w:numFmt w:val="lowerLetter"/>
      <w:lvlText w:val="%2)"/>
      <w:lvlJc w:val="left"/>
      <w:pPr>
        <w:tabs>
          <w:tab w:val="left" w:pos="624"/>
        </w:tabs>
        <w:ind w:left="1386" w:hanging="269"/>
      </w:pPr>
      <w:rPr>
        <w:rFonts w:hAnsi="Arial Unicode MS" w:cs="Times New Roman"/>
        <w:caps w:val="0"/>
        <w:smallCaps w:val="0"/>
        <w:strike w:val="0"/>
        <w:dstrike w:val="0"/>
        <w:color w:val="000000"/>
        <w:spacing w:val="0"/>
        <w:w w:val="100"/>
        <w:kern w:val="0"/>
        <w:position w:val="0"/>
        <w:vertAlign w:val="baseline"/>
      </w:rPr>
    </w:lvl>
    <w:lvl w:ilvl="2" w:tplc="4094D26A">
      <w:start w:val="1"/>
      <w:numFmt w:val="lowerRoman"/>
      <w:lvlText w:val="%3."/>
      <w:lvlJc w:val="left"/>
      <w:pPr>
        <w:tabs>
          <w:tab w:val="left" w:pos="624"/>
        </w:tabs>
        <w:ind w:left="2113" w:hanging="237"/>
      </w:pPr>
      <w:rPr>
        <w:rFonts w:hAnsi="Arial Unicode MS" w:cs="Times New Roman"/>
        <w:caps w:val="0"/>
        <w:smallCaps w:val="0"/>
        <w:strike w:val="0"/>
        <w:dstrike w:val="0"/>
        <w:color w:val="000000"/>
        <w:spacing w:val="0"/>
        <w:w w:val="100"/>
        <w:kern w:val="0"/>
        <w:position w:val="0"/>
        <w:vertAlign w:val="baseline"/>
      </w:rPr>
    </w:lvl>
    <w:lvl w:ilvl="3" w:tplc="B598329E">
      <w:start w:val="1"/>
      <w:numFmt w:val="lowerRoman"/>
      <w:lvlText w:val="(%4)"/>
      <w:lvlJc w:val="left"/>
      <w:pPr>
        <w:tabs>
          <w:tab w:val="left" w:pos="624"/>
        </w:tabs>
        <w:ind w:left="3090" w:hanging="512"/>
      </w:pPr>
      <w:rPr>
        <w:rFonts w:hAnsi="Arial Unicode MS" w:cs="Times New Roman"/>
        <w:caps w:val="0"/>
        <w:smallCaps w:val="0"/>
        <w:strike w:val="0"/>
        <w:dstrike w:val="0"/>
        <w:color w:val="000000"/>
        <w:spacing w:val="0"/>
        <w:w w:val="100"/>
        <w:kern w:val="0"/>
        <w:position w:val="0"/>
        <w:vertAlign w:val="baseline"/>
      </w:rPr>
    </w:lvl>
    <w:lvl w:ilvl="4" w:tplc="284EAF26">
      <w:start w:val="1"/>
      <w:numFmt w:val="lowerLetter"/>
      <w:lvlText w:val="%5."/>
      <w:lvlJc w:val="left"/>
      <w:pPr>
        <w:tabs>
          <w:tab w:val="left" w:pos="624"/>
        </w:tabs>
        <w:ind w:left="3810" w:hanging="425"/>
      </w:pPr>
      <w:rPr>
        <w:rFonts w:hAnsi="Arial Unicode MS" w:cs="Times New Roman"/>
        <w:caps w:val="0"/>
        <w:smallCaps w:val="0"/>
        <w:strike w:val="0"/>
        <w:dstrike w:val="0"/>
        <w:color w:val="000000"/>
        <w:spacing w:val="0"/>
        <w:w w:val="100"/>
        <w:kern w:val="0"/>
        <w:position w:val="0"/>
        <w:vertAlign w:val="baseline"/>
      </w:rPr>
    </w:lvl>
    <w:lvl w:ilvl="5" w:tplc="BF5834C8">
      <w:start w:val="1"/>
      <w:numFmt w:val="lowerRoman"/>
      <w:lvlText w:val="%6."/>
      <w:lvlJc w:val="left"/>
      <w:pPr>
        <w:tabs>
          <w:tab w:val="left" w:pos="624"/>
        </w:tabs>
        <w:ind w:left="4530" w:hanging="332"/>
      </w:pPr>
      <w:rPr>
        <w:rFonts w:hAnsi="Arial Unicode MS" w:cs="Times New Roman"/>
        <w:caps w:val="0"/>
        <w:smallCaps w:val="0"/>
        <w:strike w:val="0"/>
        <w:dstrike w:val="0"/>
        <w:color w:val="000000"/>
        <w:spacing w:val="0"/>
        <w:w w:val="100"/>
        <w:kern w:val="0"/>
        <w:position w:val="0"/>
        <w:vertAlign w:val="baseline"/>
      </w:rPr>
    </w:lvl>
    <w:lvl w:ilvl="6" w:tplc="53A658B0">
      <w:start w:val="1"/>
      <w:numFmt w:val="decimal"/>
      <w:lvlText w:val="%7."/>
      <w:lvlJc w:val="left"/>
      <w:pPr>
        <w:tabs>
          <w:tab w:val="left" w:pos="624"/>
        </w:tabs>
        <w:ind w:left="5250" w:hanging="425"/>
      </w:pPr>
      <w:rPr>
        <w:rFonts w:hAnsi="Arial Unicode MS" w:cs="Times New Roman"/>
        <w:caps w:val="0"/>
        <w:smallCaps w:val="0"/>
        <w:strike w:val="0"/>
        <w:dstrike w:val="0"/>
        <w:color w:val="000000"/>
        <w:spacing w:val="0"/>
        <w:w w:val="100"/>
        <w:kern w:val="0"/>
        <w:position w:val="0"/>
        <w:vertAlign w:val="baseline"/>
      </w:rPr>
    </w:lvl>
    <w:lvl w:ilvl="7" w:tplc="DB4A24D2">
      <w:start w:val="1"/>
      <w:numFmt w:val="lowerLetter"/>
      <w:lvlText w:val="%8."/>
      <w:lvlJc w:val="left"/>
      <w:pPr>
        <w:tabs>
          <w:tab w:val="left" w:pos="624"/>
        </w:tabs>
        <w:ind w:left="5970" w:hanging="425"/>
      </w:pPr>
      <w:rPr>
        <w:rFonts w:hAnsi="Arial Unicode MS" w:cs="Times New Roman"/>
        <w:caps w:val="0"/>
        <w:smallCaps w:val="0"/>
        <w:strike w:val="0"/>
        <w:dstrike w:val="0"/>
        <w:color w:val="000000"/>
        <w:spacing w:val="0"/>
        <w:w w:val="100"/>
        <w:kern w:val="0"/>
        <w:position w:val="0"/>
        <w:vertAlign w:val="baseline"/>
      </w:rPr>
    </w:lvl>
    <w:lvl w:ilvl="8" w:tplc="D250074C">
      <w:start w:val="1"/>
      <w:numFmt w:val="lowerRoman"/>
      <w:lvlText w:val="%9."/>
      <w:lvlJc w:val="left"/>
      <w:pPr>
        <w:tabs>
          <w:tab w:val="left" w:pos="624"/>
        </w:tabs>
        <w:ind w:left="6690" w:hanging="332"/>
      </w:pPr>
      <w:rPr>
        <w:rFonts w:hAnsi="Arial Unicode MS" w:cs="Times New Roman"/>
        <w:caps w:val="0"/>
        <w:smallCaps w:val="0"/>
        <w:strike w:val="0"/>
        <w:dstrike w:val="0"/>
        <w:color w:val="000000"/>
        <w:spacing w:val="0"/>
        <w:w w:val="100"/>
        <w:kern w:val="0"/>
        <w:position w:val="0"/>
        <w:vertAlign w:val="baseline"/>
      </w:rPr>
    </w:lvl>
  </w:abstractNum>
  <w:abstractNum w:abstractNumId="12">
    <w:nsid w:val="52A66A9D"/>
    <w:multiLevelType w:val="multilevel"/>
    <w:tmpl w:val="057A6BE6"/>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nsid w:val="53C87079"/>
    <w:multiLevelType w:val="hybridMultilevel"/>
    <w:tmpl w:val="F89C2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5D2D62F3"/>
    <w:multiLevelType w:val="hybridMultilevel"/>
    <w:tmpl w:val="B3DC907C"/>
    <w:lvl w:ilvl="0" w:tplc="D15AFE56">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E066267"/>
    <w:multiLevelType w:val="hybridMultilevel"/>
    <w:tmpl w:val="9E9E911A"/>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nsid w:val="69A64C39"/>
    <w:multiLevelType w:val="multilevel"/>
    <w:tmpl w:val="DFD8F630"/>
    <w:lvl w:ilvl="0">
      <w:start w:val="1"/>
      <w:numFmt w:val="bullet"/>
      <w:lvlText w:val=""/>
      <w:lvlJc w:val="left"/>
      <w:pPr>
        <w:tabs>
          <w:tab w:val="num" w:pos="1134"/>
        </w:tabs>
        <w:ind w:left="1247" w:firstLine="0"/>
      </w:pPr>
      <w:rPr>
        <w:rFonts w:ascii="Symbol" w:hAnsi="Symbol"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nsid w:val="69DA1D60"/>
    <w:multiLevelType w:val="multilevel"/>
    <w:tmpl w:val="2C20493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nsid w:val="72FF7563"/>
    <w:multiLevelType w:val="hybridMultilevel"/>
    <w:tmpl w:val="7A02146E"/>
    <w:numStyleLink w:val="Importeradestilen16"/>
  </w:abstractNum>
  <w:num w:numId="1">
    <w:abstractNumId w:val="12"/>
  </w:num>
  <w:num w:numId="2">
    <w:abstractNumId w:val="4"/>
  </w:num>
  <w:num w:numId="3">
    <w:abstractNumId w:val="7"/>
  </w:num>
  <w:num w:numId="4">
    <w:abstractNumId w:val="12"/>
  </w:num>
  <w:num w:numId="5">
    <w:abstractNumId w:val="12"/>
    <w:lvlOverride w:ilvl="0">
      <w:lvl w:ilvl="0">
        <w:start w:val="1"/>
        <w:numFmt w:val="lowerLetter"/>
        <w:lvlText w:val="(%1)"/>
        <w:lvlJc w:val="left"/>
        <w:pPr>
          <w:ind w:left="2174" w:hanging="360"/>
        </w:pPr>
        <w:rPr>
          <w:rFonts w:hint="default"/>
        </w:rPr>
      </w:lvl>
    </w:lvlOverride>
    <w:lvlOverride w:ilvl="1">
      <w:lvl w:ilvl="1">
        <w:start w:val="1"/>
        <w:numFmt w:val="lowerLetter"/>
        <w:lvlText w:val="%2."/>
        <w:lvlJc w:val="left"/>
        <w:pPr>
          <w:ind w:left="2894" w:hanging="360"/>
        </w:pPr>
      </w:lvl>
    </w:lvlOverride>
    <w:lvlOverride w:ilvl="2">
      <w:lvl w:ilvl="2">
        <w:start w:val="1"/>
        <w:numFmt w:val="lowerRoman"/>
        <w:lvlText w:val="%3."/>
        <w:lvlJc w:val="right"/>
        <w:pPr>
          <w:ind w:left="3614" w:hanging="180"/>
        </w:pPr>
      </w:lvl>
    </w:lvlOverride>
    <w:lvlOverride w:ilvl="3">
      <w:lvl w:ilvl="3" w:tentative="1">
        <w:start w:val="1"/>
        <w:numFmt w:val="decimal"/>
        <w:lvlText w:val="%4."/>
        <w:lvlJc w:val="left"/>
        <w:pPr>
          <w:ind w:left="4334" w:hanging="360"/>
        </w:pPr>
      </w:lvl>
    </w:lvlOverride>
    <w:lvlOverride w:ilvl="4">
      <w:lvl w:ilvl="4" w:tentative="1">
        <w:start w:val="1"/>
        <w:numFmt w:val="lowerLetter"/>
        <w:lvlText w:val="%5."/>
        <w:lvlJc w:val="left"/>
        <w:pPr>
          <w:ind w:left="5054" w:hanging="360"/>
        </w:pPr>
      </w:lvl>
    </w:lvlOverride>
    <w:lvlOverride w:ilvl="5">
      <w:lvl w:ilvl="5" w:tentative="1">
        <w:start w:val="1"/>
        <w:numFmt w:val="lowerRoman"/>
        <w:lvlText w:val="%6."/>
        <w:lvlJc w:val="right"/>
        <w:pPr>
          <w:ind w:left="5774" w:hanging="180"/>
        </w:pPr>
      </w:lvl>
    </w:lvlOverride>
    <w:lvlOverride w:ilvl="6">
      <w:lvl w:ilvl="6" w:tentative="1">
        <w:start w:val="1"/>
        <w:numFmt w:val="decimal"/>
        <w:lvlText w:val="%7."/>
        <w:lvlJc w:val="left"/>
        <w:pPr>
          <w:ind w:left="6494" w:hanging="360"/>
        </w:pPr>
      </w:lvl>
    </w:lvlOverride>
    <w:lvlOverride w:ilvl="7">
      <w:lvl w:ilvl="7" w:tentative="1">
        <w:start w:val="1"/>
        <w:numFmt w:val="lowerLetter"/>
        <w:lvlText w:val="%8."/>
        <w:lvlJc w:val="left"/>
        <w:pPr>
          <w:ind w:left="7214" w:hanging="360"/>
        </w:pPr>
      </w:lvl>
    </w:lvlOverride>
    <w:lvlOverride w:ilvl="8">
      <w:lvl w:ilvl="8" w:tentative="1">
        <w:start w:val="1"/>
        <w:numFmt w:val="lowerRoman"/>
        <w:lvlText w:val="%9."/>
        <w:lvlJc w:val="right"/>
        <w:pPr>
          <w:ind w:left="7934" w:hanging="180"/>
        </w:pPr>
      </w:lvl>
    </w:lvlOverride>
  </w:num>
  <w:num w:numId="6">
    <w:abstractNumId w:val="5"/>
  </w:num>
  <w:num w:numId="7">
    <w:abstractNumId w:val="0"/>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num>
  <w:num w:numId="13">
    <w:abstractNumId w:val="11"/>
  </w:num>
  <w:num w:numId="14">
    <w:abstractNumId w:val="10"/>
  </w:num>
  <w:num w:numId="15">
    <w:abstractNumId w:val="15"/>
  </w:num>
  <w:num w:numId="16">
    <w:abstractNumId w:val="1"/>
  </w:num>
  <w:num w:numId="17">
    <w:abstractNumId w:val="9"/>
  </w:num>
  <w:num w:numId="18">
    <w:abstractNumId w:val="14"/>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 w:numId="61">
    <w:abstractNumId w:val="12"/>
  </w:num>
  <w:num w:numId="62">
    <w:abstractNumId w:val="12"/>
  </w:num>
  <w:num w:numId="63">
    <w:abstractNumId w:val="12"/>
  </w:num>
  <w:num w:numId="64">
    <w:abstractNumId w:val="12"/>
  </w:num>
  <w:num w:numId="65">
    <w:abstractNumId w:val="12"/>
  </w:num>
  <w:num w:numId="66">
    <w:abstractNumId w:val="12"/>
  </w:num>
  <w:num w:numId="67">
    <w:abstractNumId w:val="12"/>
  </w:num>
  <w:num w:numId="68">
    <w:abstractNumId w:val="12"/>
  </w:num>
  <w:num w:numId="69">
    <w:abstractNumId w:val="12"/>
  </w:num>
  <w:num w:numId="70">
    <w:abstractNumId w:val="12"/>
  </w:num>
  <w:num w:numId="71">
    <w:abstractNumId w:val="12"/>
  </w:num>
  <w:num w:numId="72">
    <w:abstractNumId w:val="12"/>
  </w:num>
  <w:num w:numId="73">
    <w:abstractNumId w:val="12"/>
  </w:num>
  <w:num w:numId="74">
    <w:abstractNumId w:val="12"/>
  </w:num>
  <w:num w:numId="75">
    <w:abstractNumId w:val="12"/>
  </w:num>
  <w:num w:numId="76">
    <w:abstractNumId w:val="12"/>
  </w:num>
  <w:num w:numId="77">
    <w:abstractNumId w:val="12"/>
  </w:num>
  <w:num w:numId="78">
    <w:abstractNumId w:val="12"/>
  </w:num>
  <w:num w:numId="79">
    <w:abstractNumId w:val="12"/>
  </w:num>
  <w:num w:numId="80">
    <w:abstractNumId w:val="12"/>
  </w:num>
  <w:num w:numId="81">
    <w:abstractNumId w:val="12"/>
  </w:num>
  <w:num w:numId="82">
    <w:abstractNumId w:val="12"/>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 w:numId="93">
    <w:abstractNumId w:val="12"/>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2"/>
  </w:num>
  <w:num w:numId="104">
    <w:abstractNumId w:val="12"/>
  </w:num>
  <w:num w:numId="105">
    <w:abstractNumId w:val="12"/>
  </w:num>
  <w:num w:numId="106">
    <w:abstractNumId w:val="12"/>
  </w:num>
  <w:num w:numId="107">
    <w:abstractNumId w:val="12"/>
  </w:num>
  <w:num w:numId="108">
    <w:abstractNumId w:val="12"/>
  </w:num>
  <w:num w:numId="109">
    <w:abstractNumId w:val="12"/>
  </w:num>
  <w:num w:numId="110">
    <w:abstractNumId w:val="12"/>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111">
    <w:abstractNumId w:val="12"/>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112">
    <w:abstractNumId w:val="18"/>
  </w:num>
  <w:num w:numId="113">
    <w:abstractNumId w:val="12"/>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114">
    <w:abstractNumId w:val="17"/>
  </w:num>
  <w:num w:numId="115">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6">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7">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8">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9">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0">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1">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2">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3">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4">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5">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6">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7">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8">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9">
    <w:abstractNumId w:val="12"/>
    <w:lvlOverride w:ilvl="0">
      <w:lvl w:ilvl="0">
        <w:start w:val="1"/>
        <w:numFmt w:val="decimal"/>
        <w:lvlText w:val="%1."/>
        <w:lvlJc w:val="left"/>
        <w:pPr>
          <w:ind w:left="1607" w:hanging="360"/>
        </w:pPr>
        <w:rPr>
          <w:b w:val="0"/>
          <w:sz w:val="20"/>
          <w:szCs w:val="20"/>
        </w:rPr>
      </w:lvl>
    </w:lvlOverride>
    <w:lvlOverride w:ilvl="1">
      <w:lvl w:ilvl="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30">
    <w:abstractNumId w:val="12"/>
    <w:lvlOverride w:ilvl="0">
      <w:lvl w:ilvl="0">
        <w:start w:val="1"/>
        <w:numFmt w:val="decimal"/>
        <w:lvlText w:val="%1."/>
        <w:lvlJc w:val="left"/>
        <w:pPr>
          <w:ind w:left="1607" w:hanging="360"/>
        </w:pPr>
        <w:rPr>
          <w:b w:val="0"/>
          <w:sz w:val="20"/>
          <w:szCs w:val="20"/>
        </w:rPr>
      </w:lvl>
    </w:lvlOverride>
    <w:lvlOverride w:ilvl="1">
      <w:lvl w:ilvl="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31">
    <w:abstractNumId w:val="12"/>
    <w:lvlOverride w:ilvl="0">
      <w:lvl w:ilvl="0">
        <w:start w:val="1"/>
        <w:numFmt w:val="decimal"/>
        <w:lvlText w:val="%1."/>
        <w:lvlJc w:val="left"/>
        <w:pPr>
          <w:ind w:left="1607" w:hanging="360"/>
        </w:pPr>
        <w:rPr>
          <w:b w:val="0"/>
          <w:sz w:val="20"/>
          <w:szCs w:val="20"/>
        </w:rPr>
      </w:lvl>
    </w:lvlOverride>
    <w:lvlOverride w:ilvl="1">
      <w:lvl w:ilvl="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32">
    <w:abstractNumId w:val="6"/>
  </w:num>
  <w:num w:numId="133">
    <w:abstractNumId w:val="3"/>
  </w:num>
  <w:num w:numId="134">
    <w:abstractNumId w:val="6"/>
  </w:num>
  <w:num w:numId="135">
    <w:abstractNumId w:val="6"/>
  </w:num>
  <w:num w:numId="136">
    <w:abstractNumId w:val="6"/>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fr-FR" w:vendorID="64" w:dllVersion="131078" w:nlCheck="1" w:checkStyle="1"/>
  <w:activeWritingStyle w:appName="MSWord" w:lang="en-GB"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149E6"/>
    <w:rsid w:val="00015071"/>
    <w:rsid w:val="000206E3"/>
    <w:rsid w:val="00021D66"/>
    <w:rsid w:val="000224A3"/>
    <w:rsid w:val="00023DA9"/>
    <w:rsid w:val="000247B0"/>
    <w:rsid w:val="00025365"/>
    <w:rsid w:val="00025D3F"/>
    <w:rsid w:val="00026997"/>
    <w:rsid w:val="00026A08"/>
    <w:rsid w:val="00032E4E"/>
    <w:rsid w:val="00033E0B"/>
    <w:rsid w:val="00035EDE"/>
    <w:rsid w:val="00040D2B"/>
    <w:rsid w:val="00040F3A"/>
    <w:rsid w:val="0004600E"/>
    <w:rsid w:val="00046EE7"/>
    <w:rsid w:val="00050725"/>
    <w:rsid w:val="000509B4"/>
    <w:rsid w:val="00055895"/>
    <w:rsid w:val="00056D50"/>
    <w:rsid w:val="0006035B"/>
    <w:rsid w:val="00060651"/>
    <w:rsid w:val="0006096F"/>
    <w:rsid w:val="00061BD9"/>
    <w:rsid w:val="000649C5"/>
    <w:rsid w:val="0006535F"/>
    <w:rsid w:val="00071886"/>
    <w:rsid w:val="000742BC"/>
    <w:rsid w:val="00076CC6"/>
    <w:rsid w:val="00080AF1"/>
    <w:rsid w:val="00082A0C"/>
    <w:rsid w:val="00083504"/>
    <w:rsid w:val="000835E1"/>
    <w:rsid w:val="00086C8C"/>
    <w:rsid w:val="00091496"/>
    <w:rsid w:val="0009157B"/>
    <w:rsid w:val="0009640C"/>
    <w:rsid w:val="00096899"/>
    <w:rsid w:val="000970CD"/>
    <w:rsid w:val="000A0895"/>
    <w:rsid w:val="000A6643"/>
    <w:rsid w:val="000B22A2"/>
    <w:rsid w:val="000B41CB"/>
    <w:rsid w:val="000B73F9"/>
    <w:rsid w:val="000C2A52"/>
    <w:rsid w:val="000C2DB9"/>
    <w:rsid w:val="000C3408"/>
    <w:rsid w:val="000C482E"/>
    <w:rsid w:val="000C5CF3"/>
    <w:rsid w:val="000C7E57"/>
    <w:rsid w:val="000D33C0"/>
    <w:rsid w:val="000D4CF6"/>
    <w:rsid w:val="000D64DB"/>
    <w:rsid w:val="000D6941"/>
    <w:rsid w:val="000E7C2B"/>
    <w:rsid w:val="000F38FF"/>
    <w:rsid w:val="000F4829"/>
    <w:rsid w:val="000F51FF"/>
    <w:rsid w:val="00101096"/>
    <w:rsid w:val="00106EA3"/>
    <w:rsid w:val="001202E3"/>
    <w:rsid w:val="00123699"/>
    <w:rsid w:val="001241FB"/>
    <w:rsid w:val="0013059D"/>
    <w:rsid w:val="0013124C"/>
    <w:rsid w:val="00132739"/>
    <w:rsid w:val="00136187"/>
    <w:rsid w:val="00141A55"/>
    <w:rsid w:val="00141D44"/>
    <w:rsid w:val="0014293F"/>
    <w:rsid w:val="0014397D"/>
    <w:rsid w:val="001446A3"/>
    <w:rsid w:val="0014559D"/>
    <w:rsid w:val="00147DA1"/>
    <w:rsid w:val="00151627"/>
    <w:rsid w:val="00152B6B"/>
    <w:rsid w:val="001530F2"/>
    <w:rsid w:val="0015462D"/>
    <w:rsid w:val="00155395"/>
    <w:rsid w:val="00156B6B"/>
    <w:rsid w:val="00160D74"/>
    <w:rsid w:val="001646EA"/>
    <w:rsid w:val="00167D02"/>
    <w:rsid w:val="001744E2"/>
    <w:rsid w:val="001759D8"/>
    <w:rsid w:val="00177D7F"/>
    <w:rsid w:val="00180C3F"/>
    <w:rsid w:val="00181EC8"/>
    <w:rsid w:val="00184349"/>
    <w:rsid w:val="00186148"/>
    <w:rsid w:val="001931FD"/>
    <w:rsid w:val="00195F33"/>
    <w:rsid w:val="001A1497"/>
    <w:rsid w:val="001A26AD"/>
    <w:rsid w:val="001A3629"/>
    <w:rsid w:val="001B0205"/>
    <w:rsid w:val="001B1617"/>
    <w:rsid w:val="001B504B"/>
    <w:rsid w:val="001B6F98"/>
    <w:rsid w:val="001C191A"/>
    <w:rsid w:val="001C523D"/>
    <w:rsid w:val="001C5F3B"/>
    <w:rsid w:val="001D3874"/>
    <w:rsid w:val="001D3E5C"/>
    <w:rsid w:val="001D5464"/>
    <w:rsid w:val="001D7B83"/>
    <w:rsid w:val="001D7E75"/>
    <w:rsid w:val="001E0D73"/>
    <w:rsid w:val="001E45BD"/>
    <w:rsid w:val="001E46AC"/>
    <w:rsid w:val="001E53BD"/>
    <w:rsid w:val="001E56D2"/>
    <w:rsid w:val="001E7D56"/>
    <w:rsid w:val="001E7ED6"/>
    <w:rsid w:val="001F03FA"/>
    <w:rsid w:val="001F09EB"/>
    <w:rsid w:val="001F1CC3"/>
    <w:rsid w:val="001F3A1B"/>
    <w:rsid w:val="001F75DE"/>
    <w:rsid w:val="00200D58"/>
    <w:rsid w:val="002011C1"/>
    <w:rsid w:val="002013B3"/>
    <w:rsid w:val="002013BE"/>
    <w:rsid w:val="00201EDC"/>
    <w:rsid w:val="002063A4"/>
    <w:rsid w:val="00210DBF"/>
    <w:rsid w:val="0021145B"/>
    <w:rsid w:val="0021251F"/>
    <w:rsid w:val="00220C23"/>
    <w:rsid w:val="002216D7"/>
    <w:rsid w:val="002238C7"/>
    <w:rsid w:val="002247F6"/>
    <w:rsid w:val="00225E21"/>
    <w:rsid w:val="002304B6"/>
    <w:rsid w:val="00233268"/>
    <w:rsid w:val="00234E78"/>
    <w:rsid w:val="00235B14"/>
    <w:rsid w:val="00236C0F"/>
    <w:rsid w:val="00242D67"/>
    <w:rsid w:val="00243D36"/>
    <w:rsid w:val="00245836"/>
    <w:rsid w:val="00246151"/>
    <w:rsid w:val="00246698"/>
    <w:rsid w:val="00247707"/>
    <w:rsid w:val="00247A9C"/>
    <w:rsid w:val="0026018E"/>
    <w:rsid w:val="00261E02"/>
    <w:rsid w:val="00275C23"/>
    <w:rsid w:val="00282401"/>
    <w:rsid w:val="00286740"/>
    <w:rsid w:val="00287CFA"/>
    <w:rsid w:val="00291EAE"/>
    <w:rsid w:val="002929D8"/>
    <w:rsid w:val="0029570E"/>
    <w:rsid w:val="00296289"/>
    <w:rsid w:val="002A00A2"/>
    <w:rsid w:val="002A1D07"/>
    <w:rsid w:val="002A237D"/>
    <w:rsid w:val="002A4C53"/>
    <w:rsid w:val="002A51DF"/>
    <w:rsid w:val="002A5830"/>
    <w:rsid w:val="002B0672"/>
    <w:rsid w:val="002B247F"/>
    <w:rsid w:val="002B47E9"/>
    <w:rsid w:val="002B50D4"/>
    <w:rsid w:val="002C145D"/>
    <w:rsid w:val="002C2C3E"/>
    <w:rsid w:val="002C533E"/>
    <w:rsid w:val="002D027F"/>
    <w:rsid w:val="002D3012"/>
    <w:rsid w:val="002D3E15"/>
    <w:rsid w:val="002D4013"/>
    <w:rsid w:val="002D7A85"/>
    <w:rsid w:val="002D7B60"/>
    <w:rsid w:val="002E0AA9"/>
    <w:rsid w:val="002F25AD"/>
    <w:rsid w:val="002F4761"/>
    <w:rsid w:val="002F4B55"/>
    <w:rsid w:val="002F5C79"/>
    <w:rsid w:val="002F68EE"/>
    <w:rsid w:val="003019E2"/>
    <w:rsid w:val="003024A9"/>
    <w:rsid w:val="003034F2"/>
    <w:rsid w:val="00310BEB"/>
    <w:rsid w:val="00312543"/>
    <w:rsid w:val="0031280A"/>
    <w:rsid w:val="00313AE4"/>
    <w:rsid w:val="0031413F"/>
    <w:rsid w:val="00314854"/>
    <w:rsid w:val="003148BB"/>
    <w:rsid w:val="00317976"/>
    <w:rsid w:val="00320004"/>
    <w:rsid w:val="003200B4"/>
    <w:rsid w:val="0032017D"/>
    <w:rsid w:val="00320F2F"/>
    <w:rsid w:val="00321838"/>
    <w:rsid w:val="00321BB8"/>
    <w:rsid w:val="00321FB0"/>
    <w:rsid w:val="0032456C"/>
    <w:rsid w:val="00324C70"/>
    <w:rsid w:val="00324D7B"/>
    <w:rsid w:val="003265CD"/>
    <w:rsid w:val="00335985"/>
    <w:rsid w:val="003366A8"/>
    <w:rsid w:val="00352DF4"/>
    <w:rsid w:val="00355EA9"/>
    <w:rsid w:val="00356E0F"/>
    <w:rsid w:val="003578DE"/>
    <w:rsid w:val="00361688"/>
    <w:rsid w:val="003656C1"/>
    <w:rsid w:val="003745A4"/>
    <w:rsid w:val="00386A3E"/>
    <w:rsid w:val="003877D5"/>
    <w:rsid w:val="003929B8"/>
    <w:rsid w:val="00392A9F"/>
    <w:rsid w:val="00392DED"/>
    <w:rsid w:val="00396257"/>
    <w:rsid w:val="003965B1"/>
    <w:rsid w:val="00397EB8"/>
    <w:rsid w:val="003A4FD0"/>
    <w:rsid w:val="003A69D1"/>
    <w:rsid w:val="003A7705"/>
    <w:rsid w:val="003A77F1"/>
    <w:rsid w:val="003B0F25"/>
    <w:rsid w:val="003B11D2"/>
    <w:rsid w:val="003B1545"/>
    <w:rsid w:val="003B1B05"/>
    <w:rsid w:val="003B1B29"/>
    <w:rsid w:val="003B2CA0"/>
    <w:rsid w:val="003C1C8B"/>
    <w:rsid w:val="003C212B"/>
    <w:rsid w:val="003C2335"/>
    <w:rsid w:val="003C3219"/>
    <w:rsid w:val="003C409D"/>
    <w:rsid w:val="003C505D"/>
    <w:rsid w:val="003C5583"/>
    <w:rsid w:val="003C5BA6"/>
    <w:rsid w:val="003C74CF"/>
    <w:rsid w:val="003D3752"/>
    <w:rsid w:val="003D76A0"/>
    <w:rsid w:val="003E35DA"/>
    <w:rsid w:val="003E455D"/>
    <w:rsid w:val="003F0490"/>
    <w:rsid w:val="003F0E85"/>
    <w:rsid w:val="003F4A10"/>
    <w:rsid w:val="004026A1"/>
    <w:rsid w:val="00405920"/>
    <w:rsid w:val="00410C55"/>
    <w:rsid w:val="00416854"/>
    <w:rsid w:val="00417725"/>
    <w:rsid w:val="00420202"/>
    <w:rsid w:val="00421AE0"/>
    <w:rsid w:val="00432755"/>
    <w:rsid w:val="00433292"/>
    <w:rsid w:val="00437165"/>
    <w:rsid w:val="00437F26"/>
    <w:rsid w:val="00441922"/>
    <w:rsid w:val="00443D0B"/>
    <w:rsid w:val="00444097"/>
    <w:rsid w:val="00445487"/>
    <w:rsid w:val="00445DAD"/>
    <w:rsid w:val="00447E0D"/>
    <w:rsid w:val="00450879"/>
    <w:rsid w:val="00450B8F"/>
    <w:rsid w:val="00451E47"/>
    <w:rsid w:val="00454715"/>
    <w:rsid w:val="00454769"/>
    <w:rsid w:val="0046081B"/>
    <w:rsid w:val="00465D27"/>
    <w:rsid w:val="00466991"/>
    <w:rsid w:val="0047064C"/>
    <w:rsid w:val="00470B41"/>
    <w:rsid w:val="004822B7"/>
    <w:rsid w:val="004853C4"/>
    <w:rsid w:val="0049469E"/>
    <w:rsid w:val="004A2217"/>
    <w:rsid w:val="004A24F9"/>
    <w:rsid w:val="004A2CDD"/>
    <w:rsid w:val="004A42E1"/>
    <w:rsid w:val="004A7FFD"/>
    <w:rsid w:val="004B162C"/>
    <w:rsid w:val="004B2ABE"/>
    <w:rsid w:val="004B446D"/>
    <w:rsid w:val="004C0981"/>
    <w:rsid w:val="004C3DBE"/>
    <w:rsid w:val="004C55D9"/>
    <w:rsid w:val="004C5C96"/>
    <w:rsid w:val="004C7DC1"/>
    <w:rsid w:val="004D06A4"/>
    <w:rsid w:val="004D5D0B"/>
    <w:rsid w:val="004F1A81"/>
    <w:rsid w:val="004F46DF"/>
    <w:rsid w:val="005012EA"/>
    <w:rsid w:val="0050199C"/>
    <w:rsid w:val="00504F54"/>
    <w:rsid w:val="005050D2"/>
    <w:rsid w:val="00516F04"/>
    <w:rsid w:val="00517DE6"/>
    <w:rsid w:val="005218D9"/>
    <w:rsid w:val="0053007B"/>
    <w:rsid w:val="005333AB"/>
    <w:rsid w:val="00536186"/>
    <w:rsid w:val="00544CBB"/>
    <w:rsid w:val="005451C5"/>
    <w:rsid w:val="005530F1"/>
    <w:rsid w:val="0055381B"/>
    <w:rsid w:val="005572B8"/>
    <w:rsid w:val="005606F6"/>
    <w:rsid w:val="0056523B"/>
    <w:rsid w:val="005656D7"/>
    <w:rsid w:val="0057315F"/>
    <w:rsid w:val="00576104"/>
    <w:rsid w:val="005820A7"/>
    <w:rsid w:val="00592B21"/>
    <w:rsid w:val="005A3B3A"/>
    <w:rsid w:val="005B44BF"/>
    <w:rsid w:val="005B6AFE"/>
    <w:rsid w:val="005C482F"/>
    <w:rsid w:val="005C5AC8"/>
    <w:rsid w:val="005C67C8"/>
    <w:rsid w:val="005D0249"/>
    <w:rsid w:val="005D18FA"/>
    <w:rsid w:val="005D4FD4"/>
    <w:rsid w:val="005D57CC"/>
    <w:rsid w:val="005D6E8C"/>
    <w:rsid w:val="005E205C"/>
    <w:rsid w:val="005E3004"/>
    <w:rsid w:val="005F100C"/>
    <w:rsid w:val="005F68DA"/>
    <w:rsid w:val="00601057"/>
    <w:rsid w:val="00601BC9"/>
    <w:rsid w:val="0060773B"/>
    <w:rsid w:val="00610DAE"/>
    <w:rsid w:val="00613FD6"/>
    <w:rsid w:val="006157B5"/>
    <w:rsid w:val="00615C2C"/>
    <w:rsid w:val="00615F43"/>
    <w:rsid w:val="00617224"/>
    <w:rsid w:val="00626FC6"/>
    <w:rsid w:val="00627DC9"/>
    <w:rsid w:val="006303B4"/>
    <w:rsid w:val="00630ADC"/>
    <w:rsid w:val="00633D3D"/>
    <w:rsid w:val="00635681"/>
    <w:rsid w:val="00641703"/>
    <w:rsid w:val="006431A6"/>
    <w:rsid w:val="00643B83"/>
    <w:rsid w:val="00643E3A"/>
    <w:rsid w:val="00645834"/>
    <w:rsid w:val="006459F6"/>
    <w:rsid w:val="006501AD"/>
    <w:rsid w:val="00651BFA"/>
    <w:rsid w:val="00654475"/>
    <w:rsid w:val="006548C4"/>
    <w:rsid w:val="00655EED"/>
    <w:rsid w:val="00656DF0"/>
    <w:rsid w:val="00663F93"/>
    <w:rsid w:val="00665A4B"/>
    <w:rsid w:val="00665FE1"/>
    <w:rsid w:val="00666595"/>
    <w:rsid w:val="006744EA"/>
    <w:rsid w:val="00674800"/>
    <w:rsid w:val="00684425"/>
    <w:rsid w:val="00690931"/>
    <w:rsid w:val="00691C5B"/>
    <w:rsid w:val="00692E2A"/>
    <w:rsid w:val="006A76F2"/>
    <w:rsid w:val="006C0543"/>
    <w:rsid w:val="006D19D4"/>
    <w:rsid w:val="006D7EFB"/>
    <w:rsid w:val="006E51EA"/>
    <w:rsid w:val="006E6672"/>
    <w:rsid w:val="006E6722"/>
    <w:rsid w:val="006E72CF"/>
    <w:rsid w:val="006F1378"/>
    <w:rsid w:val="006F16F3"/>
    <w:rsid w:val="006F51BB"/>
    <w:rsid w:val="006F7AFF"/>
    <w:rsid w:val="007027B9"/>
    <w:rsid w:val="00703511"/>
    <w:rsid w:val="007066B5"/>
    <w:rsid w:val="007145DA"/>
    <w:rsid w:val="0071470C"/>
    <w:rsid w:val="00715E88"/>
    <w:rsid w:val="00716D50"/>
    <w:rsid w:val="00723529"/>
    <w:rsid w:val="007260E6"/>
    <w:rsid w:val="00734CAA"/>
    <w:rsid w:val="007366A6"/>
    <w:rsid w:val="00741552"/>
    <w:rsid w:val="00742680"/>
    <w:rsid w:val="00751E31"/>
    <w:rsid w:val="0075533C"/>
    <w:rsid w:val="00757581"/>
    <w:rsid w:val="007602F5"/>
    <w:rsid w:val="00760A19"/>
    <w:rsid w:val="00760D36"/>
    <w:rsid w:val="007611A0"/>
    <w:rsid w:val="007667C2"/>
    <w:rsid w:val="00767155"/>
    <w:rsid w:val="00773E4C"/>
    <w:rsid w:val="00773E54"/>
    <w:rsid w:val="00774AD1"/>
    <w:rsid w:val="00777DA3"/>
    <w:rsid w:val="00787688"/>
    <w:rsid w:val="00790977"/>
    <w:rsid w:val="0079178D"/>
    <w:rsid w:val="00791B78"/>
    <w:rsid w:val="007935E6"/>
    <w:rsid w:val="00796D3F"/>
    <w:rsid w:val="007A1683"/>
    <w:rsid w:val="007A3A88"/>
    <w:rsid w:val="007A5C12"/>
    <w:rsid w:val="007A7CB0"/>
    <w:rsid w:val="007B2907"/>
    <w:rsid w:val="007B2CE7"/>
    <w:rsid w:val="007B68A3"/>
    <w:rsid w:val="007C0998"/>
    <w:rsid w:val="007C2541"/>
    <w:rsid w:val="007C45B2"/>
    <w:rsid w:val="007D66A8"/>
    <w:rsid w:val="007E003F"/>
    <w:rsid w:val="007E12E8"/>
    <w:rsid w:val="007E3707"/>
    <w:rsid w:val="007E3877"/>
    <w:rsid w:val="007F0CF8"/>
    <w:rsid w:val="007F62CB"/>
    <w:rsid w:val="00804FED"/>
    <w:rsid w:val="008142EC"/>
    <w:rsid w:val="008164F2"/>
    <w:rsid w:val="00820EBF"/>
    <w:rsid w:val="00821395"/>
    <w:rsid w:val="0082728F"/>
    <w:rsid w:val="00830E26"/>
    <w:rsid w:val="00831836"/>
    <w:rsid w:val="00833658"/>
    <w:rsid w:val="00835309"/>
    <w:rsid w:val="00843163"/>
    <w:rsid w:val="008433FD"/>
    <w:rsid w:val="00843576"/>
    <w:rsid w:val="00843B64"/>
    <w:rsid w:val="00845A15"/>
    <w:rsid w:val="0084767A"/>
    <w:rsid w:val="008478FC"/>
    <w:rsid w:val="00851C51"/>
    <w:rsid w:val="00856CDB"/>
    <w:rsid w:val="00867BFF"/>
    <w:rsid w:val="00871542"/>
    <w:rsid w:val="008725CB"/>
    <w:rsid w:val="008727D8"/>
    <w:rsid w:val="00872BF6"/>
    <w:rsid w:val="00883BF8"/>
    <w:rsid w:val="0088480A"/>
    <w:rsid w:val="0088757A"/>
    <w:rsid w:val="008908B6"/>
    <w:rsid w:val="008915BC"/>
    <w:rsid w:val="00893A7C"/>
    <w:rsid w:val="0089431B"/>
    <w:rsid w:val="00894479"/>
    <w:rsid w:val="00895668"/>
    <w:rsid w:val="008957DD"/>
    <w:rsid w:val="00897D98"/>
    <w:rsid w:val="008A0FDF"/>
    <w:rsid w:val="008A35AB"/>
    <w:rsid w:val="008A6DF2"/>
    <w:rsid w:val="008A7807"/>
    <w:rsid w:val="008B4CC9"/>
    <w:rsid w:val="008C2D27"/>
    <w:rsid w:val="008C33EE"/>
    <w:rsid w:val="008C3727"/>
    <w:rsid w:val="008C4C3C"/>
    <w:rsid w:val="008C6038"/>
    <w:rsid w:val="008C615B"/>
    <w:rsid w:val="008C7AC7"/>
    <w:rsid w:val="008D4E99"/>
    <w:rsid w:val="008D75E4"/>
    <w:rsid w:val="008D7C99"/>
    <w:rsid w:val="008D7F93"/>
    <w:rsid w:val="008E0FCB"/>
    <w:rsid w:val="008E1454"/>
    <w:rsid w:val="008E1FBB"/>
    <w:rsid w:val="008E2357"/>
    <w:rsid w:val="008E55C2"/>
    <w:rsid w:val="008F6DFE"/>
    <w:rsid w:val="0090529F"/>
    <w:rsid w:val="0092178C"/>
    <w:rsid w:val="00926A52"/>
    <w:rsid w:val="00930B88"/>
    <w:rsid w:val="00936DD7"/>
    <w:rsid w:val="00940DCC"/>
    <w:rsid w:val="0094179A"/>
    <w:rsid w:val="0094459E"/>
    <w:rsid w:val="00944DBC"/>
    <w:rsid w:val="00945EA0"/>
    <w:rsid w:val="00946A46"/>
    <w:rsid w:val="00950977"/>
    <w:rsid w:val="00951A7B"/>
    <w:rsid w:val="00954733"/>
    <w:rsid w:val="009549E8"/>
    <w:rsid w:val="009564A6"/>
    <w:rsid w:val="0095710E"/>
    <w:rsid w:val="0096165D"/>
    <w:rsid w:val="009627CF"/>
    <w:rsid w:val="009666B3"/>
    <w:rsid w:val="00966A53"/>
    <w:rsid w:val="00967621"/>
    <w:rsid w:val="00967E6A"/>
    <w:rsid w:val="00982FA4"/>
    <w:rsid w:val="0098494C"/>
    <w:rsid w:val="009907B9"/>
    <w:rsid w:val="00990918"/>
    <w:rsid w:val="0099193B"/>
    <w:rsid w:val="0099464F"/>
    <w:rsid w:val="00996C07"/>
    <w:rsid w:val="009A3A83"/>
    <w:rsid w:val="009A4FC4"/>
    <w:rsid w:val="009A7A3D"/>
    <w:rsid w:val="009A7C30"/>
    <w:rsid w:val="009B3A42"/>
    <w:rsid w:val="009B4A0F"/>
    <w:rsid w:val="009B56A1"/>
    <w:rsid w:val="009B5984"/>
    <w:rsid w:val="009B71C0"/>
    <w:rsid w:val="009C11D2"/>
    <w:rsid w:val="009C6C70"/>
    <w:rsid w:val="009C7B0A"/>
    <w:rsid w:val="009D0B63"/>
    <w:rsid w:val="009D5CB8"/>
    <w:rsid w:val="009E307E"/>
    <w:rsid w:val="009E591D"/>
    <w:rsid w:val="009F6577"/>
    <w:rsid w:val="00A00C78"/>
    <w:rsid w:val="00A02414"/>
    <w:rsid w:val="00A06D51"/>
    <w:rsid w:val="00A07870"/>
    <w:rsid w:val="00A07C54"/>
    <w:rsid w:val="00A07F19"/>
    <w:rsid w:val="00A13378"/>
    <w:rsid w:val="00A1348D"/>
    <w:rsid w:val="00A13C99"/>
    <w:rsid w:val="00A14C63"/>
    <w:rsid w:val="00A232EE"/>
    <w:rsid w:val="00A245F5"/>
    <w:rsid w:val="00A27419"/>
    <w:rsid w:val="00A308F6"/>
    <w:rsid w:val="00A414F6"/>
    <w:rsid w:val="00A4175F"/>
    <w:rsid w:val="00A44411"/>
    <w:rsid w:val="00A469FA"/>
    <w:rsid w:val="00A470F5"/>
    <w:rsid w:val="00A47578"/>
    <w:rsid w:val="00A53662"/>
    <w:rsid w:val="00A55B01"/>
    <w:rsid w:val="00A56B5B"/>
    <w:rsid w:val="00A603FF"/>
    <w:rsid w:val="00A619B6"/>
    <w:rsid w:val="00A6317E"/>
    <w:rsid w:val="00A648CA"/>
    <w:rsid w:val="00A657DD"/>
    <w:rsid w:val="00A666A6"/>
    <w:rsid w:val="00A675FD"/>
    <w:rsid w:val="00A72437"/>
    <w:rsid w:val="00A72CAA"/>
    <w:rsid w:val="00A77963"/>
    <w:rsid w:val="00A77BC5"/>
    <w:rsid w:val="00A8048B"/>
    <w:rsid w:val="00A80611"/>
    <w:rsid w:val="00A96AC4"/>
    <w:rsid w:val="00AA3441"/>
    <w:rsid w:val="00AA5BF4"/>
    <w:rsid w:val="00AA6DB2"/>
    <w:rsid w:val="00AB5340"/>
    <w:rsid w:val="00AB6BEE"/>
    <w:rsid w:val="00AC0A89"/>
    <w:rsid w:val="00AC4820"/>
    <w:rsid w:val="00AC787B"/>
    <w:rsid w:val="00AC7C96"/>
    <w:rsid w:val="00AD094A"/>
    <w:rsid w:val="00AD0986"/>
    <w:rsid w:val="00AD1932"/>
    <w:rsid w:val="00AD33AB"/>
    <w:rsid w:val="00AD4F02"/>
    <w:rsid w:val="00AE237D"/>
    <w:rsid w:val="00AE4913"/>
    <w:rsid w:val="00AE502A"/>
    <w:rsid w:val="00AE6AEA"/>
    <w:rsid w:val="00AF0010"/>
    <w:rsid w:val="00AF2C1F"/>
    <w:rsid w:val="00AF2C38"/>
    <w:rsid w:val="00AF7884"/>
    <w:rsid w:val="00AF7C07"/>
    <w:rsid w:val="00B03133"/>
    <w:rsid w:val="00B05052"/>
    <w:rsid w:val="00B06C64"/>
    <w:rsid w:val="00B078FB"/>
    <w:rsid w:val="00B118A9"/>
    <w:rsid w:val="00B11CAC"/>
    <w:rsid w:val="00B153FE"/>
    <w:rsid w:val="00B15A29"/>
    <w:rsid w:val="00B21ED0"/>
    <w:rsid w:val="00B21F67"/>
    <w:rsid w:val="00B22C93"/>
    <w:rsid w:val="00B27589"/>
    <w:rsid w:val="00B405B7"/>
    <w:rsid w:val="00B453EF"/>
    <w:rsid w:val="00B47BFC"/>
    <w:rsid w:val="00B50519"/>
    <w:rsid w:val="00B52222"/>
    <w:rsid w:val="00B52E6A"/>
    <w:rsid w:val="00B531DA"/>
    <w:rsid w:val="00B54895"/>
    <w:rsid w:val="00B54FE7"/>
    <w:rsid w:val="00B647C6"/>
    <w:rsid w:val="00B655F9"/>
    <w:rsid w:val="00B66901"/>
    <w:rsid w:val="00B71E6D"/>
    <w:rsid w:val="00B72070"/>
    <w:rsid w:val="00B721D6"/>
    <w:rsid w:val="00B75392"/>
    <w:rsid w:val="00B779E1"/>
    <w:rsid w:val="00B77B3C"/>
    <w:rsid w:val="00B81E3A"/>
    <w:rsid w:val="00B85401"/>
    <w:rsid w:val="00B85CFB"/>
    <w:rsid w:val="00B91EE1"/>
    <w:rsid w:val="00B94602"/>
    <w:rsid w:val="00B96CFC"/>
    <w:rsid w:val="00BA0090"/>
    <w:rsid w:val="00BA1A67"/>
    <w:rsid w:val="00BA3187"/>
    <w:rsid w:val="00BA6A80"/>
    <w:rsid w:val="00BA6AE1"/>
    <w:rsid w:val="00BA747F"/>
    <w:rsid w:val="00BB2C67"/>
    <w:rsid w:val="00BB4ABB"/>
    <w:rsid w:val="00BC0EBF"/>
    <w:rsid w:val="00BD280C"/>
    <w:rsid w:val="00BD3A6A"/>
    <w:rsid w:val="00BE174C"/>
    <w:rsid w:val="00BE5742"/>
    <w:rsid w:val="00BE5B5F"/>
    <w:rsid w:val="00BE6466"/>
    <w:rsid w:val="00BE6758"/>
    <w:rsid w:val="00BE7993"/>
    <w:rsid w:val="00BF360D"/>
    <w:rsid w:val="00BF4703"/>
    <w:rsid w:val="00BF50C7"/>
    <w:rsid w:val="00C047A0"/>
    <w:rsid w:val="00C10336"/>
    <w:rsid w:val="00C13ED2"/>
    <w:rsid w:val="00C14FF7"/>
    <w:rsid w:val="00C257CD"/>
    <w:rsid w:val="00C260E3"/>
    <w:rsid w:val="00C26F55"/>
    <w:rsid w:val="00C30C63"/>
    <w:rsid w:val="00C30FF3"/>
    <w:rsid w:val="00C36B8B"/>
    <w:rsid w:val="00C37ED7"/>
    <w:rsid w:val="00C415C1"/>
    <w:rsid w:val="00C47DBF"/>
    <w:rsid w:val="00C53432"/>
    <w:rsid w:val="00C552FF"/>
    <w:rsid w:val="00C553AB"/>
    <w:rsid w:val="00C558DA"/>
    <w:rsid w:val="00C55AF3"/>
    <w:rsid w:val="00C66B68"/>
    <w:rsid w:val="00C67C17"/>
    <w:rsid w:val="00C73709"/>
    <w:rsid w:val="00C7642A"/>
    <w:rsid w:val="00C771A9"/>
    <w:rsid w:val="00C84759"/>
    <w:rsid w:val="00C84D00"/>
    <w:rsid w:val="00C959E8"/>
    <w:rsid w:val="00CA5CA9"/>
    <w:rsid w:val="00CA6C7F"/>
    <w:rsid w:val="00CB07B9"/>
    <w:rsid w:val="00CB6B35"/>
    <w:rsid w:val="00CB6DE4"/>
    <w:rsid w:val="00CC0303"/>
    <w:rsid w:val="00CC0FC7"/>
    <w:rsid w:val="00CC10A6"/>
    <w:rsid w:val="00CC551D"/>
    <w:rsid w:val="00CC6A69"/>
    <w:rsid w:val="00CD5EB8"/>
    <w:rsid w:val="00CD7044"/>
    <w:rsid w:val="00CD72C5"/>
    <w:rsid w:val="00CE0733"/>
    <w:rsid w:val="00CE08B9"/>
    <w:rsid w:val="00CE49F6"/>
    <w:rsid w:val="00CE524C"/>
    <w:rsid w:val="00CE7537"/>
    <w:rsid w:val="00CF074A"/>
    <w:rsid w:val="00CF141F"/>
    <w:rsid w:val="00CF4777"/>
    <w:rsid w:val="00CF55A6"/>
    <w:rsid w:val="00CF65C8"/>
    <w:rsid w:val="00D001CD"/>
    <w:rsid w:val="00D013F5"/>
    <w:rsid w:val="00D059C0"/>
    <w:rsid w:val="00D05E3F"/>
    <w:rsid w:val="00D067BB"/>
    <w:rsid w:val="00D10973"/>
    <w:rsid w:val="00D13433"/>
    <w:rsid w:val="00D1352A"/>
    <w:rsid w:val="00D135F6"/>
    <w:rsid w:val="00D169AF"/>
    <w:rsid w:val="00D25249"/>
    <w:rsid w:val="00D27BD7"/>
    <w:rsid w:val="00D35346"/>
    <w:rsid w:val="00D41249"/>
    <w:rsid w:val="00D4138C"/>
    <w:rsid w:val="00D41721"/>
    <w:rsid w:val="00D435D0"/>
    <w:rsid w:val="00D44172"/>
    <w:rsid w:val="00D47BE3"/>
    <w:rsid w:val="00D502EC"/>
    <w:rsid w:val="00D52C44"/>
    <w:rsid w:val="00D63B8C"/>
    <w:rsid w:val="00D65C7E"/>
    <w:rsid w:val="00D6778D"/>
    <w:rsid w:val="00D7265E"/>
    <w:rsid w:val="00D739CC"/>
    <w:rsid w:val="00D8093D"/>
    <w:rsid w:val="00D8108C"/>
    <w:rsid w:val="00D842AE"/>
    <w:rsid w:val="00D86FBA"/>
    <w:rsid w:val="00D90A62"/>
    <w:rsid w:val="00D9211C"/>
    <w:rsid w:val="00D92B05"/>
    <w:rsid w:val="00D92DE0"/>
    <w:rsid w:val="00D92FEF"/>
    <w:rsid w:val="00D93A0F"/>
    <w:rsid w:val="00DA1BCA"/>
    <w:rsid w:val="00DA4A4D"/>
    <w:rsid w:val="00DA5513"/>
    <w:rsid w:val="00DA724A"/>
    <w:rsid w:val="00DB24A4"/>
    <w:rsid w:val="00DB3CDA"/>
    <w:rsid w:val="00DC0FBB"/>
    <w:rsid w:val="00DC41EB"/>
    <w:rsid w:val="00DC46FF"/>
    <w:rsid w:val="00DC4F40"/>
    <w:rsid w:val="00DC5254"/>
    <w:rsid w:val="00DC569D"/>
    <w:rsid w:val="00DC620E"/>
    <w:rsid w:val="00DD1A4F"/>
    <w:rsid w:val="00DD2AFA"/>
    <w:rsid w:val="00DD3107"/>
    <w:rsid w:val="00DD4116"/>
    <w:rsid w:val="00DD46E5"/>
    <w:rsid w:val="00DD7C2C"/>
    <w:rsid w:val="00DE399E"/>
    <w:rsid w:val="00DE5BDA"/>
    <w:rsid w:val="00DE6F4F"/>
    <w:rsid w:val="00DF3460"/>
    <w:rsid w:val="00DF3637"/>
    <w:rsid w:val="00DF433C"/>
    <w:rsid w:val="00E0035A"/>
    <w:rsid w:val="00E06797"/>
    <w:rsid w:val="00E1265B"/>
    <w:rsid w:val="00E13B48"/>
    <w:rsid w:val="00E13D24"/>
    <w:rsid w:val="00E1404F"/>
    <w:rsid w:val="00E141F1"/>
    <w:rsid w:val="00E14853"/>
    <w:rsid w:val="00E21C83"/>
    <w:rsid w:val="00E23510"/>
    <w:rsid w:val="00E24ADA"/>
    <w:rsid w:val="00E32F59"/>
    <w:rsid w:val="00E41908"/>
    <w:rsid w:val="00E46D9A"/>
    <w:rsid w:val="00E47152"/>
    <w:rsid w:val="00E47BAC"/>
    <w:rsid w:val="00E565FF"/>
    <w:rsid w:val="00E573D5"/>
    <w:rsid w:val="00E64159"/>
    <w:rsid w:val="00E65388"/>
    <w:rsid w:val="00E74635"/>
    <w:rsid w:val="00E76977"/>
    <w:rsid w:val="00E7741D"/>
    <w:rsid w:val="00E808CD"/>
    <w:rsid w:val="00E80AD2"/>
    <w:rsid w:val="00E82B54"/>
    <w:rsid w:val="00E8348F"/>
    <w:rsid w:val="00E8548A"/>
    <w:rsid w:val="00E85B7D"/>
    <w:rsid w:val="00E868DE"/>
    <w:rsid w:val="00E9121B"/>
    <w:rsid w:val="00E929D4"/>
    <w:rsid w:val="00E9302E"/>
    <w:rsid w:val="00E96FEE"/>
    <w:rsid w:val="00E976AB"/>
    <w:rsid w:val="00EA0AE2"/>
    <w:rsid w:val="00EA2DC3"/>
    <w:rsid w:val="00EA39E5"/>
    <w:rsid w:val="00EA57A3"/>
    <w:rsid w:val="00EA5A60"/>
    <w:rsid w:val="00EB5D4E"/>
    <w:rsid w:val="00EC1E57"/>
    <w:rsid w:val="00EC2813"/>
    <w:rsid w:val="00EC31E1"/>
    <w:rsid w:val="00EC3F36"/>
    <w:rsid w:val="00EC5A46"/>
    <w:rsid w:val="00EC63E2"/>
    <w:rsid w:val="00ED2C54"/>
    <w:rsid w:val="00ED366A"/>
    <w:rsid w:val="00ED3DB2"/>
    <w:rsid w:val="00ED4F25"/>
    <w:rsid w:val="00ED6BB7"/>
    <w:rsid w:val="00EE1723"/>
    <w:rsid w:val="00EE22ED"/>
    <w:rsid w:val="00EE58CD"/>
    <w:rsid w:val="00EF22B3"/>
    <w:rsid w:val="00EF7C86"/>
    <w:rsid w:val="00EF7EA1"/>
    <w:rsid w:val="00F03B69"/>
    <w:rsid w:val="00F043DA"/>
    <w:rsid w:val="00F07A50"/>
    <w:rsid w:val="00F113DA"/>
    <w:rsid w:val="00F134E0"/>
    <w:rsid w:val="00F13C26"/>
    <w:rsid w:val="00F1627C"/>
    <w:rsid w:val="00F266FC"/>
    <w:rsid w:val="00F27438"/>
    <w:rsid w:val="00F3037A"/>
    <w:rsid w:val="00F3465A"/>
    <w:rsid w:val="00F37DC8"/>
    <w:rsid w:val="00F439B3"/>
    <w:rsid w:val="00F43ED5"/>
    <w:rsid w:val="00F5169F"/>
    <w:rsid w:val="00F57D32"/>
    <w:rsid w:val="00F650C3"/>
    <w:rsid w:val="00F65D85"/>
    <w:rsid w:val="00F6700B"/>
    <w:rsid w:val="00F70E4F"/>
    <w:rsid w:val="00F73267"/>
    <w:rsid w:val="00F74134"/>
    <w:rsid w:val="00F8091E"/>
    <w:rsid w:val="00F8615C"/>
    <w:rsid w:val="00F879AB"/>
    <w:rsid w:val="00F969E5"/>
    <w:rsid w:val="00FA259E"/>
    <w:rsid w:val="00FA30AC"/>
    <w:rsid w:val="00FA44CB"/>
    <w:rsid w:val="00FA4972"/>
    <w:rsid w:val="00FA6BB0"/>
    <w:rsid w:val="00FB2DBD"/>
    <w:rsid w:val="00FB53D9"/>
    <w:rsid w:val="00FC3631"/>
    <w:rsid w:val="00FC4B57"/>
    <w:rsid w:val="00FD48DF"/>
    <w:rsid w:val="00FD5860"/>
    <w:rsid w:val="00FD5C01"/>
    <w:rsid w:val="00FE352D"/>
    <w:rsid w:val="00FE3730"/>
    <w:rsid w:val="00FE40EB"/>
    <w:rsid w:val="00FE457E"/>
    <w:rsid w:val="00FE4D02"/>
    <w:rsid w:val="00FE67C6"/>
    <w:rsid w:val="00FE7D62"/>
    <w:rsid w:val="00FF1B47"/>
    <w:rsid w:val="00FF3819"/>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7B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AE6AEA"/>
    <w:pPr>
      <w:numPr>
        <w:numId w:val="132"/>
      </w:numPr>
      <w:tabs>
        <w:tab w:val="clear" w:pos="1247"/>
        <w:tab w:val="clear" w:pos="1814"/>
        <w:tab w:val="clear" w:pos="2381"/>
        <w:tab w:val="clear" w:pos="2948"/>
        <w:tab w:val="clear" w:pos="3515"/>
        <w:tab w:val="clear" w:pos="4082"/>
        <w:tab w:val="left" w:pos="624"/>
      </w:tabs>
      <w:spacing w:after="120"/>
      <w:ind w:left="1247" w:firstLine="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445DA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numbering" w:customStyle="1" w:styleId="Importeradestilen16">
    <w:name w:val="Importerade stilen 16"/>
    <w:rsid w:val="00445DAD"/>
    <w:pPr>
      <w:numPr>
        <w:numId w:val="11"/>
      </w:numPr>
    </w:pPr>
  </w:style>
  <w:style w:type="numbering" w:customStyle="1" w:styleId="Importeradestilen17">
    <w:name w:val="Importerade stilen 17"/>
    <w:rsid w:val="00445DAD"/>
    <w:pPr>
      <w:numPr>
        <w:numId w:val="13"/>
      </w:numPr>
    </w:pPr>
  </w:style>
  <w:style w:type="character" w:customStyle="1" w:styleId="Hyperlink0">
    <w:name w:val="Hyperlink.0"/>
    <w:rsid w:val="00D7265E"/>
    <w:rPr>
      <w:rFonts w:cs="Times New Roman"/>
      <w:lang w:val="en-US"/>
    </w:rPr>
  </w:style>
  <w:style w:type="character" w:customStyle="1" w:styleId="Normal-poolChar">
    <w:name w:val="Normal-pool Char"/>
    <w:link w:val="Normal-pool"/>
    <w:locked/>
    <w:rsid w:val="00D7265E"/>
    <w:rPr>
      <w:lang w:eastAsia="en-US"/>
    </w:rPr>
  </w:style>
  <w:style w:type="paragraph" w:styleId="Revision">
    <w:name w:val="Revision"/>
    <w:hidden/>
    <w:uiPriority w:val="99"/>
    <w:semiHidden/>
    <w:rsid w:val="00C257C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AE6AEA"/>
    <w:pPr>
      <w:numPr>
        <w:numId w:val="132"/>
      </w:numPr>
      <w:tabs>
        <w:tab w:val="clear" w:pos="1247"/>
        <w:tab w:val="clear" w:pos="1814"/>
        <w:tab w:val="clear" w:pos="2381"/>
        <w:tab w:val="clear" w:pos="2948"/>
        <w:tab w:val="clear" w:pos="3515"/>
        <w:tab w:val="clear" w:pos="4082"/>
        <w:tab w:val="left" w:pos="624"/>
      </w:tabs>
      <w:spacing w:after="120"/>
      <w:ind w:left="1247" w:firstLine="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445DA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numbering" w:customStyle="1" w:styleId="Importeradestilen16">
    <w:name w:val="Importerade stilen 16"/>
    <w:rsid w:val="00445DAD"/>
    <w:pPr>
      <w:numPr>
        <w:numId w:val="11"/>
      </w:numPr>
    </w:pPr>
  </w:style>
  <w:style w:type="numbering" w:customStyle="1" w:styleId="Importeradestilen17">
    <w:name w:val="Importerade stilen 17"/>
    <w:rsid w:val="00445DAD"/>
    <w:pPr>
      <w:numPr>
        <w:numId w:val="13"/>
      </w:numPr>
    </w:pPr>
  </w:style>
  <w:style w:type="character" w:customStyle="1" w:styleId="Hyperlink0">
    <w:name w:val="Hyperlink.0"/>
    <w:rsid w:val="00D7265E"/>
    <w:rPr>
      <w:rFonts w:cs="Times New Roman"/>
      <w:lang w:val="en-US"/>
    </w:rPr>
  </w:style>
  <w:style w:type="character" w:customStyle="1" w:styleId="Normal-poolChar">
    <w:name w:val="Normal-pool Char"/>
    <w:link w:val="Normal-pool"/>
    <w:locked/>
    <w:rsid w:val="00D7265E"/>
    <w:rPr>
      <w:lang w:eastAsia="en-US"/>
    </w:rPr>
  </w:style>
  <w:style w:type="paragraph" w:styleId="Revision">
    <w:name w:val="Revision"/>
    <w:hidden/>
    <w:uiPriority w:val="99"/>
    <w:semiHidden/>
    <w:rsid w:val="00C257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4B83-766C-4856-AE8F-8876B01E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5675</Words>
  <Characters>32348</Characters>
  <Application>Microsoft Office Word</Application>
  <DocSecurity>0</DocSecurity>
  <Lines>269</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37948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Herimalala Raveloarinjato</cp:lastModifiedBy>
  <cp:revision>2</cp:revision>
  <cp:lastPrinted>2017-06-19T12:34:00Z</cp:lastPrinted>
  <dcterms:created xsi:type="dcterms:W3CDTF">2017-06-23T06:58:00Z</dcterms:created>
  <dcterms:modified xsi:type="dcterms:W3CDTF">2017-06-23T06:58:00Z</dcterms:modified>
</cp:coreProperties>
</file>