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49"/>
        <w:gridCol w:w="4748"/>
        <w:gridCol w:w="3409"/>
      </w:tblGrid>
      <w:tr w:rsidR="00032E4E" w:rsidRPr="006A1074" w14:paraId="2156981B" w14:textId="77777777" w:rsidTr="00BB2D61">
        <w:trPr>
          <w:cantSplit/>
          <w:trHeight w:val="850"/>
          <w:jc w:val="right"/>
        </w:trPr>
        <w:tc>
          <w:tcPr>
            <w:tcW w:w="1549" w:type="dxa"/>
          </w:tcPr>
          <w:p w14:paraId="5E977FA5" w14:textId="77777777" w:rsidR="00032E4E" w:rsidRPr="006A1074" w:rsidRDefault="00032E4E"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48" w:type="dxa"/>
          </w:tcPr>
          <w:p w14:paraId="7508B355" w14:textId="77777777" w:rsidR="00032E4E" w:rsidRPr="006A1074" w:rsidRDefault="00032E4E" w:rsidP="00023DA9">
            <w:pPr>
              <w:rPr>
                <w:rFonts w:ascii="Univers" w:hAnsi="Univers"/>
                <w:b/>
                <w:sz w:val="27"/>
                <w:szCs w:val="27"/>
              </w:rPr>
            </w:pPr>
          </w:p>
        </w:tc>
        <w:tc>
          <w:tcPr>
            <w:tcW w:w="3409" w:type="dxa"/>
          </w:tcPr>
          <w:p w14:paraId="69D4BCA9"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330F08B6" w14:textId="77777777" w:rsidTr="00BB2D61">
        <w:trPr>
          <w:cantSplit/>
          <w:trHeight w:val="281"/>
          <w:jc w:val="right"/>
        </w:trPr>
        <w:tc>
          <w:tcPr>
            <w:tcW w:w="1549" w:type="dxa"/>
            <w:tcBorders>
              <w:bottom w:val="single" w:sz="4" w:space="0" w:color="auto"/>
            </w:tcBorders>
          </w:tcPr>
          <w:p w14:paraId="12160F31" w14:textId="77777777" w:rsidR="00032E4E" w:rsidRPr="006A1074" w:rsidRDefault="00032E4E" w:rsidP="00023DA9">
            <w:pPr>
              <w:rPr>
                <w:noProof/>
                <w:sz w:val="18"/>
                <w:szCs w:val="18"/>
              </w:rPr>
            </w:pPr>
          </w:p>
        </w:tc>
        <w:tc>
          <w:tcPr>
            <w:tcW w:w="4748" w:type="dxa"/>
            <w:tcBorders>
              <w:bottom w:val="single" w:sz="4" w:space="0" w:color="auto"/>
            </w:tcBorders>
          </w:tcPr>
          <w:p w14:paraId="735173EF" w14:textId="77777777" w:rsidR="00032E4E" w:rsidRPr="006A1074" w:rsidRDefault="00032E4E" w:rsidP="00023DA9">
            <w:pPr>
              <w:rPr>
                <w:rFonts w:ascii="Univers" w:hAnsi="Univers"/>
                <w:b/>
                <w:sz w:val="18"/>
                <w:szCs w:val="18"/>
              </w:rPr>
            </w:pPr>
          </w:p>
        </w:tc>
        <w:tc>
          <w:tcPr>
            <w:tcW w:w="3409" w:type="dxa"/>
            <w:tcBorders>
              <w:bottom w:val="single" w:sz="4" w:space="0" w:color="auto"/>
            </w:tcBorders>
          </w:tcPr>
          <w:p w14:paraId="16D98D51" w14:textId="7151988F" w:rsidR="00032E4E" w:rsidRPr="006A1074" w:rsidRDefault="00032E4E" w:rsidP="00465D27">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FC7DFA">
              <w:t>9</w:t>
            </w:r>
            <w:r w:rsidR="00DA5D66">
              <w:t>/Add.1</w:t>
            </w:r>
          </w:p>
        </w:tc>
      </w:tr>
      <w:tr w:rsidR="00032E4E" w:rsidRPr="006A1074" w14:paraId="01A43AD9" w14:textId="77777777" w:rsidTr="00BB2D61">
        <w:trPr>
          <w:cantSplit/>
          <w:trHeight w:val="2549"/>
          <w:jc w:val="right"/>
        </w:trPr>
        <w:tc>
          <w:tcPr>
            <w:tcW w:w="1549" w:type="dxa"/>
            <w:tcBorders>
              <w:top w:val="single" w:sz="4" w:space="0" w:color="auto"/>
              <w:bottom w:val="single" w:sz="24" w:space="0" w:color="auto"/>
            </w:tcBorders>
          </w:tcPr>
          <w:p w14:paraId="62CDEF01" w14:textId="7D9CBF92" w:rsidR="00032E4E" w:rsidRPr="006A1074" w:rsidRDefault="005A000C" w:rsidP="00023DA9">
            <w:pPr>
              <w:rPr>
                <w:noProof/>
              </w:rPr>
            </w:pPr>
            <w:bookmarkStart w:id="2" w:name="_MON_1021710482"/>
            <w:bookmarkStart w:id="3" w:name="_MON_1021710510"/>
            <w:bookmarkEnd w:id="2"/>
            <w:bookmarkEnd w:id="3"/>
            <w:r>
              <w:rPr>
                <w:noProof/>
                <w:lang w:val="en-US"/>
              </w:rPr>
              <w:drawing>
                <wp:inline distT="0" distB="0" distL="0" distR="0" wp14:anchorId="2BDFB15E" wp14:editId="591B0BB3">
                  <wp:extent cx="836295" cy="782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782320"/>
                          </a:xfrm>
                          <a:prstGeom prst="rect">
                            <a:avLst/>
                          </a:prstGeom>
                          <a:noFill/>
                          <a:ln>
                            <a:noFill/>
                          </a:ln>
                        </pic:spPr>
                      </pic:pic>
                    </a:graphicData>
                  </a:graphic>
                </wp:inline>
              </w:drawing>
            </w:r>
            <w:r w:rsidR="001D22B6">
              <w:rPr>
                <w:noProof/>
                <w:lang w:val="en-US"/>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156DEBF" w14:textId="77777777" w:rsidR="00032E4E" w:rsidRPr="00C00C77" w:rsidRDefault="00032E4E"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09" w:type="dxa"/>
            <w:tcBorders>
              <w:top w:val="single" w:sz="4" w:space="0" w:color="auto"/>
              <w:bottom w:val="single" w:sz="24" w:space="0" w:color="auto"/>
            </w:tcBorders>
          </w:tcPr>
          <w:p w14:paraId="4CABEFA5" w14:textId="3A081011" w:rsidR="00032E4E" w:rsidRDefault="00032E4E" w:rsidP="00787688">
            <w:pPr>
              <w:spacing w:before="120"/>
            </w:pPr>
            <w:r w:rsidRPr="006A1074">
              <w:t>Distr.: General</w:t>
            </w:r>
            <w:r>
              <w:br w:type="textWrapping" w:clear="all"/>
            </w:r>
            <w:r w:rsidR="002E371D">
              <w:t>21 June 2017</w:t>
            </w:r>
          </w:p>
          <w:p w14:paraId="7B1577DC" w14:textId="77777777" w:rsidR="00032E4E" w:rsidRPr="006A1074" w:rsidRDefault="00032E4E" w:rsidP="00BB2D61">
            <w:pPr>
              <w:spacing w:before="120"/>
            </w:pPr>
            <w:r>
              <w:t xml:space="preserve">Original: </w:t>
            </w:r>
            <w:r w:rsidRPr="006A1074">
              <w:t>English</w:t>
            </w:r>
          </w:p>
        </w:tc>
      </w:tr>
    </w:tbl>
    <w:p w14:paraId="6FA6827B" w14:textId="09F7C7DB" w:rsidR="00BB2D61" w:rsidRPr="00DF433C" w:rsidRDefault="00BB2D61" w:rsidP="00BB2D61">
      <w:pPr>
        <w:pStyle w:val="AATitle"/>
        <w:keepNext w:val="0"/>
        <w:keepLines w:val="0"/>
      </w:pPr>
      <w:r>
        <w:t>Conference of the Parties to the</w:t>
      </w:r>
    </w:p>
    <w:p w14:paraId="14723721" w14:textId="77777777" w:rsidR="00E976AB" w:rsidRDefault="00787688" w:rsidP="00E976AB">
      <w:pPr>
        <w:pStyle w:val="AATitle"/>
        <w:keepNext w:val="0"/>
        <w:keepLines w:val="0"/>
      </w:pPr>
      <w:r>
        <w:t>Minamata Convention on Mercury</w:t>
      </w:r>
    </w:p>
    <w:p w14:paraId="79F45F64" w14:textId="2A021AD6" w:rsidR="00E976AB" w:rsidRPr="00DF433C" w:rsidRDefault="00787688" w:rsidP="003A0458">
      <w:pPr>
        <w:pStyle w:val="AATitle"/>
        <w:keepNext w:val="0"/>
        <w:keepLines w:val="0"/>
      </w:pPr>
      <w:r>
        <w:t>First meeting</w:t>
      </w:r>
    </w:p>
    <w:p w14:paraId="2EFC6F7F" w14:textId="1379D6F4" w:rsidR="00E976AB" w:rsidRDefault="00787688">
      <w:pPr>
        <w:pStyle w:val="AATitle"/>
        <w:rPr>
          <w:b w:val="0"/>
        </w:rPr>
      </w:pPr>
      <w:r>
        <w:rPr>
          <w:b w:val="0"/>
        </w:rPr>
        <w:t>Geneva</w:t>
      </w:r>
      <w:r w:rsidR="00E976AB" w:rsidRPr="00DF433C">
        <w:rPr>
          <w:b w:val="0"/>
        </w:rPr>
        <w:t xml:space="preserve">, </w:t>
      </w:r>
      <w:r w:rsidR="00465D27">
        <w:rPr>
          <w:b w:val="0"/>
        </w:rPr>
        <w:t>24–29 September</w:t>
      </w:r>
      <w:r>
        <w:rPr>
          <w:b w:val="0"/>
        </w:rPr>
        <w:t xml:space="preserve"> 2017</w:t>
      </w:r>
    </w:p>
    <w:p w14:paraId="254E31D5" w14:textId="70178E62" w:rsidR="00312543" w:rsidRPr="00011B12" w:rsidRDefault="00312543" w:rsidP="004A07E6">
      <w:pPr>
        <w:pStyle w:val="AATitle"/>
        <w:keepNext w:val="0"/>
        <w:keepLines w:val="0"/>
        <w:rPr>
          <w:b w:val="0"/>
          <w:lang w:val="en-US"/>
        </w:rPr>
      </w:pPr>
      <w:r w:rsidRPr="00011B12">
        <w:rPr>
          <w:b w:val="0"/>
        </w:rPr>
        <w:t>Item</w:t>
      </w:r>
      <w:r>
        <w:rPr>
          <w:b w:val="0"/>
          <w:lang w:val="en-US"/>
        </w:rPr>
        <w:t xml:space="preserve"> </w:t>
      </w:r>
      <w:r w:rsidR="004A07E6">
        <w:rPr>
          <w:b w:val="0"/>
          <w:lang w:val="en-US"/>
        </w:rPr>
        <w:t>5</w:t>
      </w:r>
      <w:r>
        <w:rPr>
          <w:b w:val="0"/>
          <w:lang w:val="en-US"/>
        </w:rPr>
        <w:t xml:space="preserve"> (a</w:t>
      </w:r>
      <w:r w:rsidRPr="00011B12">
        <w:rPr>
          <w:b w:val="0"/>
          <w:lang w:val="en-US"/>
        </w:rPr>
        <w:t>)</w:t>
      </w:r>
      <w:r w:rsidR="004A07E6">
        <w:rPr>
          <w:b w:val="0"/>
          <w:lang w:val="en-US"/>
        </w:rPr>
        <w:t xml:space="preserve"> (</w:t>
      </w:r>
      <w:proofErr w:type="gramStart"/>
      <w:r w:rsidR="00600363">
        <w:rPr>
          <w:b w:val="0"/>
          <w:lang w:val="en-US"/>
        </w:rPr>
        <w:t>i</w:t>
      </w:r>
      <w:r w:rsidR="003D4A81">
        <w:rPr>
          <w:b w:val="0"/>
          <w:lang w:val="en-US"/>
        </w:rPr>
        <w:t>v</w:t>
      </w:r>
      <w:proofErr w:type="gramEnd"/>
      <w:r w:rsidR="004A07E6">
        <w:rPr>
          <w:b w:val="0"/>
          <w:lang w:val="en-US"/>
        </w:rPr>
        <w:t>)</w:t>
      </w:r>
      <w:r w:rsidRPr="00011B12">
        <w:rPr>
          <w:b w:val="0"/>
          <w:lang w:val="en-US"/>
        </w:rPr>
        <w:t xml:space="preserve"> of the provisional agenda</w:t>
      </w:r>
      <w:r w:rsidRPr="00977130">
        <w:rPr>
          <w:b w:val="0"/>
          <w:lang w:val="en-US"/>
        </w:rPr>
        <w:footnoteReference w:customMarkFollows="1" w:id="1"/>
        <w:t>*</w:t>
      </w:r>
    </w:p>
    <w:p w14:paraId="2E5157C2" w14:textId="14A9ECE3" w:rsidR="00787688" w:rsidRPr="000E282C" w:rsidRDefault="004A07E6">
      <w:pPr>
        <w:pStyle w:val="AATitle2"/>
        <w:spacing w:before="60"/>
        <w:rPr>
          <w:lang w:val="en-US"/>
        </w:rPr>
      </w:pPr>
      <w:r>
        <w:t>Matters for action by the Conference of the Parties at its first meeting</w:t>
      </w:r>
      <w:r>
        <w:rPr>
          <w:lang w:val="en-US"/>
        </w:rPr>
        <w:t xml:space="preserve">: </w:t>
      </w:r>
      <w:r w:rsidR="00DD5DF8">
        <w:t>m</w:t>
      </w:r>
      <w:r w:rsidRPr="004A07E6">
        <w:t xml:space="preserve">atters stipulated under the Convention: </w:t>
      </w:r>
      <w:r w:rsidR="00DD5DF8">
        <w:t>the m</w:t>
      </w:r>
      <w:r w:rsidR="00600363">
        <w:t xml:space="preserve">easures to give effect to the arrangements for </w:t>
      </w:r>
      <w:r w:rsidR="00600363" w:rsidRPr="00FB5616">
        <w:t xml:space="preserve">the financial mechanism </w:t>
      </w:r>
      <w:r w:rsidR="00DD5DF8">
        <w:t>referred to</w:t>
      </w:r>
      <w:r w:rsidR="00600363" w:rsidRPr="00FB5616">
        <w:t xml:space="preserve"> in </w:t>
      </w:r>
      <w:r w:rsidR="00DD5DF8">
        <w:t>a</w:t>
      </w:r>
      <w:r w:rsidR="00600363" w:rsidRPr="00FB5616">
        <w:t xml:space="preserve">rticle 13 </w:t>
      </w:r>
    </w:p>
    <w:p w14:paraId="01A06BF9" w14:textId="55F17E81" w:rsidR="00312543" w:rsidRPr="002E371D" w:rsidRDefault="004D0FB5" w:rsidP="0029126E">
      <w:pPr>
        <w:pStyle w:val="BBTitle"/>
      </w:pPr>
      <w:r w:rsidRPr="002E371D">
        <w:t>L</w:t>
      </w:r>
      <w:r w:rsidR="00DA5D66" w:rsidRPr="002E371D">
        <w:t>ocation options</w:t>
      </w:r>
      <w:r w:rsidR="007E58BB" w:rsidRPr="002E371D">
        <w:t xml:space="preserve"> within the United Nations Environment Programme</w:t>
      </w:r>
      <w:r w:rsidR="00DA5D66" w:rsidRPr="002E371D">
        <w:t>, governance arrangements and duration of the s</w:t>
      </w:r>
      <w:r w:rsidR="00FC7DFA" w:rsidRPr="002E371D">
        <w:t>pecific international programme to support capacity-bu</w:t>
      </w:r>
      <w:r w:rsidR="00EB3269" w:rsidRPr="002E371D">
        <w:t>ilding and technical assistance</w:t>
      </w:r>
      <w:r w:rsidR="00326990" w:rsidRPr="002E371D">
        <w:t xml:space="preserve"> </w:t>
      </w:r>
    </w:p>
    <w:p w14:paraId="025ACF4E" w14:textId="1250D68A" w:rsidR="00312543" w:rsidRDefault="00312543" w:rsidP="002E371D">
      <w:pPr>
        <w:pStyle w:val="CH2"/>
      </w:pPr>
      <w:r w:rsidRPr="002E371D">
        <w:tab/>
      </w:r>
      <w:r w:rsidRPr="002E371D">
        <w:tab/>
        <w:t>Note by the secretariat</w:t>
      </w:r>
    </w:p>
    <w:p w14:paraId="3C91F2AC" w14:textId="6ECA32FF" w:rsidR="00126067" w:rsidRPr="002D379C" w:rsidRDefault="00126067" w:rsidP="002D379C">
      <w:pPr>
        <w:pStyle w:val="CH1"/>
      </w:pPr>
      <w:r w:rsidRPr="002D379C">
        <w:tab/>
      </w:r>
      <w:r w:rsidR="005A61B9" w:rsidRPr="002D379C">
        <w:t>I</w:t>
      </w:r>
      <w:r w:rsidRPr="002D379C">
        <w:t>.</w:t>
      </w:r>
      <w:r w:rsidRPr="002D379C">
        <w:tab/>
        <w:t>Context</w:t>
      </w:r>
    </w:p>
    <w:p w14:paraId="1F032861" w14:textId="095771EC" w:rsidR="007E58BB" w:rsidRPr="002E371D" w:rsidRDefault="00DA5D66">
      <w:pPr>
        <w:pStyle w:val="Normalnumber"/>
      </w:pPr>
      <w:r w:rsidRPr="002E371D">
        <w:t xml:space="preserve">At </w:t>
      </w:r>
      <w:r w:rsidR="007E58BB" w:rsidRPr="002E371D">
        <w:t>its seventh session</w:t>
      </w:r>
      <w:r w:rsidR="00F80B1B" w:rsidRPr="002E371D">
        <w:t>,</w:t>
      </w:r>
      <w:r w:rsidR="007E58BB" w:rsidRPr="002E371D">
        <w:t xml:space="preserve"> </w:t>
      </w:r>
      <w:r w:rsidR="007B28A1">
        <w:t xml:space="preserve">held in March 2016, </w:t>
      </w:r>
      <w:r w:rsidR="007E58BB" w:rsidRPr="002E371D">
        <w:t xml:space="preserve">the intergovernmental negotiating committee </w:t>
      </w:r>
      <w:r w:rsidR="00B2145F">
        <w:t xml:space="preserve">to prepare a global legally binding instrument on mercury </w:t>
      </w:r>
      <w:r w:rsidR="007E58BB" w:rsidRPr="002E371D">
        <w:t>considered the report by the co-chairs of the ad hoc working group of experts on financing established at the sixth session of the committee</w:t>
      </w:r>
      <w:r w:rsidR="00DD5DF8">
        <w:t xml:space="preserve"> (</w:t>
      </w:r>
      <w:r w:rsidR="00DD5DF8" w:rsidRPr="00DD5DF8">
        <w:t>UNEP(DTIE)/Hg/INC.7/9</w:t>
      </w:r>
      <w:r w:rsidR="00DD5DF8">
        <w:t>)</w:t>
      </w:r>
      <w:r w:rsidR="007E58BB" w:rsidRPr="002E371D">
        <w:t>. The report provided input for the committee to develop a proposal for the hosting institution of the specific international programme</w:t>
      </w:r>
      <w:r w:rsidR="00513B22">
        <w:t xml:space="preserve"> </w:t>
      </w:r>
      <w:r w:rsidR="00513B22" w:rsidRPr="002E371D">
        <w:t>to support capacity-building and technical assistance</w:t>
      </w:r>
      <w:r w:rsidR="007E58BB" w:rsidRPr="002E371D">
        <w:t xml:space="preserve">, including necessary arrangements within the hosting institution, </w:t>
      </w:r>
      <w:r w:rsidR="00082699">
        <w:t>and</w:t>
      </w:r>
      <w:r w:rsidR="007E58BB" w:rsidRPr="002E371D">
        <w:t xml:space="preserve"> guidance on the operation and duration of th</w:t>
      </w:r>
      <w:r w:rsidR="00D35E1A">
        <w:t>e</w:t>
      </w:r>
      <w:r w:rsidR="007E58BB" w:rsidRPr="002E371D">
        <w:t xml:space="preserve"> programme. In addition, the committee had before it an information document prepared by the Executive Director</w:t>
      </w:r>
      <w:r w:rsidR="00D265E4">
        <w:t xml:space="preserve"> of the </w:t>
      </w:r>
      <w:r w:rsidR="00D265E4" w:rsidRPr="002E371D">
        <w:t xml:space="preserve">United Nations Environment Programme </w:t>
      </w:r>
      <w:r w:rsidR="00D265E4">
        <w:t>(UNEP)</w:t>
      </w:r>
      <w:r w:rsidR="007E58BB" w:rsidRPr="002E371D">
        <w:rPr>
          <w:vertAlign w:val="superscript"/>
        </w:rPr>
        <w:t xml:space="preserve"> </w:t>
      </w:r>
      <w:r w:rsidR="007E58BB" w:rsidRPr="002E371D">
        <w:t xml:space="preserve">on options and related governance arrangements under </w:t>
      </w:r>
      <w:r w:rsidR="00D265E4">
        <w:t>UNEP</w:t>
      </w:r>
      <w:r w:rsidR="007E58BB" w:rsidRPr="002E371D">
        <w:t xml:space="preserve"> as the </w:t>
      </w:r>
      <w:r w:rsidR="00301EAF" w:rsidRPr="002E371D">
        <w:t>host institution</w:t>
      </w:r>
      <w:r w:rsidR="007E58BB" w:rsidRPr="002E371D">
        <w:t xml:space="preserve"> </w:t>
      </w:r>
      <w:r w:rsidR="00D265E4">
        <w:t>of</w:t>
      </w:r>
      <w:r w:rsidR="00D265E4" w:rsidRPr="002E371D">
        <w:t xml:space="preserve"> </w:t>
      </w:r>
      <w:r w:rsidR="007E58BB" w:rsidRPr="002E371D">
        <w:t xml:space="preserve">the </w:t>
      </w:r>
      <w:r w:rsidR="007628C1" w:rsidRPr="002E371D">
        <w:t>programme</w:t>
      </w:r>
      <w:r w:rsidR="00DD5DF8">
        <w:t xml:space="preserve"> (</w:t>
      </w:r>
      <w:r w:rsidR="00DD5DF8" w:rsidRPr="002E371D">
        <w:rPr>
          <w:szCs w:val="18"/>
        </w:rPr>
        <w:t>UNEP(DTIE)/Hg/INC.7/INF/6</w:t>
      </w:r>
      <w:r w:rsidR="00DD5DF8">
        <w:rPr>
          <w:szCs w:val="18"/>
        </w:rPr>
        <w:t>)</w:t>
      </w:r>
      <w:r w:rsidR="007628C1" w:rsidRPr="002E371D">
        <w:t>.</w:t>
      </w:r>
    </w:p>
    <w:p w14:paraId="6A777643" w14:textId="177752F6" w:rsidR="00770BB9" w:rsidRDefault="007E58BB" w:rsidP="00BD69FE">
      <w:pPr>
        <w:pStyle w:val="Normalnumber"/>
      </w:pPr>
      <w:r>
        <w:t xml:space="preserve">Following deliberations, the </w:t>
      </w:r>
      <w:r w:rsidR="00301EAF">
        <w:t xml:space="preserve">committee </w:t>
      </w:r>
      <w:r>
        <w:t>decided to designate</w:t>
      </w:r>
      <w:r w:rsidR="00F00314">
        <w:t>,</w:t>
      </w:r>
      <w:r>
        <w:t xml:space="preserve"> for adoption by the Conference of the Parties at its first meeting</w:t>
      </w:r>
      <w:r w:rsidR="00F00314">
        <w:t>,</w:t>
      </w:r>
      <w:r>
        <w:t xml:space="preserve"> </w:t>
      </w:r>
      <w:r w:rsidR="00D265E4">
        <w:t>UNEP</w:t>
      </w:r>
      <w:r>
        <w:t xml:space="preserve"> as the host institution for the specific international programme. The committee also set out some details of the hosting arrangement, along with guidance on eligibility</w:t>
      </w:r>
      <w:r w:rsidR="00F90FEB">
        <w:t xml:space="preserve"> for and the</w:t>
      </w:r>
      <w:r>
        <w:t xml:space="preserve"> scope, operations, resources and duration of the programme.</w:t>
      </w:r>
      <w:r w:rsidR="00126067">
        <w:rPr>
          <w:rStyle w:val="FootnoteReference"/>
        </w:rPr>
        <w:footnoteReference w:id="2"/>
      </w:r>
      <w:r>
        <w:t xml:space="preserve"> Some of the text developed was not </w:t>
      </w:r>
      <w:r w:rsidR="004D0FB5">
        <w:t>finali</w:t>
      </w:r>
      <w:r w:rsidR="00D265E4">
        <w:t>z</w:t>
      </w:r>
      <w:r w:rsidR="004D0FB5">
        <w:t>ed</w:t>
      </w:r>
      <w:r>
        <w:t xml:space="preserve"> and remained </w:t>
      </w:r>
      <w:r w:rsidR="00F00314">
        <w:t xml:space="preserve">in square </w:t>
      </w:r>
      <w:r>
        <w:t>bracket</w:t>
      </w:r>
      <w:r w:rsidR="00F00314">
        <w:t>s</w:t>
      </w:r>
      <w:r>
        <w:t xml:space="preserve"> pending the </w:t>
      </w:r>
      <w:r w:rsidR="004D0FB5">
        <w:t>decision</w:t>
      </w:r>
      <w:r w:rsidR="00301EAF">
        <w:t xml:space="preserve"> of</w:t>
      </w:r>
      <w:r>
        <w:t xml:space="preserve"> the Conference at its first meeting</w:t>
      </w:r>
      <w:r w:rsidR="004D0FB5">
        <w:t xml:space="preserve">. This includes </w:t>
      </w:r>
      <w:r>
        <w:t xml:space="preserve">which part of </w:t>
      </w:r>
      <w:r w:rsidR="00D265E4">
        <w:t>UNEP</w:t>
      </w:r>
      <w:r>
        <w:t xml:space="preserve"> would perform the host func</w:t>
      </w:r>
      <w:r w:rsidR="004D0FB5">
        <w:t>tion</w:t>
      </w:r>
      <w:r>
        <w:t>, the duration of the programme and the type of governing body that the programme wou</w:t>
      </w:r>
      <w:r w:rsidR="004D0FB5">
        <w:t>ld have</w:t>
      </w:r>
      <w:r>
        <w:t xml:space="preserve">. </w:t>
      </w:r>
      <w:r w:rsidR="00126067">
        <w:t>The figure below, developed by the committee at its seventh session, gives an overview of the discussions on the location within UNEP and the areas of agreement as at the conclusion of that session.</w:t>
      </w:r>
      <w:r w:rsidR="00770BB9">
        <w:br w:type="page"/>
      </w:r>
    </w:p>
    <w:p w14:paraId="428C62CE" w14:textId="4B7135CF" w:rsidR="00025A60" w:rsidRPr="00FC30DC" w:rsidRDefault="008512FA" w:rsidP="002D379C">
      <w:pPr>
        <w:pStyle w:val="Normalnumber"/>
        <w:numPr>
          <w:ilvl w:val="0"/>
          <w:numId w:val="0"/>
        </w:numPr>
        <w:tabs>
          <w:tab w:val="left" w:pos="624"/>
          <w:tab w:val="left" w:pos="1134"/>
          <w:tab w:val="left" w:pos="3119"/>
        </w:tabs>
        <w:ind w:left="1260"/>
        <w:rPr>
          <w:b/>
        </w:rPr>
      </w:pPr>
      <w:r>
        <w:rPr>
          <w:b/>
        </w:rPr>
        <w:lastRenderedPageBreak/>
        <w:t>G</w:t>
      </w:r>
      <w:r w:rsidR="00025A60" w:rsidRPr="00FC30DC">
        <w:rPr>
          <w:b/>
        </w:rPr>
        <w:t>overnance options for each possible location of the specific international programme within the United Nations Environment Programme</w:t>
      </w:r>
      <w:r w:rsidR="002B04BD">
        <w:rPr>
          <w:b/>
        </w:rPr>
        <w:t xml:space="preserve"> and appended to </w:t>
      </w:r>
      <w:proofErr w:type="gramStart"/>
      <w:r w:rsidR="002B04BD">
        <w:rPr>
          <w:b/>
        </w:rPr>
        <w:t>UNEP(</w:t>
      </w:r>
      <w:proofErr w:type="gramEnd"/>
      <w:r w:rsidR="002B04BD">
        <w:rPr>
          <w:b/>
        </w:rPr>
        <w:t>DTIE)/Hg/INC.7/22/Rev.1</w:t>
      </w:r>
      <w:r w:rsidR="004D0FB5">
        <w:rPr>
          <w:b/>
        </w:rPr>
        <w:t xml:space="preserve">, as prepared </w:t>
      </w:r>
      <w:r w:rsidR="00193786">
        <w:rPr>
          <w:b/>
        </w:rPr>
        <w:t xml:space="preserve">at </w:t>
      </w:r>
      <w:r w:rsidR="005A1F6B">
        <w:rPr>
          <w:b/>
        </w:rPr>
        <w:t>the seventh meeting of the intergovernmental negotiating committee</w:t>
      </w:r>
    </w:p>
    <w:p w14:paraId="3EA43A35" w14:textId="6F2F1EE4" w:rsidR="00241232" w:rsidRDefault="006811A4" w:rsidP="00241232">
      <w:pPr>
        <w:pStyle w:val="Normalnumber"/>
        <w:numPr>
          <w:ilvl w:val="0"/>
          <w:numId w:val="0"/>
        </w:numPr>
        <w:tabs>
          <w:tab w:val="left" w:pos="624"/>
          <w:tab w:val="left" w:pos="1134"/>
          <w:tab w:val="left" w:pos="3119"/>
        </w:tabs>
        <w:ind w:left="1260"/>
      </w:pPr>
      <w:r>
        <w:rPr>
          <w:noProof/>
          <w:lang w:val="en-US"/>
        </w:rPr>
        <w:drawing>
          <wp:inline distT="0" distB="0" distL="0" distR="0" wp14:anchorId="0156AECA" wp14:editId="0ABFCE9F">
            <wp:extent cx="5280660" cy="445574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548" cy="4454801"/>
                    </a:xfrm>
                    <a:prstGeom prst="rect">
                      <a:avLst/>
                    </a:prstGeom>
                    <a:noFill/>
                    <a:ln>
                      <a:noFill/>
                    </a:ln>
                  </pic:spPr>
                </pic:pic>
              </a:graphicData>
            </a:graphic>
          </wp:inline>
        </w:drawing>
      </w:r>
    </w:p>
    <w:p w14:paraId="5777A484" w14:textId="6D8DF3CD" w:rsidR="0041352A" w:rsidRPr="0029126E" w:rsidRDefault="0041352A" w:rsidP="0000565C">
      <w:pPr>
        <w:pStyle w:val="Normalnumber"/>
        <w:numPr>
          <w:ilvl w:val="0"/>
          <w:numId w:val="0"/>
        </w:numPr>
        <w:tabs>
          <w:tab w:val="left" w:pos="624"/>
          <w:tab w:val="left" w:pos="1134"/>
          <w:tab w:val="left" w:pos="3119"/>
        </w:tabs>
        <w:spacing w:after="240"/>
        <w:ind w:left="1267"/>
        <w:rPr>
          <w:sz w:val="18"/>
          <w:szCs w:val="18"/>
          <w:lang w:val="fr-CH"/>
        </w:rPr>
      </w:pPr>
      <w:r w:rsidRPr="0029126E">
        <w:rPr>
          <w:i/>
          <w:iCs/>
          <w:sz w:val="18"/>
          <w:szCs w:val="18"/>
          <w:lang w:val="fr-CH"/>
        </w:rPr>
        <w:t>Source</w:t>
      </w:r>
      <w:r w:rsidRPr="0029126E">
        <w:rPr>
          <w:sz w:val="18"/>
          <w:szCs w:val="18"/>
          <w:lang w:val="fr-CH"/>
        </w:rPr>
        <w:t>: UNEP(DTIE)/Hg/INC.7/22/Rev.1</w:t>
      </w:r>
      <w:r w:rsidR="00AD17E3" w:rsidRPr="0029126E">
        <w:rPr>
          <w:sz w:val="18"/>
          <w:szCs w:val="18"/>
          <w:lang w:val="fr-CH"/>
        </w:rPr>
        <w:t xml:space="preserve">, </w:t>
      </w:r>
      <w:proofErr w:type="spellStart"/>
      <w:r w:rsidR="00AD17E3" w:rsidRPr="0029126E">
        <w:rPr>
          <w:sz w:val="18"/>
          <w:szCs w:val="18"/>
          <w:lang w:val="fr-CH"/>
        </w:rPr>
        <w:t>annex</w:t>
      </w:r>
      <w:proofErr w:type="spellEnd"/>
      <w:r w:rsidR="00AD17E3" w:rsidRPr="0029126E">
        <w:rPr>
          <w:sz w:val="18"/>
          <w:szCs w:val="18"/>
          <w:lang w:val="fr-CH"/>
        </w:rPr>
        <w:t xml:space="preserve"> VI</w:t>
      </w:r>
      <w:r w:rsidRPr="0029126E">
        <w:rPr>
          <w:sz w:val="18"/>
          <w:szCs w:val="18"/>
          <w:lang w:val="fr-CH"/>
        </w:rPr>
        <w:t>.</w:t>
      </w:r>
    </w:p>
    <w:p w14:paraId="26711A64" w14:textId="3CC69C66" w:rsidR="00AF4DDF" w:rsidRPr="00A42B32" w:rsidRDefault="00AF4DDF" w:rsidP="002D379C">
      <w:pPr>
        <w:pStyle w:val="Normalnumber"/>
      </w:pPr>
      <w:r w:rsidRPr="00AF4DDF">
        <w:t>To assist the Conference of the Parties to finali</w:t>
      </w:r>
      <w:r w:rsidR="008512FA">
        <w:t>z</w:t>
      </w:r>
      <w:r w:rsidRPr="00AF4DDF">
        <w:t xml:space="preserve">e its consideration </w:t>
      </w:r>
      <w:r w:rsidR="00A53829">
        <w:t>of</w:t>
      </w:r>
      <w:r w:rsidR="00A53829" w:rsidRPr="00AF4DDF">
        <w:t xml:space="preserve"> </w:t>
      </w:r>
      <w:r w:rsidRPr="00AF4DDF">
        <w:t xml:space="preserve">the specific international programme, the </w:t>
      </w:r>
      <w:r w:rsidR="00A368C4">
        <w:t xml:space="preserve">committee </w:t>
      </w:r>
      <w:r w:rsidR="004D0FB5">
        <w:t>requested</w:t>
      </w:r>
      <w:r w:rsidRPr="00AF4DDF">
        <w:t xml:space="preserve"> the interim </w:t>
      </w:r>
      <w:r w:rsidR="00136503">
        <w:t>s</w:t>
      </w:r>
      <w:r w:rsidRPr="00AF4DDF">
        <w:t xml:space="preserve">ecretariat </w:t>
      </w:r>
      <w:r w:rsidR="00A33AC4" w:rsidRPr="00A33AC4">
        <w:t xml:space="preserve">of the Minamata Convention on Mercury </w:t>
      </w:r>
      <w:r w:rsidR="008512FA">
        <w:t xml:space="preserve">to </w:t>
      </w:r>
      <w:r w:rsidRPr="00AF4DDF">
        <w:t xml:space="preserve">provide additional information on the location options put forward within </w:t>
      </w:r>
      <w:r w:rsidR="008512FA">
        <w:t>UNEP</w:t>
      </w:r>
      <w:r w:rsidRPr="00AF4DDF">
        <w:t xml:space="preserve">, the governance arrangements, where the technical review </w:t>
      </w:r>
      <w:r w:rsidR="00B670E9">
        <w:t xml:space="preserve">function </w:t>
      </w:r>
      <w:r w:rsidRPr="00AF4DDF">
        <w:t>should be located, the financial implications, the legal implications</w:t>
      </w:r>
      <w:r w:rsidR="00136503">
        <w:t>,</w:t>
      </w:r>
      <w:r w:rsidRPr="00AF4DDF">
        <w:t xml:space="preserve"> including the possible development of a </w:t>
      </w:r>
      <w:r w:rsidRPr="00A42B32">
        <w:t xml:space="preserve">memorandum of understanding between </w:t>
      </w:r>
      <w:r w:rsidR="008512FA">
        <w:t>UNEP</w:t>
      </w:r>
      <w:r w:rsidRPr="00A42B32">
        <w:t xml:space="preserve"> as the hosting institution and the Conference</w:t>
      </w:r>
      <w:r w:rsidR="00136503">
        <w:t>,</w:t>
      </w:r>
      <w:r w:rsidRPr="00A42B32">
        <w:t xml:space="preserve"> and the time implications.</w:t>
      </w:r>
    </w:p>
    <w:p w14:paraId="32C652DD" w14:textId="58C38B4F" w:rsidR="00A42B32" w:rsidRDefault="002368A8" w:rsidP="002D379C">
      <w:pPr>
        <w:pStyle w:val="Normalnumber"/>
      </w:pPr>
      <w:r>
        <w:t>T</w:t>
      </w:r>
      <w:r w:rsidR="00AF4DDF" w:rsidRPr="00A42B32">
        <w:t xml:space="preserve">he present </w:t>
      </w:r>
      <w:r w:rsidR="00D05492">
        <w:t>note</w:t>
      </w:r>
      <w:r w:rsidR="00D05492" w:rsidRPr="00A42B32">
        <w:t xml:space="preserve"> </w:t>
      </w:r>
      <w:r w:rsidR="00AF4DDF" w:rsidRPr="00A42B32">
        <w:t>provide</w:t>
      </w:r>
      <w:r w:rsidR="00137C47">
        <w:t>s</w:t>
      </w:r>
      <w:r w:rsidR="00AF4DDF" w:rsidRPr="00A42B32">
        <w:t xml:space="preserve"> </w:t>
      </w:r>
      <w:r w:rsidR="009C2AE3" w:rsidRPr="00A42B32">
        <w:t xml:space="preserve">the </w:t>
      </w:r>
      <w:r w:rsidR="00AF4DDF" w:rsidRPr="00A42B32">
        <w:t>additional information requested</w:t>
      </w:r>
      <w:r w:rsidR="009C2AE3" w:rsidRPr="00A42B32">
        <w:t>.</w:t>
      </w:r>
    </w:p>
    <w:p w14:paraId="7D65ABDE" w14:textId="60C4474A" w:rsidR="00A42B32" w:rsidRPr="002E371D" w:rsidRDefault="002E371D" w:rsidP="00BD69FE">
      <w:pPr>
        <w:pStyle w:val="CH1"/>
      </w:pPr>
      <w:r w:rsidRPr="002E371D">
        <w:tab/>
      </w:r>
      <w:r w:rsidR="005A61B9">
        <w:t>II</w:t>
      </w:r>
      <w:r w:rsidRPr="002E371D">
        <w:t>.</w:t>
      </w:r>
      <w:r w:rsidRPr="002E371D">
        <w:tab/>
      </w:r>
      <w:r w:rsidR="000B1972">
        <w:t>L</w:t>
      </w:r>
      <w:r w:rsidR="00206B3C" w:rsidRPr="002E371D">
        <w:t>ocation option</w:t>
      </w:r>
      <w:r w:rsidR="000B1972">
        <w:t>s</w:t>
      </w:r>
      <w:r w:rsidR="00206B3C" w:rsidRPr="002E371D">
        <w:t xml:space="preserve"> within</w:t>
      </w:r>
      <w:r w:rsidR="009D485C" w:rsidRPr="002E371D">
        <w:t xml:space="preserve"> the United Nations Environment </w:t>
      </w:r>
      <w:r w:rsidR="00206B3C" w:rsidRPr="002E371D">
        <w:t>Programme</w:t>
      </w:r>
    </w:p>
    <w:p w14:paraId="06A37C11" w14:textId="58FD32C1" w:rsidR="004D0FB5" w:rsidRDefault="00DB004B" w:rsidP="002D379C">
      <w:pPr>
        <w:pStyle w:val="Normalnumber"/>
      </w:pPr>
      <w:r>
        <w:t xml:space="preserve">Within </w:t>
      </w:r>
      <w:r w:rsidR="008512FA">
        <w:t>UNEP</w:t>
      </w:r>
      <w:r w:rsidR="002368A8">
        <w:t>,</w:t>
      </w:r>
      <w:r>
        <w:t xml:space="preserve"> t</w:t>
      </w:r>
      <w:r w:rsidR="00A42B32" w:rsidRPr="00A42B32">
        <w:t xml:space="preserve">he </w:t>
      </w:r>
      <w:r w:rsidR="00E141C8">
        <w:t>specific international programme can be hosted in the Chemicals and Health Branch, based in Geneva and located in the Economy Division</w:t>
      </w:r>
      <w:r w:rsidR="00346878">
        <w:t>,</w:t>
      </w:r>
      <w:r w:rsidR="00673E28" w:rsidRPr="0029126E">
        <w:rPr>
          <w:vertAlign w:val="superscript"/>
        </w:rPr>
        <w:footnoteReference w:id="3"/>
      </w:r>
      <w:r w:rsidR="00E141C8" w:rsidRPr="00193786">
        <w:rPr>
          <w:vertAlign w:val="superscript"/>
        </w:rPr>
        <w:t xml:space="preserve"> </w:t>
      </w:r>
      <w:r w:rsidR="00E141C8">
        <w:t xml:space="preserve">or in the </w:t>
      </w:r>
      <w:r w:rsidR="00E12361">
        <w:t>s</w:t>
      </w:r>
      <w:r w:rsidR="00E141C8">
        <w:t xml:space="preserve">ecretariat of the Minamata Convention. </w:t>
      </w:r>
      <w:r w:rsidR="00487B3F">
        <w:t>B</w:t>
      </w:r>
      <w:r w:rsidR="00E141C8">
        <w:t>oth locations are under the authority of the Executive Director</w:t>
      </w:r>
      <w:r w:rsidR="00CE7F94">
        <w:t>.</w:t>
      </w:r>
    </w:p>
    <w:p w14:paraId="239E52C8" w14:textId="3B41D8FC" w:rsidR="00E141C8" w:rsidRDefault="002B04BD" w:rsidP="002D379C">
      <w:pPr>
        <w:pStyle w:val="Normalnumber"/>
      </w:pPr>
      <w:r>
        <w:t>Depending on the decision by the Conference</w:t>
      </w:r>
      <w:r w:rsidR="002676BF">
        <w:t xml:space="preserve"> of the Parties</w:t>
      </w:r>
      <w:r>
        <w:t>,</w:t>
      </w:r>
      <w:r w:rsidR="004D0FB5">
        <w:t xml:space="preserve"> a secretariat will be established to manage the specific international programme</w:t>
      </w:r>
      <w:r w:rsidR="00E90A76">
        <w:t>,</w:t>
      </w:r>
      <w:r w:rsidR="004D0FB5">
        <w:t xml:space="preserve"> and </w:t>
      </w:r>
      <w:r w:rsidR="0084666C">
        <w:t>th</w:t>
      </w:r>
      <w:r w:rsidR="00E90A76">
        <w:t>at</w:t>
      </w:r>
      <w:r w:rsidR="0084666C">
        <w:t xml:space="preserve"> secretariat</w:t>
      </w:r>
      <w:r w:rsidR="004D0FB5">
        <w:t xml:space="preserve"> </w:t>
      </w:r>
      <w:r>
        <w:t xml:space="preserve">may </w:t>
      </w:r>
      <w:r w:rsidR="004D0FB5">
        <w:t xml:space="preserve">have its own staff funded </w:t>
      </w:r>
      <w:r w:rsidR="002368A8">
        <w:t xml:space="preserve">from </w:t>
      </w:r>
      <w:proofErr w:type="spellStart"/>
      <w:r w:rsidR="004D0FB5">
        <w:t>extrabudgetary</w:t>
      </w:r>
      <w:proofErr w:type="spellEnd"/>
      <w:r w:rsidR="004D0FB5">
        <w:t xml:space="preserve"> resources</w:t>
      </w:r>
      <w:r>
        <w:t xml:space="preserve"> whether </w:t>
      </w:r>
      <w:proofErr w:type="gramStart"/>
      <w:r>
        <w:t>those staff</w:t>
      </w:r>
      <w:r w:rsidR="0084666C">
        <w:t xml:space="preserve"> are</w:t>
      </w:r>
      <w:proofErr w:type="gramEnd"/>
      <w:r>
        <w:t xml:space="preserve"> located in</w:t>
      </w:r>
      <w:r w:rsidR="00EA4CC1">
        <w:t xml:space="preserve"> the </w:t>
      </w:r>
      <w:r w:rsidR="002E7B6B">
        <w:t xml:space="preserve">Chemicals and Health Branch or </w:t>
      </w:r>
      <w:r w:rsidR="00E90A76">
        <w:t xml:space="preserve">in </w:t>
      </w:r>
      <w:r w:rsidR="002E7B6B">
        <w:t xml:space="preserve">the </w:t>
      </w:r>
      <w:r w:rsidR="00011C84">
        <w:t xml:space="preserve">secretariat of the </w:t>
      </w:r>
      <w:r w:rsidR="00EA4CC1">
        <w:t>Convention</w:t>
      </w:r>
      <w:r w:rsidR="00E141C8">
        <w:t xml:space="preserve">.  </w:t>
      </w:r>
    </w:p>
    <w:p w14:paraId="64986F72" w14:textId="2BF56F06" w:rsidR="00E141C8" w:rsidRDefault="00B8506F" w:rsidP="0029126E">
      <w:pPr>
        <w:pStyle w:val="Normalnumber"/>
        <w:keepNext/>
        <w:keepLines/>
      </w:pPr>
      <w:r>
        <w:lastRenderedPageBreak/>
        <w:t>Set out below is</w:t>
      </w:r>
      <w:r w:rsidR="00E141C8">
        <w:t xml:space="preserve"> additional information </w:t>
      </w:r>
      <w:r w:rsidR="00011C84">
        <w:t>on</w:t>
      </w:r>
      <w:r w:rsidR="00E141C8">
        <w:t xml:space="preserve"> the </w:t>
      </w:r>
      <w:r w:rsidR="00E63DD4">
        <w:t xml:space="preserve">two possible </w:t>
      </w:r>
      <w:r w:rsidR="00E141C8">
        <w:t>locations</w:t>
      </w:r>
      <w:r w:rsidR="002368A8">
        <w:t>.</w:t>
      </w:r>
    </w:p>
    <w:tbl>
      <w:tblPr>
        <w:tblStyle w:val="TableGrid"/>
        <w:tblW w:w="8487" w:type="dxa"/>
        <w:tblInd w:w="1260" w:type="dxa"/>
        <w:tblLook w:val="04A0" w:firstRow="1" w:lastRow="0" w:firstColumn="1" w:lastColumn="0" w:noHBand="0" w:noVBand="1"/>
      </w:tblPr>
      <w:tblGrid>
        <w:gridCol w:w="5035"/>
        <w:gridCol w:w="3452"/>
      </w:tblGrid>
      <w:tr w:rsidR="00346878" w:rsidRPr="002E371D" w14:paraId="48140AD7" w14:textId="77777777" w:rsidTr="006F65A4">
        <w:tc>
          <w:tcPr>
            <w:tcW w:w="8487" w:type="dxa"/>
            <w:gridSpan w:val="2"/>
            <w:shd w:val="clear" w:color="auto" w:fill="D9D9D9" w:themeFill="background1" w:themeFillShade="D9"/>
          </w:tcPr>
          <w:p w14:paraId="1DD5F103" w14:textId="004920EE" w:rsidR="00346878" w:rsidRPr="002E371D" w:rsidRDefault="00346878" w:rsidP="0029126E">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rPr>
            </w:pPr>
            <w:r w:rsidRPr="002E371D">
              <w:rPr>
                <w:b/>
                <w:bCs/>
                <w:sz w:val="18"/>
                <w:szCs w:val="18"/>
              </w:rPr>
              <w:t>1. Location within the United Nations Environment Programme</w:t>
            </w:r>
          </w:p>
          <w:p w14:paraId="6A793C88" w14:textId="3F78336A" w:rsidR="00346878" w:rsidRPr="002E371D" w:rsidRDefault="005129FA" w:rsidP="0029126E">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rPr>
            </w:pPr>
            <w:r>
              <w:rPr>
                <w:bCs/>
                <w:sz w:val="18"/>
                <w:szCs w:val="18"/>
              </w:rPr>
              <w:t>T</w:t>
            </w:r>
            <w:r w:rsidR="00346878" w:rsidRPr="002E371D">
              <w:rPr>
                <w:bCs/>
                <w:sz w:val="18"/>
                <w:szCs w:val="18"/>
              </w:rPr>
              <w:t xml:space="preserve">he </w:t>
            </w:r>
            <w:r w:rsidR="00EA4CC1" w:rsidRPr="002E371D">
              <w:rPr>
                <w:bCs/>
                <w:sz w:val="18"/>
                <w:szCs w:val="18"/>
              </w:rPr>
              <w:t>specific international programme secretariat</w:t>
            </w:r>
            <w:r w:rsidR="00346878" w:rsidRPr="002E371D">
              <w:rPr>
                <w:bCs/>
                <w:sz w:val="18"/>
                <w:szCs w:val="18"/>
              </w:rPr>
              <w:t xml:space="preserve"> can be located in the Chemicals and Health Branch of the Economy Division or in the secretar</w:t>
            </w:r>
            <w:r w:rsidR="00EA4CC1" w:rsidRPr="002E371D">
              <w:rPr>
                <w:bCs/>
                <w:sz w:val="18"/>
                <w:szCs w:val="18"/>
              </w:rPr>
              <w:t>iat of the Minamata Convention</w:t>
            </w:r>
            <w:r w:rsidR="00346878" w:rsidRPr="002E371D">
              <w:rPr>
                <w:bCs/>
                <w:sz w:val="18"/>
                <w:szCs w:val="18"/>
              </w:rPr>
              <w:t xml:space="preserve">. </w:t>
            </w:r>
          </w:p>
        </w:tc>
      </w:tr>
      <w:tr w:rsidR="00DA2325" w:rsidRPr="002E371D" w14:paraId="589A57A0" w14:textId="77777777" w:rsidTr="0000565C">
        <w:trPr>
          <w:trHeight w:val="137"/>
        </w:trPr>
        <w:tc>
          <w:tcPr>
            <w:tcW w:w="5035" w:type="dxa"/>
            <w:shd w:val="clear" w:color="auto" w:fill="auto"/>
            <w:vAlign w:val="center"/>
          </w:tcPr>
          <w:p w14:paraId="0AACB8EE" w14:textId="342068E5" w:rsidR="00DA2325" w:rsidRPr="002D379C" w:rsidRDefault="00DA2325"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i/>
                <w:iCs/>
                <w:sz w:val="18"/>
                <w:szCs w:val="18"/>
              </w:rPr>
            </w:pPr>
            <w:r w:rsidRPr="006F65A4">
              <w:rPr>
                <w:bCs/>
                <w:i/>
                <w:iCs/>
                <w:sz w:val="18"/>
                <w:szCs w:val="18"/>
              </w:rPr>
              <w:t>Branch</w:t>
            </w:r>
          </w:p>
        </w:tc>
        <w:tc>
          <w:tcPr>
            <w:tcW w:w="3452" w:type="dxa"/>
            <w:shd w:val="clear" w:color="auto" w:fill="auto"/>
            <w:vAlign w:val="center"/>
          </w:tcPr>
          <w:p w14:paraId="1F3F4081" w14:textId="5A64F5E0" w:rsidR="00DA2325" w:rsidRPr="0029126E" w:rsidRDefault="00DA2325"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6F65A4">
              <w:rPr>
                <w:bCs/>
                <w:i/>
                <w:iCs/>
                <w:sz w:val="18"/>
                <w:szCs w:val="18"/>
              </w:rPr>
              <w:t>Convention</w:t>
            </w:r>
            <w:r w:rsidRPr="002D379C">
              <w:rPr>
                <w:i/>
                <w:iCs/>
                <w:sz w:val="18"/>
                <w:szCs w:val="18"/>
              </w:rPr>
              <w:t xml:space="preserve"> secretariat</w:t>
            </w:r>
          </w:p>
        </w:tc>
      </w:tr>
      <w:tr w:rsidR="001F7B7B" w:rsidRPr="002E371D" w14:paraId="6F76A190" w14:textId="77777777" w:rsidTr="006F65A4">
        <w:tc>
          <w:tcPr>
            <w:tcW w:w="5035" w:type="dxa"/>
            <w:shd w:val="clear" w:color="auto" w:fill="auto"/>
          </w:tcPr>
          <w:p w14:paraId="76DABC3B" w14:textId="660785A4" w:rsidR="00BC0773" w:rsidRPr="002E371D" w:rsidRDefault="00C16E6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2E371D">
              <w:rPr>
                <w:sz w:val="18"/>
                <w:szCs w:val="18"/>
              </w:rPr>
              <w:t xml:space="preserve">The </w:t>
            </w:r>
            <w:r w:rsidRPr="0029126E">
              <w:rPr>
                <w:sz w:val="18"/>
                <w:szCs w:val="18"/>
              </w:rPr>
              <w:t>Branch</w:t>
            </w:r>
            <w:r w:rsidRPr="002E371D">
              <w:rPr>
                <w:sz w:val="18"/>
                <w:szCs w:val="18"/>
              </w:rPr>
              <w:t xml:space="preserve"> offers a comprehensive approach to address</w:t>
            </w:r>
            <w:r w:rsidR="00C364D7">
              <w:rPr>
                <w:sz w:val="18"/>
                <w:szCs w:val="18"/>
              </w:rPr>
              <w:t>ing</w:t>
            </w:r>
            <w:r w:rsidRPr="002E371D">
              <w:rPr>
                <w:sz w:val="18"/>
                <w:szCs w:val="18"/>
              </w:rPr>
              <w:t xml:space="preserve"> global mercury pollution. In addition to implementing a large part of </w:t>
            </w:r>
            <w:r w:rsidR="00F62473">
              <w:rPr>
                <w:sz w:val="18"/>
                <w:szCs w:val="18"/>
              </w:rPr>
              <w:t xml:space="preserve">the </w:t>
            </w:r>
            <w:r w:rsidRPr="002E371D">
              <w:rPr>
                <w:sz w:val="18"/>
                <w:szCs w:val="18"/>
              </w:rPr>
              <w:t xml:space="preserve">UNEP </w:t>
            </w:r>
            <w:proofErr w:type="spellStart"/>
            <w:r w:rsidR="00F62473">
              <w:rPr>
                <w:sz w:val="18"/>
                <w:szCs w:val="18"/>
              </w:rPr>
              <w:t>s</w:t>
            </w:r>
            <w:r w:rsidRPr="002E371D">
              <w:rPr>
                <w:sz w:val="18"/>
                <w:szCs w:val="18"/>
              </w:rPr>
              <w:t>ub</w:t>
            </w:r>
            <w:r w:rsidR="00F62473">
              <w:rPr>
                <w:sz w:val="18"/>
                <w:szCs w:val="18"/>
              </w:rPr>
              <w:t>p</w:t>
            </w:r>
            <w:r w:rsidRPr="002E371D">
              <w:rPr>
                <w:sz w:val="18"/>
                <w:szCs w:val="18"/>
              </w:rPr>
              <w:t>rogramme</w:t>
            </w:r>
            <w:proofErr w:type="spellEnd"/>
            <w:r w:rsidRPr="002E371D">
              <w:rPr>
                <w:sz w:val="18"/>
                <w:szCs w:val="18"/>
              </w:rPr>
              <w:t xml:space="preserve"> on</w:t>
            </w:r>
            <w:r w:rsidR="009825BB" w:rsidRPr="002E371D">
              <w:rPr>
                <w:sz w:val="18"/>
                <w:szCs w:val="18"/>
              </w:rPr>
              <w:t xml:space="preserve"> </w:t>
            </w:r>
            <w:r w:rsidR="00F62473">
              <w:rPr>
                <w:sz w:val="18"/>
                <w:szCs w:val="18"/>
              </w:rPr>
              <w:t>c</w:t>
            </w:r>
            <w:r w:rsidR="009825BB" w:rsidRPr="002E371D">
              <w:rPr>
                <w:sz w:val="18"/>
                <w:szCs w:val="18"/>
              </w:rPr>
              <w:t xml:space="preserve">hemicals, </w:t>
            </w:r>
            <w:r w:rsidR="00F62473">
              <w:rPr>
                <w:sz w:val="18"/>
                <w:szCs w:val="18"/>
              </w:rPr>
              <w:t>w</w:t>
            </w:r>
            <w:r w:rsidRPr="002E371D">
              <w:rPr>
                <w:sz w:val="18"/>
                <w:szCs w:val="18"/>
              </w:rPr>
              <w:t>aste</w:t>
            </w:r>
            <w:r w:rsidR="009825BB" w:rsidRPr="002E371D">
              <w:rPr>
                <w:sz w:val="18"/>
                <w:szCs w:val="18"/>
              </w:rPr>
              <w:t xml:space="preserve"> and </w:t>
            </w:r>
            <w:r w:rsidR="00F62473">
              <w:rPr>
                <w:sz w:val="18"/>
                <w:szCs w:val="18"/>
              </w:rPr>
              <w:t>a</w:t>
            </w:r>
            <w:r w:rsidR="009825BB" w:rsidRPr="002E371D">
              <w:rPr>
                <w:sz w:val="18"/>
                <w:szCs w:val="18"/>
              </w:rPr>
              <w:t xml:space="preserve">ir </w:t>
            </w:r>
            <w:r w:rsidR="00F62473">
              <w:rPr>
                <w:sz w:val="18"/>
                <w:szCs w:val="18"/>
              </w:rPr>
              <w:t>q</w:t>
            </w:r>
            <w:r w:rsidR="009825BB" w:rsidRPr="002E371D">
              <w:rPr>
                <w:sz w:val="18"/>
                <w:szCs w:val="18"/>
              </w:rPr>
              <w:t>uality</w:t>
            </w:r>
            <w:r w:rsidRPr="002E371D">
              <w:rPr>
                <w:sz w:val="18"/>
                <w:szCs w:val="18"/>
              </w:rPr>
              <w:t xml:space="preserve">, </w:t>
            </w:r>
            <w:r w:rsidR="000B42A1">
              <w:rPr>
                <w:sz w:val="18"/>
                <w:szCs w:val="18"/>
              </w:rPr>
              <w:t>it</w:t>
            </w:r>
            <w:r w:rsidR="00BC0773" w:rsidRPr="002E371D">
              <w:rPr>
                <w:sz w:val="18"/>
                <w:szCs w:val="18"/>
              </w:rPr>
              <w:t xml:space="preserve"> hosts a range of international programmes, secretariats, initiatives and partnerships that conduct </w:t>
            </w:r>
            <w:r w:rsidR="00F62473" w:rsidRPr="002E371D">
              <w:rPr>
                <w:sz w:val="18"/>
                <w:szCs w:val="18"/>
              </w:rPr>
              <w:t xml:space="preserve">work </w:t>
            </w:r>
            <w:r w:rsidR="00F62473">
              <w:rPr>
                <w:sz w:val="18"/>
                <w:szCs w:val="18"/>
              </w:rPr>
              <w:t xml:space="preserve">relating to </w:t>
            </w:r>
            <w:r w:rsidR="00BC0773" w:rsidRPr="002E371D">
              <w:rPr>
                <w:sz w:val="18"/>
                <w:szCs w:val="18"/>
              </w:rPr>
              <w:t>chemicals,</w:t>
            </w:r>
            <w:r w:rsidR="007F322F" w:rsidRPr="002E371D">
              <w:rPr>
                <w:sz w:val="18"/>
                <w:szCs w:val="18"/>
              </w:rPr>
              <w:t xml:space="preserve"> health and waste, including </w:t>
            </w:r>
            <w:r w:rsidR="00BC0773" w:rsidRPr="002E371D">
              <w:rPr>
                <w:sz w:val="18"/>
                <w:szCs w:val="18"/>
              </w:rPr>
              <w:t xml:space="preserve">the </w:t>
            </w:r>
            <w:proofErr w:type="spellStart"/>
            <w:r w:rsidR="00BC0773" w:rsidRPr="002E371D">
              <w:rPr>
                <w:sz w:val="18"/>
                <w:szCs w:val="18"/>
              </w:rPr>
              <w:t>OzonAction</w:t>
            </w:r>
            <w:proofErr w:type="spellEnd"/>
            <w:r w:rsidR="00BC0773" w:rsidRPr="002E371D">
              <w:rPr>
                <w:sz w:val="18"/>
                <w:szCs w:val="18"/>
              </w:rPr>
              <w:t xml:space="preserve"> </w:t>
            </w:r>
            <w:r w:rsidR="00DB38D0">
              <w:rPr>
                <w:sz w:val="18"/>
                <w:szCs w:val="18"/>
              </w:rPr>
              <w:t>i</w:t>
            </w:r>
            <w:r w:rsidR="00BC0773" w:rsidRPr="002E371D">
              <w:rPr>
                <w:sz w:val="18"/>
                <w:szCs w:val="18"/>
              </w:rPr>
              <w:t>nitiative, the International Environmental Technology Centre</w:t>
            </w:r>
            <w:r w:rsidR="00DB38D0">
              <w:rPr>
                <w:sz w:val="18"/>
                <w:szCs w:val="18"/>
              </w:rPr>
              <w:t xml:space="preserve"> (based in </w:t>
            </w:r>
            <w:r w:rsidR="00DB38D0" w:rsidRPr="002E371D">
              <w:rPr>
                <w:sz w:val="18"/>
                <w:szCs w:val="18"/>
              </w:rPr>
              <w:t>Osaka</w:t>
            </w:r>
            <w:r w:rsidR="00DB38D0">
              <w:rPr>
                <w:sz w:val="18"/>
                <w:szCs w:val="18"/>
              </w:rPr>
              <w:t>, Japan)</w:t>
            </w:r>
            <w:r w:rsidR="00BC0773" w:rsidRPr="002E371D">
              <w:rPr>
                <w:sz w:val="18"/>
                <w:szCs w:val="18"/>
              </w:rPr>
              <w:t xml:space="preserve">, </w:t>
            </w:r>
            <w:r w:rsidR="007F322F" w:rsidRPr="002E371D">
              <w:rPr>
                <w:sz w:val="18"/>
                <w:szCs w:val="18"/>
              </w:rPr>
              <w:t xml:space="preserve">the Strategic Approach to International Chemicals Management and </w:t>
            </w:r>
            <w:r w:rsidR="00BC0773" w:rsidRPr="002E371D">
              <w:rPr>
                <w:sz w:val="18"/>
                <w:szCs w:val="18"/>
              </w:rPr>
              <w:t xml:space="preserve">the newly formed </w:t>
            </w:r>
            <w:r w:rsidR="00F62473">
              <w:rPr>
                <w:sz w:val="18"/>
                <w:szCs w:val="18"/>
              </w:rPr>
              <w:t>u</w:t>
            </w:r>
            <w:r w:rsidR="00BC0773" w:rsidRPr="002E371D">
              <w:rPr>
                <w:sz w:val="18"/>
                <w:szCs w:val="18"/>
              </w:rPr>
              <w:t xml:space="preserve">nit concentrating on </w:t>
            </w:r>
            <w:r w:rsidR="00F62473">
              <w:rPr>
                <w:sz w:val="18"/>
                <w:szCs w:val="18"/>
              </w:rPr>
              <w:t>h</w:t>
            </w:r>
            <w:r w:rsidR="00BC0773" w:rsidRPr="002E371D">
              <w:rPr>
                <w:sz w:val="18"/>
                <w:szCs w:val="18"/>
              </w:rPr>
              <w:t xml:space="preserve">ealth and </w:t>
            </w:r>
            <w:r w:rsidR="00F62473">
              <w:rPr>
                <w:sz w:val="18"/>
                <w:szCs w:val="18"/>
              </w:rPr>
              <w:t>p</w:t>
            </w:r>
            <w:r w:rsidR="00BC0773" w:rsidRPr="002E371D">
              <w:rPr>
                <w:sz w:val="18"/>
                <w:szCs w:val="18"/>
              </w:rPr>
              <w:t xml:space="preserve">ollution. </w:t>
            </w:r>
          </w:p>
          <w:p w14:paraId="38817299" w14:textId="5C22643D" w:rsidR="00E141C8" w:rsidRPr="002E371D" w:rsidRDefault="00C16E6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2E371D">
              <w:rPr>
                <w:sz w:val="18"/>
                <w:szCs w:val="18"/>
              </w:rPr>
              <w:t xml:space="preserve">The Branch </w:t>
            </w:r>
            <w:r w:rsidR="00D225C6" w:rsidRPr="002E371D">
              <w:rPr>
                <w:sz w:val="18"/>
                <w:szCs w:val="18"/>
              </w:rPr>
              <w:t>has</w:t>
            </w:r>
            <w:r w:rsidRPr="002E371D">
              <w:rPr>
                <w:sz w:val="18"/>
                <w:szCs w:val="18"/>
              </w:rPr>
              <w:t xml:space="preserve"> </w:t>
            </w:r>
            <w:r w:rsidR="007F322F" w:rsidRPr="002E371D">
              <w:rPr>
                <w:sz w:val="18"/>
                <w:szCs w:val="18"/>
              </w:rPr>
              <w:t>le</w:t>
            </w:r>
            <w:r w:rsidR="00D225C6" w:rsidRPr="002E371D">
              <w:rPr>
                <w:sz w:val="18"/>
                <w:szCs w:val="18"/>
              </w:rPr>
              <w:t>d</w:t>
            </w:r>
            <w:r w:rsidR="009825BB" w:rsidRPr="002E371D">
              <w:rPr>
                <w:sz w:val="18"/>
                <w:szCs w:val="18"/>
              </w:rPr>
              <w:t xml:space="preserve"> specific </w:t>
            </w:r>
            <w:r w:rsidR="00E938A2" w:rsidRPr="002E371D">
              <w:rPr>
                <w:sz w:val="18"/>
                <w:szCs w:val="18"/>
              </w:rPr>
              <w:t xml:space="preserve">work </w:t>
            </w:r>
            <w:r w:rsidR="00E938A2">
              <w:rPr>
                <w:sz w:val="18"/>
                <w:szCs w:val="18"/>
              </w:rPr>
              <w:t xml:space="preserve">on </w:t>
            </w:r>
            <w:r w:rsidR="009825BB" w:rsidRPr="002E371D">
              <w:rPr>
                <w:sz w:val="18"/>
                <w:szCs w:val="18"/>
              </w:rPr>
              <w:t xml:space="preserve">mercury </w:t>
            </w:r>
            <w:r w:rsidR="00D225C6" w:rsidRPr="002E371D">
              <w:rPr>
                <w:sz w:val="18"/>
                <w:szCs w:val="18"/>
              </w:rPr>
              <w:t>for some years</w:t>
            </w:r>
            <w:r w:rsidR="00F809C0" w:rsidRPr="002E371D">
              <w:rPr>
                <w:sz w:val="18"/>
                <w:szCs w:val="18"/>
              </w:rPr>
              <w:t xml:space="preserve">, notably </w:t>
            </w:r>
            <w:r w:rsidR="007F322F" w:rsidRPr="002E371D">
              <w:rPr>
                <w:sz w:val="18"/>
                <w:szCs w:val="18"/>
              </w:rPr>
              <w:t xml:space="preserve">hosting </w:t>
            </w:r>
            <w:r w:rsidR="00F809C0" w:rsidRPr="002E371D">
              <w:rPr>
                <w:sz w:val="18"/>
                <w:szCs w:val="18"/>
              </w:rPr>
              <w:t xml:space="preserve">the </w:t>
            </w:r>
            <w:r w:rsidR="00CE7F94" w:rsidRPr="002E371D">
              <w:rPr>
                <w:sz w:val="18"/>
                <w:szCs w:val="18"/>
              </w:rPr>
              <w:t xml:space="preserve">UNEP </w:t>
            </w:r>
            <w:r w:rsidR="00F809C0" w:rsidRPr="002E371D">
              <w:rPr>
                <w:sz w:val="18"/>
                <w:szCs w:val="18"/>
              </w:rPr>
              <w:t>Global</w:t>
            </w:r>
            <w:r w:rsidR="00CE7F94" w:rsidRPr="002E371D">
              <w:rPr>
                <w:sz w:val="18"/>
                <w:szCs w:val="18"/>
              </w:rPr>
              <w:t xml:space="preserve"> Mercury Partnership</w:t>
            </w:r>
            <w:r w:rsidR="009825BB" w:rsidRPr="002E371D">
              <w:rPr>
                <w:sz w:val="18"/>
                <w:szCs w:val="18"/>
              </w:rPr>
              <w:t xml:space="preserve">. </w:t>
            </w:r>
            <w:r w:rsidR="00AA423D">
              <w:rPr>
                <w:sz w:val="18"/>
                <w:szCs w:val="18"/>
              </w:rPr>
              <w:t>It</w:t>
            </w:r>
            <w:r w:rsidR="009825BB" w:rsidRPr="002E371D">
              <w:rPr>
                <w:sz w:val="18"/>
                <w:szCs w:val="18"/>
              </w:rPr>
              <w:t xml:space="preserve"> </w:t>
            </w:r>
            <w:r w:rsidRPr="002E371D">
              <w:rPr>
                <w:sz w:val="18"/>
                <w:szCs w:val="18"/>
              </w:rPr>
              <w:t xml:space="preserve">hosts the secretariat that serviced the negotiating process </w:t>
            </w:r>
            <w:r w:rsidR="00F62473">
              <w:rPr>
                <w:sz w:val="18"/>
                <w:szCs w:val="18"/>
              </w:rPr>
              <w:t>for the Minamata Convention</w:t>
            </w:r>
            <w:r w:rsidRPr="002E371D">
              <w:rPr>
                <w:sz w:val="18"/>
                <w:szCs w:val="18"/>
              </w:rPr>
              <w:t xml:space="preserve">, </w:t>
            </w:r>
            <w:r w:rsidR="00E81067">
              <w:rPr>
                <w:sz w:val="18"/>
                <w:szCs w:val="18"/>
              </w:rPr>
              <w:t xml:space="preserve">which is </w:t>
            </w:r>
            <w:r w:rsidRPr="002E371D">
              <w:rPr>
                <w:sz w:val="18"/>
                <w:szCs w:val="18"/>
              </w:rPr>
              <w:t xml:space="preserve">now the interim </w:t>
            </w:r>
            <w:r w:rsidR="00E81067">
              <w:rPr>
                <w:sz w:val="18"/>
                <w:szCs w:val="18"/>
              </w:rPr>
              <w:t>s</w:t>
            </w:r>
            <w:r w:rsidRPr="002E371D">
              <w:rPr>
                <w:sz w:val="18"/>
                <w:szCs w:val="18"/>
              </w:rPr>
              <w:t>ecretariat</w:t>
            </w:r>
            <w:r w:rsidR="00CE7F94" w:rsidRPr="002E371D">
              <w:rPr>
                <w:sz w:val="18"/>
                <w:szCs w:val="18"/>
              </w:rPr>
              <w:t xml:space="preserve"> of the Convention</w:t>
            </w:r>
            <w:r w:rsidR="007F322F" w:rsidRPr="002E371D">
              <w:rPr>
                <w:sz w:val="18"/>
                <w:szCs w:val="18"/>
              </w:rPr>
              <w:t>. The Branch l</w:t>
            </w:r>
            <w:r w:rsidRPr="002E371D">
              <w:rPr>
                <w:sz w:val="18"/>
                <w:szCs w:val="18"/>
              </w:rPr>
              <w:t xml:space="preserve">eads the </w:t>
            </w:r>
            <w:r w:rsidR="00CE7F94" w:rsidRPr="00951ECA">
              <w:rPr>
                <w:sz w:val="18"/>
                <w:szCs w:val="18"/>
              </w:rPr>
              <w:t xml:space="preserve">Global </w:t>
            </w:r>
            <w:r w:rsidRPr="00951ECA">
              <w:rPr>
                <w:sz w:val="18"/>
                <w:szCs w:val="18"/>
              </w:rPr>
              <w:t>Mercury Assessment</w:t>
            </w:r>
            <w:r w:rsidRPr="002E371D">
              <w:rPr>
                <w:sz w:val="18"/>
                <w:szCs w:val="18"/>
              </w:rPr>
              <w:t xml:space="preserve"> and </w:t>
            </w:r>
            <w:r w:rsidR="000B122B" w:rsidRPr="00951ECA">
              <w:rPr>
                <w:sz w:val="18"/>
                <w:szCs w:val="18"/>
              </w:rPr>
              <w:t xml:space="preserve">the </w:t>
            </w:r>
            <w:r w:rsidRPr="00951ECA">
              <w:rPr>
                <w:sz w:val="18"/>
                <w:szCs w:val="18"/>
              </w:rPr>
              <w:t>Global Chemicals Outlook</w:t>
            </w:r>
            <w:r w:rsidR="007160EE">
              <w:rPr>
                <w:sz w:val="18"/>
                <w:szCs w:val="18"/>
              </w:rPr>
              <w:t xml:space="preserve"> processes and </w:t>
            </w:r>
            <w:r w:rsidR="00BA37ED" w:rsidRPr="002E371D">
              <w:rPr>
                <w:sz w:val="18"/>
                <w:szCs w:val="18"/>
              </w:rPr>
              <w:t>hosts the Global A</w:t>
            </w:r>
            <w:r w:rsidR="007F322F" w:rsidRPr="002E371D">
              <w:rPr>
                <w:sz w:val="18"/>
                <w:szCs w:val="18"/>
              </w:rPr>
              <w:t>lliance to Eliminate Lead Paint</w:t>
            </w:r>
            <w:r w:rsidR="007160EE">
              <w:rPr>
                <w:sz w:val="18"/>
                <w:szCs w:val="18"/>
              </w:rPr>
              <w:t>. T</w:t>
            </w:r>
            <w:r w:rsidR="00CE7F94" w:rsidRPr="002E371D">
              <w:rPr>
                <w:sz w:val="18"/>
                <w:szCs w:val="18"/>
              </w:rPr>
              <w:t>he</w:t>
            </w:r>
            <w:r w:rsidR="007F322F" w:rsidRPr="002E371D">
              <w:rPr>
                <w:sz w:val="18"/>
                <w:szCs w:val="18"/>
              </w:rPr>
              <w:t xml:space="preserve"> </w:t>
            </w:r>
            <w:r w:rsidR="000B122B" w:rsidRPr="002E371D">
              <w:rPr>
                <w:sz w:val="18"/>
                <w:szCs w:val="18"/>
              </w:rPr>
              <w:t xml:space="preserve">Economy </w:t>
            </w:r>
            <w:r w:rsidR="007F322F" w:rsidRPr="002E371D">
              <w:rPr>
                <w:sz w:val="18"/>
                <w:szCs w:val="18"/>
              </w:rPr>
              <w:t xml:space="preserve">Division leads related work </w:t>
            </w:r>
            <w:r w:rsidR="00CE7F94" w:rsidRPr="002E371D">
              <w:rPr>
                <w:sz w:val="18"/>
                <w:szCs w:val="18"/>
              </w:rPr>
              <w:t>streams on resource efficiency</w:t>
            </w:r>
            <w:r w:rsidR="000B122B" w:rsidRPr="002E371D">
              <w:rPr>
                <w:sz w:val="18"/>
                <w:szCs w:val="18"/>
              </w:rPr>
              <w:t>, energy</w:t>
            </w:r>
            <w:r w:rsidR="00CE7F94" w:rsidRPr="002E371D">
              <w:rPr>
                <w:sz w:val="18"/>
                <w:szCs w:val="18"/>
              </w:rPr>
              <w:t xml:space="preserve"> and </w:t>
            </w:r>
            <w:r w:rsidR="00F62473">
              <w:rPr>
                <w:sz w:val="18"/>
                <w:szCs w:val="18"/>
              </w:rPr>
              <w:t xml:space="preserve">the </w:t>
            </w:r>
            <w:r w:rsidR="006020A2" w:rsidRPr="002E371D">
              <w:rPr>
                <w:sz w:val="18"/>
                <w:szCs w:val="18"/>
              </w:rPr>
              <w:t>circular e</w:t>
            </w:r>
            <w:r w:rsidR="00CE7F94" w:rsidRPr="002E371D">
              <w:rPr>
                <w:sz w:val="18"/>
                <w:szCs w:val="18"/>
              </w:rPr>
              <w:t>conomy</w:t>
            </w:r>
            <w:r w:rsidR="006020A2" w:rsidRPr="002E371D">
              <w:rPr>
                <w:sz w:val="18"/>
                <w:szCs w:val="18"/>
              </w:rPr>
              <w:t xml:space="preserve">. </w:t>
            </w:r>
          </w:p>
          <w:p w14:paraId="43F0C75A" w14:textId="04C84842" w:rsidR="00BA37ED" w:rsidRPr="002E371D" w:rsidRDefault="00BA37ED">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eastAsia="en-US"/>
              </w:rPr>
            </w:pPr>
            <w:r w:rsidRPr="002E371D">
              <w:rPr>
                <w:sz w:val="18"/>
                <w:szCs w:val="18"/>
              </w:rPr>
              <w:t>The Branch has extensive experience in managing programme</w:t>
            </w:r>
            <w:r w:rsidR="005F4274" w:rsidRPr="002E371D">
              <w:rPr>
                <w:sz w:val="18"/>
                <w:szCs w:val="18"/>
              </w:rPr>
              <w:t>s</w:t>
            </w:r>
            <w:r w:rsidRPr="002E371D">
              <w:rPr>
                <w:sz w:val="18"/>
                <w:szCs w:val="18"/>
              </w:rPr>
              <w:t xml:space="preserve"> </w:t>
            </w:r>
            <w:r w:rsidR="005F4274" w:rsidRPr="002E371D">
              <w:rPr>
                <w:sz w:val="18"/>
                <w:szCs w:val="18"/>
              </w:rPr>
              <w:t xml:space="preserve">and mobilizing resources to support </w:t>
            </w:r>
            <w:r w:rsidRPr="002E371D">
              <w:rPr>
                <w:sz w:val="18"/>
                <w:szCs w:val="18"/>
              </w:rPr>
              <w:t>capacity</w:t>
            </w:r>
            <w:r w:rsidR="00F62473">
              <w:rPr>
                <w:sz w:val="18"/>
                <w:szCs w:val="18"/>
              </w:rPr>
              <w:t>-</w:t>
            </w:r>
            <w:r w:rsidR="0008504A" w:rsidRPr="002E371D">
              <w:rPr>
                <w:sz w:val="18"/>
                <w:szCs w:val="18"/>
              </w:rPr>
              <w:t xml:space="preserve">building, technical assistance </w:t>
            </w:r>
            <w:r w:rsidR="005F4274" w:rsidRPr="002E371D">
              <w:rPr>
                <w:sz w:val="18"/>
                <w:szCs w:val="18"/>
              </w:rPr>
              <w:t>and institutional strengthening</w:t>
            </w:r>
            <w:r w:rsidR="00A10785" w:rsidRPr="002E371D">
              <w:rPr>
                <w:sz w:val="18"/>
                <w:szCs w:val="18"/>
              </w:rPr>
              <w:t>. UNEP</w:t>
            </w:r>
            <w:r w:rsidR="00F62473">
              <w:rPr>
                <w:sz w:val="18"/>
                <w:szCs w:val="18"/>
              </w:rPr>
              <w:t>,</w:t>
            </w:r>
            <w:r w:rsidR="00A10785" w:rsidRPr="002E371D">
              <w:rPr>
                <w:sz w:val="18"/>
                <w:szCs w:val="18"/>
              </w:rPr>
              <w:t xml:space="preserve"> through the Branch</w:t>
            </w:r>
            <w:r w:rsidR="00F62473">
              <w:rPr>
                <w:sz w:val="18"/>
                <w:szCs w:val="18"/>
              </w:rPr>
              <w:t>,</w:t>
            </w:r>
            <w:r w:rsidR="00A10785" w:rsidRPr="002E371D">
              <w:rPr>
                <w:sz w:val="18"/>
                <w:szCs w:val="18"/>
              </w:rPr>
              <w:t xml:space="preserve"> provides the secretariat of </w:t>
            </w:r>
            <w:r w:rsidR="00CA58FD" w:rsidRPr="002E371D">
              <w:rPr>
                <w:sz w:val="18"/>
                <w:szCs w:val="18"/>
              </w:rPr>
              <w:t>the Strategic Approach to International Chemicals Management</w:t>
            </w:r>
            <w:r w:rsidR="00A10785" w:rsidRPr="002E371D">
              <w:rPr>
                <w:sz w:val="18"/>
                <w:szCs w:val="18"/>
              </w:rPr>
              <w:t xml:space="preserve">, which manages the Quick </w:t>
            </w:r>
            <w:r w:rsidRPr="002E371D">
              <w:rPr>
                <w:sz w:val="18"/>
                <w:szCs w:val="18"/>
              </w:rPr>
              <w:t>Start Programme</w:t>
            </w:r>
            <w:r w:rsidR="00A10785" w:rsidRPr="002E371D">
              <w:rPr>
                <w:sz w:val="18"/>
                <w:szCs w:val="18"/>
              </w:rPr>
              <w:t>. UNEP</w:t>
            </w:r>
            <w:r w:rsidR="00F62473">
              <w:rPr>
                <w:sz w:val="18"/>
                <w:szCs w:val="18"/>
              </w:rPr>
              <w:t>,</w:t>
            </w:r>
            <w:r w:rsidR="00A10785" w:rsidRPr="002E371D">
              <w:rPr>
                <w:sz w:val="18"/>
                <w:szCs w:val="18"/>
              </w:rPr>
              <w:t xml:space="preserve"> through the Branch</w:t>
            </w:r>
            <w:r w:rsidR="00F62473">
              <w:rPr>
                <w:sz w:val="18"/>
                <w:szCs w:val="18"/>
              </w:rPr>
              <w:t>,</w:t>
            </w:r>
            <w:r w:rsidR="00A10785" w:rsidRPr="002E371D">
              <w:rPr>
                <w:sz w:val="18"/>
                <w:szCs w:val="18"/>
              </w:rPr>
              <w:t xml:space="preserve"> also provides the secretariat of</w:t>
            </w:r>
            <w:r w:rsidRPr="002E371D">
              <w:rPr>
                <w:sz w:val="18"/>
                <w:szCs w:val="18"/>
              </w:rPr>
              <w:t xml:space="preserve"> the </w:t>
            </w:r>
            <w:r w:rsidR="009E3138">
              <w:rPr>
                <w:sz w:val="18"/>
                <w:szCs w:val="18"/>
              </w:rPr>
              <w:t>S</w:t>
            </w:r>
            <w:r w:rsidRPr="002E371D">
              <w:rPr>
                <w:sz w:val="18"/>
                <w:szCs w:val="18"/>
              </w:rPr>
              <w:t xml:space="preserve">pecial </w:t>
            </w:r>
            <w:r w:rsidR="009E3138">
              <w:rPr>
                <w:sz w:val="18"/>
                <w:szCs w:val="18"/>
              </w:rPr>
              <w:t>P</w:t>
            </w:r>
            <w:r w:rsidRPr="002E371D">
              <w:rPr>
                <w:sz w:val="18"/>
                <w:szCs w:val="18"/>
              </w:rPr>
              <w:t xml:space="preserve">rogramme </w:t>
            </w:r>
            <w:r w:rsidR="00893431">
              <w:rPr>
                <w:sz w:val="18"/>
                <w:szCs w:val="18"/>
              </w:rPr>
              <w:t xml:space="preserve">to support </w:t>
            </w:r>
            <w:r w:rsidRPr="002E371D">
              <w:rPr>
                <w:sz w:val="18"/>
                <w:szCs w:val="18"/>
              </w:rPr>
              <w:t>institutional strengthening</w:t>
            </w:r>
            <w:r w:rsidR="00BC0773" w:rsidRPr="002E371D">
              <w:rPr>
                <w:sz w:val="18"/>
                <w:szCs w:val="18"/>
              </w:rPr>
              <w:t xml:space="preserve"> at the national level for implementation of the </w:t>
            </w:r>
            <w:r w:rsidR="00401525">
              <w:rPr>
                <w:sz w:val="18"/>
                <w:szCs w:val="18"/>
              </w:rPr>
              <w:t>B</w:t>
            </w:r>
            <w:r w:rsidR="00401525" w:rsidRPr="00401525">
              <w:rPr>
                <w:sz w:val="18"/>
                <w:szCs w:val="18"/>
              </w:rPr>
              <w:t>asel</w:t>
            </w:r>
            <w:r w:rsidR="00893431">
              <w:rPr>
                <w:sz w:val="18"/>
                <w:szCs w:val="18"/>
              </w:rPr>
              <w:t>,</w:t>
            </w:r>
            <w:r w:rsidR="00401525" w:rsidRPr="00401525">
              <w:rPr>
                <w:sz w:val="18"/>
                <w:szCs w:val="18"/>
              </w:rPr>
              <w:t xml:space="preserve"> Rotterdam </w:t>
            </w:r>
            <w:r w:rsidR="00893431">
              <w:rPr>
                <w:sz w:val="18"/>
                <w:szCs w:val="18"/>
              </w:rPr>
              <w:t>and</w:t>
            </w:r>
            <w:r w:rsidR="00401525" w:rsidRPr="00401525">
              <w:rPr>
                <w:sz w:val="18"/>
                <w:szCs w:val="18"/>
              </w:rPr>
              <w:t xml:space="preserve"> Stockholm </w:t>
            </w:r>
            <w:r w:rsidR="00893431">
              <w:rPr>
                <w:sz w:val="18"/>
                <w:szCs w:val="18"/>
              </w:rPr>
              <w:t>c</w:t>
            </w:r>
            <w:r w:rsidR="00893431" w:rsidRPr="00401525">
              <w:rPr>
                <w:sz w:val="18"/>
                <w:szCs w:val="18"/>
              </w:rPr>
              <w:t>onvention</w:t>
            </w:r>
            <w:r w:rsidR="00893431">
              <w:rPr>
                <w:sz w:val="18"/>
                <w:szCs w:val="18"/>
              </w:rPr>
              <w:t>s</w:t>
            </w:r>
            <w:r w:rsidR="00BC0773" w:rsidRPr="002E371D">
              <w:rPr>
                <w:sz w:val="18"/>
                <w:szCs w:val="18"/>
              </w:rPr>
              <w:t xml:space="preserve">, the </w:t>
            </w:r>
            <w:proofErr w:type="spellStart"/>
            <w:r w:rsidR="00BC0773" w:rsidRPr="002E371D">
              <w:rPr>
                <w:sz w:val="18"/>
                <w:szCs w:val="18"/>
              </w:rPr>
              <w:t>Minamata</w:t>
            </w:r>
            <w:proofErr w:type="spellEnd"/>
            <w:r w:rsidR="00BC0773" w:rsidRPr="002E371D">
              <w:rPr>
                <w:sz w:val="18"/>
                <w:szCs w:val="18"/>
              </w:rPr>
              <w:t xml:space="preserve"> Convention and </w:t>
            </w:r>
            <w:r w:rsidR="00F62473">
              <w:rPr>
                <w:sz w:val="18"/>
                <w:szCs w:val="18"/>
              </w:rPr>
              <w:t>the Strategic Approach</w:t>
            </w:r>
            <w:r w:rsidR="00893431">
              <w:rPr>
                <w:sz w:val="18"/>
                <w:szCs w:val="18"/>
              </w:rPr>
              <w:t xml:space="preserve"> to International Chemicals Management</w:t>
            </w:r>
            <w:r w:rsidRPr="002E371D">
              <w:rPr>
                <w:sz w:val="18"/>
                <w:szCs w:val="18"/>
              </w:rPr>
              <w:t>.</w:t>
            </w:r>
          </w:p>
        </w:tc>
        <w:tc>
          <w:tcPr>
            <w:tcW w:w="3452" w:type="dxa"/>
            <w:shd w:val="clear" w:color="auto" w:fill="auto"/>
          </w:tcPr>
          <w:p w14:paraId="70585E67" w14:textId="269CE61F" w:rsidR="00E63DD4" w:rsidRPr="002E371D" w:rsidRDefault="002F3A7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2E371D">
              <w:rPr>
                <w:sz w:val="18"/>
                <w:szCs w:val="18"/>
              </w:rPr>
              <w:t xml:space="preserve">Locating </w:t>
            </w:r>
            <w:r w:rsidR="00F62473">
              <w:rPr>
                <w:sz w:val="18"/>
                <w:szCs w:val="18"/>
              </w:rPr>
              <w:t xml:space="preserve">the </w:t>
            </w:r>
            <w:r w:rsidRPr="002E371D">
              <w:rPr>
                <w:sz w:val="18"/>
                <w:szCs w:val="18"/>
              </w:rPr>
              <w:t>secretariat of the specific international programme in the permanent</w:t>
            </w:r>
            <w:r w:rsidR="001F7B7B" w:rsidRPr="002E371D">
              <w:rPr>
                <w:sz w:val="18"/>
                <w:szCs w:val="18"/>
              </w:rPr>
              <w:t xml:space="preserve"> </w:t>
            </w:r>
            <w:r w:rsidR="00E016D8" w:rsidRPr="0029126E">
              <w:rPr>
                <w:sz w:val="18"/>
                <w:szCs w:val="18"/>
              </w:rPr>
              <w:t xml:space="preserve">Convention </w:t>
            </w:r>
            <w:r w:rsidR="001F7B7B" w:rsidRPr="0029126E">
              <w:rPr>
                <w:sz w:val="18"/>
                <w:szCs w:val="18"/>
              </w:rPr>
              <w:t>secretariat</w:t>
            </w:r>
            <w:r w:rsidR="001F7B7B" w:rsidRPr="002E371D">
              <w:rPr>
                <w:sz w:val="18"/>
                <w:szCs w:val="18"/>
              </w:rPr>
              <w:t xml:space="preserve"> </w:t>
            </w:r>
            <w:r w:rsidR="003117BE" w:rsidRPr="002E371D">
              <w:rPr>
                <w:sz w:val="18"/>
                <w:szCs w:val="18"/>
              </w:rPr>
              <w:t>will offer</w:t>
            </w:r>
            <w:r w:rsidR="001F7B7B" w:rsidRPr="002E371D">
              <w:rPr>
                <w:sz w:val="18"/>
                <w:szCs w:val="18"/>
              </w:rPr>
              <w:t xml:space="preserve"> a </w:t>
            </w:r>
            <w:r w:rsidR="004F6934" w:rsidRPr="002E371D">
              <w:rPr>
                <w:sz w:val="18"/>
                <w:szCs w:val="18"/>
              </w:rPr>
              <w:t>concentrated</w:t>
            </w:r>
            <w:r w:rsidR="00D466EE" w:rsidRPr="002E371D">
              <w:rPr>
                <w:sz w:val="18"/>
                <w:szCs w:val="18"/>
              </w:rPr>
              <w:t xml:space="preserve"> </w:t>
            </w:r>
            <w:r w:rsidR="001F7B7B" w:rsidRPr="002E371D">
              <w:rPr>
                <w:sz w:val="18"/>
                <w:szCs w:val="18"/>
              </w:rPr>
              <w:t xml:space="preserve">focus </w:t>
            </w:r>
            <w:r w:rsidRPr="002E371D">
              <w:rPr>
                <w:sz w:val="18"/>
                <w:szCs w:val="18"/>
              </w:rPr>
              <w:t>on mercury. It will also offer</w:t>
            </w:r>
            <w:r w:rsidR="00A10785" w:rsidRPr="002E371D">
              <w:rPr>
                <w:sz w:val="18"/>
                <w:szCs w:val="18"/>
              </w:rPr>
              <w:t xml:space="preserve"> </w:t>
            </w:r>
            <w:r w:rsidR="00E016D8" w:rsidRPr="002E371D">
              <w:rPr>
                <w:sz w:val="18"/>
                <w:szCs w:val="18"/>
              </w:rPr>
              <w:t xml:space="preserve">direct </w:t>
            </w:r>
            <w:r w:rsidR="00013B94" w:rsidRPr="002E371D">
              <w:rPr>
                <w:sz w:val="18"/>
                <w:szCs w:val="18"/>
              </w:rPr>
              <w:t>proximity to the C</w:t>
            </w:r>
            <w:r w:rsidR="001F7B7B" w:rsidRPr="002E371D">
              <w:rPr>
                <w:sz w:val="18"/>
                <w:szCs w:val="18"/>
              </w:rPr>
              <w:t>onvention</w:t>
            </w:r>
            <w:r w:rsidR="00013B94" w:rsidRPr="002E371D">
              <w:rPr>
                <w:sz w:val="18"/>
                <w:szCs w:val="18"/>
              </w:rPr>
              <w:t xml:space="preserve"> and </w:t>
            </w:r>
            <w:r w:rsidR="00F62473">
              <w:rPr>
                <w:sz w:val="18"/>
                <w:szCs w:val="18"/>
              </w:rPr>
              <w:t>the</w:t>
            </w:r>
            <w:r w:rsidR="00F62473" w:rsidRPr="002E371D">
              <w:rPr>
                <w:sz w:val="18"/>
                <w:szCs w:val="18"/>
              </w:rPr>
              <w:t xml:space="preserve"> </w:t>
            </w:r>
            <w:r w:rsidR="00013B94" w:rsidRPr="002E371D">
              <w:rPr>
                <w:sz w:val="18"/>
                <w:szCs w:val="18"/>
              </w:rPr>
              <w:t>Parties</w:t>
            </w:r>
            <w:r w:rsidR="00F62473">
              <w:rPr>
                <w:sz w:val="18"/>
                <w:szCs w:val="18"/>
              </w:rPr>
              <w:t xml:space="preserve"> thereto</w:t>
            </w:r>
            <w:r w:rsidR="001F7B7B" w:rsidRPr="002E371D">
              <w:rPr>
                <w:sz w:val="18"/>
                <w:szCs w:val="18"/>
              </w:rPr>
              <w:t xml:space="preserve">. </w:t>
            </w:r>
            <w:r w:rsidR="00D00E37">
              <w:rPr>
                <w:sz w:val="18"/>
                <w:szCs w:val="18"/>
              </w:rPr>
              <w:t>In</w:t>
            </w:r>
            <w:r w:rsidR="00D00E37" w:rsidRPr="002E371D">
              <w:rPr>
                <w:sz w:val="18"/>
                <w:szCs w:val="18"/>
              </w:rPr>
              <w:t xml:space="preserve"> </w:t>
            </w:r>
            <w:r w:rsidR="001F7B7B" w:rsidRPr="002E371D">
              <w:rPr>
                <w:sz w:val="18"/>
                <w:szCs w:val="18"/>
              </w:rPr>
              <w:t>host</w:t>
            </w:r>
            <w:r w:rsidR="00D00E37">
              <w:rPr>
                <w:sz w:val="18"/>
                <w:szCs w:val="18"/>
              </w:rPr>
              <w:t>ing</w:t>
            </w:r>
            <w:r w:rsidR="001F7B7B" w:rsidRPr="002E371D">
              <w:rPr>
                <w:sz w:val="18"/>
                <w:szCs w:val="18"/>
              </w:rPr>
              <w:t xml:space="preserve"> the </w:t>
            </w:r>
            <w:r w:rsidR="00A10785" w:rsidRPr="002E371D">
              <w:rPr>
                <w:sz w:val="18"/>
                <w:szCs w:val="18"/>
              </w:rPr>
              <w:t>specific international programme</w:t>
            </w:r>
            <w:r w:rsidR="001F7B7B" w:rsidRPr="002E371D">
              <w:rPr>
                <w:sz w:val="18"/>
                <w:szCs w:val="18"/>
              </w:rPr>
              <w:t xml:space="preserve"> </w:t>
            </w:r>
            <w:r w:rsidR="00013B94" w:rsidRPr="002E371D">
              <w:rPr>
                <w:sz w:val="18"/>
                <w:szCs w:val="18"/>
              </w:rPr>
              <w:t>secretariat</w:t>
            </w:r>
            <w:r w:rsidR="00D00E37">
              <w:rPr>
                <w:sz w:val="18"/>
                <w:szCs w:val="18"/>
              </w:rPr>
              <w:t>,</w:t>
            </w:r>
            <w:r w:rsidR="00013B94" w:rsidRPr="002E371D">
              <w:rPr>
                <w:sz w:val="18"/>
                <w:szCs w:val="18"/>
              </w:rPr>
              <w:t xml:space="preserve"> the C</w:t>
            </w:r>
            <w:r w:rsidR="001F7B7B" w:rsidRPr="002E371D">
              <w:rPr>
                <w:sz w:val="18"/>
                <w:szCs w:val="18"/>
              </w:rPr>
              <w:t xml:space="preserve">onvention secretariat would build on the </w:t>
            </w:r>
            <w:r w:rsidR="00013B94" w:rsidRPr="002E371D">
              <w:rPr>
                <w:sz w:val="18"/>
                <w:szCs w:val="18"/>
              </w:rPr>
              <w:t xml:space="preserve">relevant </w:t>
            </w:r>
            <w:r w:rsidR="001F7B7B" w:rsidRPr="002E371D">
              <w:rPr>
                <w:sz w:val="18"/>
                <w:szCs w:val="18"/>
              </w:rPr>
              <w:t>experience of the interim secretariat.</w:t>
            </w:r>
            <w:r w:rsidR="00013B94" w:rsidRPr="002E371D">
              <w:rPr>
                <w:sz w:val="18"/>
                <w:szCs w:val="18"/>
              </w:rPr>
              <w:t xml:space="preserve"> The Convention secretariat is expected to have scientific and technical staff as part of its future staffing structure.</w:t>
            </w:r>
          </w:p>
          <w:p w14:paraId="6F978EB9" w14:textId="593731AE" w:rsidR="00E141C8" w:rsidRPr="002E371D" w:rsidRDefault="001F7B7B">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2E371D">
              <w:rPr>
                <w:sz w:val="18"/>
                <w:szCs w:val="18"/>
              </w:rPr>
              <w:t>Further</w:t>
            </w:r>
            <w:r w:rsidR="00F62473">
              <w:rPr>
                <w:sz w:val="18"/>
                <w:szCs w:val="18"/>
              </w:rPr>
              <w:t>more</w:t>
            </w:r>
            <w:r w:rsidRPr="002E371D">
              <w:rPr>
                <w:sz w:val="18"/>
                <w:szCs w:val="18"/>
              </w:rPr>
              <w:t>,</w:t>
            </w:r>
            <w:r w:rsidR="00013B94" w:rsidRPr="002E371D">
              <w:rPr>
                <w:sz w:val="18"/>
                <w:szCs w:val="18"/>
              </w:rPr>
              <w:t xml:space="preserve"> as set out in </w:t>
            </w:r>
            <w:r w:rsidR="0007282C">
              <w:rPr>
                <w:sz w:val="18"/>
                <w:szCs w:val="18"/>
              </w:rPr>
              <w:t>a</w:t>
            </w:r>
            <w:r w:rsidR="0007282C" w:rsidRPr="002E371D">
              <w:rPr>
                <w:sz w:val="18"/>
                <w:szCs w:val="18"/>
              </w:rPr>
              <w:t>rticle 24</w:t>
            </w:r>
            <w:r w:rsidR="0007282C">
              <w:rPr>
                <w:sz w:val="18"/>
                <w:szCs w:val="18"/>
              </w:rPr>
              <w:t xml:space="preserve"> of the Convention, </w:t>
            </w:r>
            <w:r w:rsidR="00013B94" w:rsidRPr="002E371D">
              <w:rPr>
                <w:sz w:val="18"/>
                <w:szCs w:val="18"/>
              </w:rPr>
              <w:t>the C</w:t>
            </w:r>
            <w:r w:rsidRPr="002E371D">
              <w:rPr>
                <w:sz w:val="18"/>
                <w:szCs w:val="18"/>
              </w:rPr>
              <w:t xml:space="preserve">onvention secretariat is tasked </w:t>
            </w:r>
            <w:r w:rsidR="0007282C">
              <w:rPr>
                <w:sz w:val="18"/>
                <w:szCs w:val="18"/>
              </w:rPr>
              <w:t>with</w:t>
            </w:r>
            <w:r w:rsidR="0007282C" w:rsidRPr="002E371D">
              <w:rPr>
                <w:sz w:val="18"/>
                <w:szCs w:val="18"/>
              </w:rPr>
              <w:t xml:space="preserve"> </w:t>
            </w:r>
            <w:r w:rsidRPr="002E371D">
              <w:rPr>
                <w:sz w:val="18"/>
                <w:szCs w:val="18"/>
              </w:rPr>
              <w:t>facilitat</w:t>
            </w:r>
            <w:r w:rsidR="0007282C">
              <w:rPr>
                <w:sz w:val="18"/>
                <w:szCs w:val="18"/>
              </w:rPr>
              <w:t>ing</w:t>
            </w:r>
            <w:r w:rsidRPr="002E371D">
              <w:rPr>
                <w:sz w:val="18"/>
                <w:szCs w:val="18"/>
              </w:rPr>
              <w:t xml:space="preserve"> assistance, on request, and coordinat</w:t>
            </w:r>
            <w:r w:rsidR="0007282C">
              <w:rPr>
                <w:sz w:val="18"/>
                <w:szCs w:val="18"/>
              </w:rPr>
              <w:t>ing</w:t>
            </w:r>
            <w:r w:rsidRPr="002E371D">
              <w:rPr>
                <w:sz w:val="18"/>
                <w:szCs w:val="18"/>
              </w:rPr>
              <w:t xml:space="preserve"> activities with the secretariats of relevant international bodies. </w:t>
            </w:r>
          </w:p>
          <w:p w14:paraId="071C9B18" w14:textId="1DD728E0" w:rsidR="003117BE" w:rsidRPr="00F62473" w:rsidRDefault="00A577E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2D379C">
              <w:rPr>
                <w:sz w:val="18"/>
                <w:szCs w:val="18"/>
              </w:rPr>
              <w:t xml:space="preserve">It </w:t>
            </w:r>
            <w:r w:rsidR="00D673F7">
              <w:rPr>
                <w:sz w:val="18"/>
                <w:szCs w:val="18"/>
              </w:rPr>
              <w:t>should be noted that it has</w:t>
            </w:r>
            <w:r w:rsidR="003117BE" w:rsidRPr="002D379C">
              <w:rPr>
                <w:sz w:val="18"/>
                <w:szCs w:val="18"/>
              </w:rPr>
              <w:t xml:space="preserve"> not yet </w:t>
            </w:r>
            <w:r w:rsidR="00812046">
              <w:rPr>
                <w:sz w:val="18"/>
                <w:szCs w:val="18"/>
              </w:rPr>
              <w:t xml:space="preserve">been </w:t>
            </w:r>
            <w:r w:rsidR="003117BE" w:rsidRPr="002D379C">
              <w:rPr>
                <w:sz w:val="18"/>
                <w:szCs w:val="18"/>
              </w:rPr>
              <w:t xml:space="preserve">decided how the Executive Director will perform </w:t>
            </w:r>
            <w:r w:rsidR="003117BE" w:rsidRPr="0029126E">
              <w:rPr>
                <w:sz w:val="18"/>
                <w:szCs w:val="18"/>
              </w:rPr>
              <w:t>the functions of the permanent secretariat.</w:t>
            </w:r>
          </w:p>
        </w:tc>
      </w:tr>
    </w:tbl>
    <w:p w14:paraId="4DE623E9" w14:textId="77777777" w:rsidR="00A00029" w:rsidRDefault="00A00029"/>
    <w:tbl>
      <w:tblPr>
        <w:tblStyle w:val="TableGrid"/>
        <w:tblW w:w="8526" w:type="dxa"/>
        <w:tblInd w:w="1260" w:type="dxa"/>
        <w:tblLook w:val="04A0" w:firstRow="1" w:lastRow="0" w:firstColumn="1" w:lastColumn="0" w:noHBand="0" w:noVBand="1"/>
      </w:tblPr>
      <w:tblGrid>
        <w:gridCol w:w="8526"/>
      </w:tblGrid>
      <w:tr w:rsidR="005F6767" w:rsidRPr="002E371D" w14:paraId="484502C7" w14:textId="77777777" w:rsidTr="006F65A4">
        <w:tc>
          <w:tcPr>
            <w:tcW w:w="8526" w:type="dxa"/>
            <w:shd w:val="clear" w:color="auto" w:fill="D9D9D9" w:themeFill="background1" w:themeFillShade="D9"/>
          </w:tcPr>
          <w:p w14:paraId="12B3B6DD" w14:textId="358CF5A8" w:rsidR="00B44408" w:rsidRPr="002E371D" w:rsidRDefault="00B44408" w:rsidP="0029126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rPr>
            </w:pPr>
            <w:r w:rsidRPr="002E371D">
              <w:rPr>
                <w:b/>
                <w:bCs/>
                <w:sz w:val="18"/>
                <w:szCs w:val="18"/>
              </w:rPr>
              <w:t xml:space="preserve">2. Governing </w:t>
            </w:r>
            <w:r w:rsidR="00F62473">
              <w:rPr>
                <w:b/>
                <w:bCs/>
                <w:sz w:val="18"/>
                <w:szCs w:val="18"/>
              </w:rPr>
              <w:t>b</w:t>
            </w:r>
            <w:r w:rsidRPr="002E371D">
              <w:rPr>
                <w:b/>
                <w:bCs/>
                <w:sz w:val="18"/>
                <w:szCs w:val="18"/>
              </w:rPr>
              <w:t>ody</w:t>
            </w:r>
          </w:p>
          <w:p w14:paraId="6852B70B" w14:textId="4E68042C" w:rsidR="005F6767" w:rsidRPr="002E371D" w:rsidRDefault="00B44408" w:rsidP="0029126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rPr>
            </w:pPr>
            <w:r w:rsidRPr="002E371D">
              <w:rPr>
                <w:bCs/>
                <w:sz w:val="18"/>
                <w:szCs w:val="18"/>
              </w:rPr>
              <w:t xml:space="preserve">While the secretariat of the specific international programme will operate under the guidance of and be accountable to the Conference of the Parties and will be directly responsible for the operation and administration of the programme, the Conference may delegate oversight and implementation of its guidance, including </w:t>
            </w:r>
            <w:r w:rsidR="00D663A4">
              <w:rPr>
                <w:bCs/>
                <w:sz w:val="18"/>
                <w:szCs w:val="18"/>
              </w:rPr>
              <w:br/>
            </w:r>
            <w:r w:rsidRPr="002E371D">
              <w:rPr>
                <w:bCs/>
                <w:sz w:val="18"/>
                <w:szCs w:val="18"/>
              </w:rPr>
              <w:t xml:space="preserve">decision-making on projects and project management, to another body </w:t>
            </w:r>
            <w:r w:rsidR="00794EE2" w:rsidRPr="002E371D">
              <w:rPr>
                <w:bCs/>
                <w:sz w:val="18"/>
                <w:szCs w:val="18"/>
              </w:rPr>
              <w:t xml:space="preserve">– a governing body – </w:t>
            </w:r>
            <w:r w:rsidRPr="002E371D">
              <w:rPr>
                <w:bCs/>
                <w:sz w:val="18"/>
                <w:szCs w:val="18"/>
              </w:rPr>
              <w:t>located between the Conference and the secretariat</w:t>
            </w:r>
            <w:r w:rsidR="0008504A" w:rsidRPr="002E371D">
              <w:rPr>
                <w:bCs/>
                <w:sz w:val="18"/>
                <w:szCs w:val="18"/>
              </w:rPr>
              <w:t xml:space="preserve">. </w:t>
            </w:r>
          </w:p>
        </w:tc>
      </w:tr>
      <w:tr w:rsidR="005F6767" w:rsidRPr="002E371D" w14:paraId="1F5ECBDF" w14:textId="77777777" w:rsidTr="006F65A4">
        <w:tc>
          <w:tcPr>
            <w:tcW w:w="8526" w:type="dxa"/>
            <w:shd w:val="clear" w:color="auto" w:fill="auto"/>
          </w:tcPr>
          <w:p w14:paraId="1535A905" w14:textId="7BB904F2" w:rsidR="0008504A" w:rsidRPr="002E371D" w:rsidRDefault="0008504A" w:rsidP="0029126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00"/>
              <w:rPr>
                <w:bCs/>
                <w:sz w:val="18"/>
                <w:szCs w:val="18"/>
              </w:rPr>
            </w:pPr>
            <w:r w:rsidRPr="002E371D">
              <w:rPr>
                <w:b/>
                <w:sz w:val="18"/>
                <w:szCs w:val="18"/>
              </w:rPr>
              <w:t xml:space="preserve">Considerations </w:t>
            </w:r>
          </w:p>
          <w:p w14:paraId="41055328" w14:textId="28CDFEBB" w:rsidR="005F6767" w:rsidRPr="00F62473" w:rsidRDefault="00B44408" w:rsidP="0029126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rPr>
            </w:pPr>
            <w:r w:rsidRPr="002E371D">
              <w:rPr>
                <w:bCs/>
                <w:sz w:val="18"/>
                <w:szCs w:val="18"/>
              </w:rPr>
              <w:t xml:space="preserve">Regardless of the </w:t>
            </w:r>
            <w:r w:rsidR="00F60465">
              <w:rPr>
                <w:bCs/>
                <w:sz w:val="18"/>
                <w:szCs w:val="18"/>
              </w:rPr>
              <w:t xml:space="preserve">location of the </w:t>
            </w:r>
            <w:r w:rsidRPr="002E371D">
              <w:rPr>
                <w:bCs/>
                <w:sz w:val="18"/>
                <w:szCs w:val="18"/>
              </w:rPr>
              <w:t xml:space="preserve">secretariat of the specific international programme, </w:t>
            </w:r>
            <w:r w:rsidR="00B63100">
              <w:rPr>
                <w:bCs/>
                <w:sz w:val="18"/>
                <w:szCs w:val="18"/>
              </w:rPr>
              <w:t>the Conference of the parties may wish to establish a</w:t>
            </w:r>
            <w:r w:rsidRPr="002E371D">
              <w:rPr>
                <w:bCs/>
                <w:sz w:val="18"/>
                <w:szCs w:val="18"/>
              </w:rPr>
              <w:t xml:space="preserve"> governing body </w:t>
            </w:r>
            <w:r w:rsidR="00B63100">
              <w:rPr>
                <w:bCs/>
                <w:sz w:val="18"/>
                <w:szCs w:val="18"/>
              </w:rPr>
              <w:t>for</w:t>
            </w:r>
            <w:r w:rsidR="00B63100" w:rsidRPr="002E371D">
              <w:rPr>
                <w:bCs/>
                <w:sz w:val="18"/>
                <w:szCs w:val="18"/>
              </w:rPr>
              <w:t xml:space="preserve"> </w:t>
            </w:r>
            <w:r w:rsidRPr="002E371D">
              <w:rPr>
                <w:bCs/>
                <w:sz w:val="18"/>
                <w:szCs w:val="18"/>
              </w:rPr>
              <w:t xml:space="preserve">the programme </w:t>
            </w:r>
            <w:r w:rsidR="00B63100">
              <w:rPr>
                <w:bCs/>
                <w:sz w:val="18"/>
                <w:szCs w:val="18"/>
              </w:rPr>
              <w:t xml:space="preserve">that </w:t>
            </w:r>
            <w:r w:rsidRPr="00F62473">
              <w:rPr>
                <w:bCs/>
                <w:sz w:val="18"/>
                <w:szCs w:val="18"/>
              </w:rPr>
              <w:t xml:space="preserve">will provide oversight of the implementation of the guidance </w:t>
            </w:r>
            <w:r w:rsidR="00F60465">
              <w:rPr>
                <w:bCs/>
                <w:sz w:val="18"/>
                <w:szCs w:val="18"/>
              </w:rPr>
              <w:t>given by</w:t>
            </w:r>
            <w:r w:rsidR="00F60465" w:rsidRPr="002D379C">
              <w:rPr>
                <w:bCs/>
                <w:sz w:val="18"/>
                <w:szCs w:val="18"/>
              </w:rPr>
              <w:t xml:space="preserve"> </w:t>
            </w:r>
            <w:r w:rsidRPr="002D379C">
              <w:rPr>
                <w:bCs/>
                <w:sz w:val="18"/>
                <w:szCs w:val="18"/>
              </w:rPr>
              <w:t xml:space="preserve">the Conference of the Parties. </w:t>
            </w:r>
            <w:r w:rsidR="00F60465">
              <w:rPr>
                <w:bCs/>
                <w:sz w:val="18"/>
                <w:szCs w:val="18"/>
              </w:rPr>
              <w:t>It</w:t>
            </w:r>
            <w:r w:rsidRPr="00F62473">
              <w:rPr>
                <w:bCs/>
                <w:sz w:val="18"/>
                <w:szCs w:val="18"/>
              </w:rPr>
              <w:t xml:space="preserve"> will report to the Conference and be serviced by the secretariat of the programme. </w:t>
            </w:r>
          </w:p>
          <w:p w14:paraId="4D4F0040" w14:textId="44624255" w:rsidR="00B44408" w:rsidRPr="00F62473" w:rsidRDefault="00B44408" w:rsidP="0029126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lang w:eastAsia="en-US"/>
              </w:rPr>
            </w:pPr>
            <w:r w:rsidRPr="00F62473">
              <w:rPr>
                <w:bCs/>
                <w:sz w:val="18"/>
                <w:szCs w:val="18"/>
              </w:rPr>
              <w:t xml:space="preserve">Regardless of </w:t>
            </w:r>
            <w:r w:rsidR="00565D20">
              <w:rPr>
                <w:bCs/>
                <w:sz w:val="18"/>
                <w:szCs w:val="18"/>
              </w:rPr>
              <w:t>the location of</w:t>
            </w:r>
            <w:r w:rsidRPr="00F62473">
              <w:rPr>
                <w:bCs/>
                <w:sz w:val="18"/>
                <w:szCs w:val="18"/>
              </w:rPr>
              <w:t xml:space="preserve"> the secretariat, the governing body </w:t>
            </w:r>
            <w:r w:rsidR="00CA75B3">
              <w:rPr>
                <w:bCs/>
                <w:sz w:val="18"/>
                <w:szCs w:val="18"/>
              </w:rPr>
              <w:t>will</w:t>
            </w:r>
            <w:r w:rsidR="00CA75B3" w:rsidRPr="00F62473">
              <w:rPr>
                <w:bCs/>
                <w:sz w:val="18"/>
                <w:szCs w:val="18"/>
              </w:rPr>
              <w:t xml:space="preserve"> </w:t>
            </w:r>
            <w:r w:rsidRPr="00F62473">
              <w:rPr>
                <w:bCs/>
                <w:sz w:val="18"/>
                <w:szCs w:val="18"/>
              </w:rPr>
              <w:t xml:space="preserve">be composed of a specified set of members, </w:t>
            </w:r>
            <w:r w:rsidR="0008504A" w:rsidRPr="002D379C">
              <w:rPr>
                <w:bCs/>
                <w:sz w:val="18"/>
                <w:szCs w:val="18"/>
              </w:rPr>
              <w:t>with</w:t>
            </w:r>
            <w:r w:rsidRPr="002D379C">
              <w:rPr>
                <w:bCs/>
                <w:sz w:val="18"/>
                <w:szCs w:val="18"/>
              </w:rPr>
              <w:t xml:space="preserve"> </w:t>
            </w:r>
            <w:r w:rsidR="00A5125F" w:rsidRPr="002D379C">
              <w:rPr>
                <w:bCs/>
                <w:sz w:val="18"/>
                <w:szCs w:val="18"/>
              </w:rPr>
              <w:t>balanced</w:t>
            </w:r>
            <w:r w:rsidR="0008504A" w:rsidRPr="002D379C">
              <w:rPr>
                <w:bCs/>
                <w:sz w:val="18"/>
                <w:szCs w:val="18"/>
              </w:rPr>
              <w:t xml:space="preserve"> representation </w:t>
            </w:r>
            <w:r w:rsidR="00565D20">
              <w:rPr>
                <w:bCs/>
                <w:sz w:val="18"/>
                <w:szCs w:val="18"/>
              </w:rPr>
              <w:t>of</w:t>
            </w:r>
            <w:r w:rsidR="00565D20" w:rsidRPr="002D379C">
              <w:rPr>
                <w:bCs/>
                <w:sz w:val="18"/>
                <w:szCs w:val="18"/>
              </w:rPr>
              <w:t xml:space="preserve"> </w:t>
            </w:r>
            <w:r w:rsidR="0008504A" w:rsidRPr="002D379C">
              <w:rPr>
                <w:bCs/>
                <w:sz w:val="18"/>
                <w:szCs w:val="18"/>
              </w:rPr>
              <w:t>United Nations regions</w:t>
            </w:r>
            <w:r w:rsidR="00565D20">
              <w:rPr>
                <w:bCs/>
                <w:sz w:val="18"/>
                <w:szCs w:val="18"/>
              </w:rPr>
              <w:t xml:space="preserve"> and</w:t>
            </w:r>
            <w:r w:rsidR="0008504A" w:rsidRPr="002D379C">
              <w:rPr>
                <w:bCs/>
                <w:sz w:val="18"/>
                <w:szCs w:val="18"/>
              </w:rPr>
              <w:t xml:space="preserve"> donor and recipient countries. The members can be appointe</w:t>
            </w:r>
            <w:r w:rsidR="00A5125F" w:rsidRPr="00F62473">
              <w:rPr>
                <w:bCs/>
                <w:sz w:val="18"/>
                <w:szCs w:val="18"/>
              </w:rPr>
              <w:t>d by the Conference of</w:t>
            </w:r>
            <w:r w:rsidR="00565D20">
              <w:rPr>
                <w:bCs/>
                <w:sz w:val="18"/>
                <w:szCs w:val="18"/>
              </w:rPr>
              <w:t xml:space="preserve"> the</w:t>
            </w:r>
            <w:r w:rsidR="00A5125F" w:rsidRPr="00F62473">
              <w:rPr>
                <w:bCs/>
                <w:sz w:val="18"/>
                <w:szCs w:val="18"/>
              </w:rPr>
              <w:t xml:space="preserve"> Parties or through the </w:t>
            </w:r>
            <w:r w:rsidR="00565D20" w:rsidRPr="002C75C0">
              <w:rPr>
                <w:bCs/>
                <w:sz w:val="18"/>
                <w:szCs w:val="18"/>
              </w:rPr>
              <w:t>Bureau</w:t>
            </w:r>
            <w:r w:rsidR="00A5125F" w:rsidRPr="00F62473">
              <w:rPr>
                <w:bCs/>
                <w:sz w:val="18"/>
                <w:szCs w:val="18"/>
              </w:rPr>
              <w:t>.</w:t>
            </w:r>
          </w:p>
          <w:p w14:paraId="4D8B4A3E" w14:textId="3096803F" w:rsidR="0008504A" w:rsidRPr="00F62473" w:rsidRDefault="0008504A">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rPr>
            </w:pPr>
            <w:r w:rsidRPr="00F62473">
              <w:rPr>
                <w:bCs/>
                <w:sz w:val="18"/>
                <w:szCs w:val="18"/>
              </w:rPr>
              <w:t xml:space="preserve">According to the draft decision </w:t>
            </w:r>
            <w:r w:rsidR="0016132B" w:rsidRPr="0016132B">
              <w:rPr>
                <w:bCs/>
                <w:sz w:val="18"/>
                <w:szCs w:val="18"/>
              </w:rPr>
              <w:t xml:space="preserve">on the specific international programme </w:t>
            </w:r>
            <w:r w:rsidR="00920B74">
              <w:rPr>
                <w:bCs/>
                <w:sz w:val="18"/>
                <w:szCs w:val="18"/>
              </w:rPr>
              <w:t>approved</w:t>
            </w:r>
            <w:r w:rsidR="00920B74" w:rsidRPr="00F62473">
              <w:rPr>
                <w:bCs/>
                <w:sz w:val="18"/>
                <w:szCs w:val="18"/>
              </w:rPr>
              <w:t xml:space="preserve"> </w:t>
            </w:r>
            <w:r w:rsidR="00920B74">
              <w:rPr>
                <w:bCs/>
                <w:sz w:val="18"/>
                <w:szCs w:val="18"/>
              </w:rPr>
              <w:t>by</w:t>
            </w:r>
            <w:r w:rsidR="00DA1630" w:rsidRPr="00F62473">
              <w:rPr>
                <w:bCs/>
                <w:sz w:val="18"/>
                <w:szCs w:val="18"/>
              </w:rPr>
              <w:t xml:space="preserve"> </w:t>
            </w:r>
            <w:r w:rsidRPr="00F62473">
              <w:rPr>
                <w:bCs/>
                <w:sz w:val="18"/>
                <w:szCs w:val="18"/>
              </w:rPr>
              <w:t>the seventh session of the intergovernmental negotiating committee</w:t>
            </w:r>
            <w:r w:rsidR="00AF6C11">
              <w:rPr>
                <w:bCs/>
                <w:sz w:val="18"/>
                <w:szCs w:val="18"/>
              </w:rPr>
              <w:t xml:space="preserve"> </w:t>
            </w:r>
            <w:r w:rsidR="00920B74">
              <w:rPr>
                <w:bCs/>
                <w:sz w:val="18"/>
                <w:szCs w:val="18"/>
              </w:rPr>
              <w:t xml:space="preserve">for consideration and adoption by the Conference of the Parties at its first meeting </w:t>
            </w:r>
            <w:r w:rsidR="00AF6C11">
              <w:rPr>
                <w:bCs/>
                <w:sz w:val="18"/>
                <w:szCs w:val="18"/>
              </w:rPr>
              <w:t xml:space="preserve">(see </w:t>
            </w:r>
            <w:r w:rsidR="00AF6C11" w:rsidRPr="00AF6C11">
              <w:rPr>
                <w:bCs/>
                <w:sz w:val="18"/>
                <w:szCs w:val="18"/>
              </w:rPr>
              <w:t>UNEP (DTIE)/Hg/INC.7.22/Rev.1</w:t>
            </w:r>
            <w:r w:rsidR="00AF6C11">
              <w:rPr>
                <w:bCs/>
                <w:sz w:val="18"/>
                <w:szCs w:val="18"/>
              </w:rPr>
              <w:t>, annex VI)</w:t>
            </w:r>
            <w:r w:rsidRPr="00F62473">
              <w:rPr>
                <w:bCs/>
                <w:sz w:val="18"/>
                <w:szCs w:val="18"/>
              </w:rPr>
              <w:t xml:space="preserve">, </w:t>
            </w:r>
            <w:r w:rsidR="006432E0" w:rsidRPr="00F62473">
              <w:rPr>
                <w:bCs/>
                <w:sz w:val="18"/>
                <w:szCs w:val="18"/>
              </w:rPr>
              <w:t xml:space="preserve">the governance arrangements </w:t>
            </w:r>
            <w:r w:rsidRPr="00F62473">
              <w:rPr>
                <w:bCs/>
                <w:sz w:val="18"/>
                <w:szCs w:val="18"/>
              </w:rPr>
              <w:t xml:space="preserve">for the programme </w:t>
            </w:r>
            <w:r w:rsidR="006432E0" w:rsidRPr="00F62473">
              <w:rPr>
                <w:bCs/>
                <w:sz w:val="18"/>
                <w:szCs w:val="18"/>
              </w:rPr>
              <w:t xml:space="preserve">are as follows: “The </w:t>
            </w:r>
            <w:r w:rsidRPr="00F62473">
              <w:rPr>
                <w:bCs/>
                <w:sz w:val="18"/>
                <w:szCs w:val="18"/>
              </w:rPr>
              <w:t>Conference of the Parties will establish [an executive board] [a specific international programme committee], which will oversee and implement its guidance, including decision-making on projects and project management</w:t>
            </w:r>
            <w:r w:rsidR="00F20541">
              <w:rPr>
                <w:bCs/>
                <w:sz w:val="18"/>
                <w:szCs w:val="18"/>
              </w:rPr>
              <w:t>.</w:t>
            </w:r>
            <w:r w:rsidRPr="00F62473">
              <w:rPr>
                <w:bCs/>
                <w:sz w:val="18"/>
                <w:szCs w:val="18"/>
              </w:rPr>
              <w:t xml:space="preserve">” In both the </w:t>
            </w:r>
            <w:r w:rsidR="009E3138">
              <w:rPr>
                <w:sz w:val="18"/>
                <w:szCs w:val="18"/>
              </w:rPr>
              <w:t>S</w:t>
            </w:r>
            <w:r w:rsidR="005F3A64" w:rsidRPr="002E371D">
              <w:rPr>
                <w:sz w:val="18"/>
                <w:szCs w:val="18"/>
              </w:rPr>
              <w:t xml:space="preserve">pecial </w:t>
            </w:r>
            <w:r w:rsidR="009E3138">
              <w:rPr>
                <w:sz w:val="18"/>
                <w:szCs w:val="18"/>
              </w:rPr>
              <w:t>P</w:t>
            </w:r>
            <w:r w:rsidR="005F3A64" w:rsidRPr="002E371D">
              <w:rPr>
                <w:sz w:val="18"/>
                <w:szCs w:val="18"/>
              </w:rPr>
              <w:t xml:space="preserve">rogramme </w:t>
            </w:r>
            <w:r w:rsidR="00893431">
              <w:rPr>
                <w:sz w:val="18"/>
                <w:szCs w:val="18"/>
              </w:rPr>
              <w:t>to support</w:t>
            </w:r>
            <w:r w:rsidR="00893431" w:rsidRPr="002E371D">
              <w:rPr>
                <w:sz w:val="18"/>
                <w:szCs w:val="18"/>
              </w:rPr>
              <w:t xml:space="preserve"> </w:t>
            </w:r>
            <w:r w:rsidR="005F3A64" w:rsidRPr="002E371D">
              <w:rPr>
                <w:sz w:val="18"/>
                <w:szCs w:val="18"/>
              </w:rPr>
              <w:t xml:space="preserve">institutional strengthening at the national level </w:t>
            </w:r>
            <w:r w:rsidRPr="002D379C">
              <w:rPr>
                <w:bCs/>
                <w:sz w:val="18"/>
                <w:szCs w:val="18"/>
              </w:rPr>
              <w:t>and the Quick Start Programme</w:t>
            </w:r>
            <w:r w:rsidR="00CB0607">
              <w:rPr>
                <w:bCs/>
                <w:sz w:val="18"/>
                <w:szCs w:val="18"/>
              </w:rPr>
              <w:t>,</w:t>
            </w:r>
            <w:r w:rsidRPr="002D379C">
              <w:rPr>
                <w:bCs/>
                <w:sz w:val="18"/>
                <w:szCs w:val="18"/>
              </w:rPr>
              <w:t xml:space="preserve"> the governing body is </w:t>
            </w:r>
            <w:r w:rsidR="00781C6B">
              <w:rPr>
                <w:bCs/>
                <w:sz w:val="18"/>
                <w:szCs w:val="18"/>
              </w:rPr>
              <w:t>an</w:t>
            </w:r>
            <w:r w:rsidR="00DB2061" w:rsidRPr="002D379C">
              <w:rPr>
                <w:bCs/>
                <w:sz w:val="18"/>
                <w:szCs w:val="18"/>
              </w:rPr>
              <w:t xml:space="preserve"> </w:t>
            </w:r>
            <w:r w:rsidR="00781C6B">
              <w:rPr>
                <w:bCs/>
                <w:sz w:val="18"/>
                <w:szCs w:val="18"/>
              </w:rPr>
              <w:t>e</w:t>
            </w:r>
            <w:r w:rsidRPr="002D379C">
              <w:rPr>
                <w:bCs/>
                <w:sz w:val="18"/>
                <w:szCs w:val="18"/>
              </w:rPr>
              <w:t xml:space="preserve">xecutive </w:t>
            </w:r>
            <w:r w:rsidR="00781C6B">
              <w:rPr>
                <w:bCs/>
                <w:sz w:val="18"/>
                <w:szCs w:val="18"/>
              </w:rPr>
              <w:t>b</w:t>
            </w:r>
            <w:r w:rsidRPr="002D379C">
              <w:rPr>
                <w:bCs/>
                <w:sz w:val="18"/>
                <w:szCs w:val="18"/>
              </w:rPr>
              <w:t>oard</w:t>
            </w:r>
            <w:r w:rsidR="00F85B53">
              <w:rPr>
                <w:bCs/>
                <w:sz w:val="18"/>
                <w:szCs w:val="18"/>
              </w:rPr>
              <w:t xml:space="preserve">. The </w:t>
            </w:r>
            <w:r w:rsidR="00BC13D0">
              <w:rPr>
                <w:bCs/>
                <w:sz w:val="18"/>
                <w:szCs w:val="18"/>
              </w:rPr>
              <w:t>E</w:t>
            </w:r>
            <w:r w:rsidR="00F85B53">
              <w:rPr>
                <w:bCs/>
                <w:sz w:val="18"/>
                <w:szCs w:val="18"/>
              </w:rPr>
              <w:t xml:space="preserve">xecutive </w:t>
            </w:r>
            <w:r w:rsidR="00BC13D0">
              <w:rPr>
                <w:bCs/>
                <w:sz w:val="18"/>
                <w:szCs w:val="18"/>
              </w:rPr>
              <w:t>B</w:t>
            </w:r>
            <w:r w:rsidR="00F85B53">
              <w:rPr>
                <w:bCs/>
                <w:sz w:val="18"/>
                <w:szCs w:val="18"/>
              </w:rPr>
              <w:t xml:space="preserve">oard of the </w:t>
            </w:r>
            <w:r w:rsidR="009E3138">
              <w:rPr>
                <w:bCs/>
                <w:sz w:val="18"/>
                <w:szCs w:val="18"/>
              </w:rPr>
              <w:t>S</w:t>
            </w:r>
            <w:r w:rsidR="00F85B53">
              <w:rPr>
                <w:bCs/>
                <w:sz w:val="18"/>
                <w:szCs w:val="18"/>
              </w:rPr>
              <w:t xml:space="preserve">pecial </w:t>
            </w:r>
            <w:r w:rsidR="009E3138">
              <w:rPr>
                <w:bCs/>
                <w:sz w:val="18"/>
                <w:szCs w:val="18"/>
              </w:rPr>
              <w:t>P</w:t>
            </w:r>
            <w:r w:rsidR="00F85B53">
              <w:rPr>
                <w:bCs/>
                <w:sz w:val="18"/>
                <w:szCs w:val="18"/>
              </w:rPr>
              <w:t xml:space="preserve">rogramme is invited to </w:t>
            </w:r>
            <w:r w:rsidR="00CB0607">
              <w:rPr>
                <w:bCs/>
                <w:sz w:val="18"/>
                <w:szCs w:val="18"/>
              </w:rPr>
              <w:t>report to</w:t>
            </w:r>
            <w:r w:rsidRPr="00F62473">
              <w:rPr>
                <w:bCs/>
                <w:sz w:val="18"/>
                <w:szCs w:val="18"/>
              </w:rPr>
              <w:t xml:space="preserve"> the United Nations Environment Assembly</w:t>
            </w:r>
            <w:r w:rsidR="00CB0607">
              <w:rPr>
                <w:bCs/>
                <w:sz w:val="18"/>
                <w:szCs w:val="18"/>
              </w:rPr>
              <w:t xml:space="preserve"> and</w:t>
            </w:r>
            <w:r w:rsidRPr="00F62473">
              <w:rPr>
                <w:bCs/>
                <w:sz w:val="18"/>
                <w:szCs w:val="18"/>
              </w:rPr>
              <w:t xml:space="preserve"> the </w:t>
            </w:r>
            <w:r w:rsidR="00F85B53">
              <w:rPr>
                <w:bCs/>
                <w:sz w:val="18"/>
                <w:szCs w:val="18"/>
              </w:rPr>
              <w:t xml:space="preserve">executive board of the Quick Start Programme reports to the </w:t>
            </w:r>
            <w:r w:rsidRPr="00F62473">
              <w:rPr>
                <w:bCs/>
                <w:sz w:val="18"/>
                <w:szCs w:val="18"/>
              </w:rPr>
              <w:t xml:space="preserve">International Conference on Chemicals Management. </w:t>
            </w:r>
          </w:p>
          <w:p w14:paraId="5876A477" w14:textId="77777777" w:rsidR="007128B0" w:rsidRDefault="007128B0" w:rsidP="00794EE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rPr>
            </w:pPr>
            <w:r w:rsidRPr="002E371D">
              <w:rPr>
                <w:bCs/>
                <w:sz w:val="18"/>
                <w:szCs w:val="18"/>
              </w:rPr>
              <w:lastRenderedPageBreak/>
              <w:t xml:space="preserve">The Conference of the Parties </w:t>
            </w:r>
            <w:r w:rsidR="00794EE2" w:rsidRPr="002E371D">
              <w:rPr>
                <w:bCs/>
                <w:sz w:val="18"/>
                <w:szCs w:val="18"/>
              </w:rPr>
              <w:t xml:space="preserve">may wish to request the governing body </w:t>
            </w:r>
            <w:r w:rsidR="00897976" w:rsidRPr="002E371D">
              <w:rPr>
                <w:bCs/>
                <w:sz w:val="18"/>
                <w:szCs w:val="18"/>
              </w:rPr>
              <w:t xml:space="preserve">of the specific international programme </w:t>
            </w:r>
            <w:r w:rsidR="00794EE2" w:rsidRPr="002E371D">
              <w:rPr>
                <w:bCs/>
                <w:sz w:val="18"/>
                <w:szCs w:val="18"/>
              </w:rPr>
              <w:t xml:space="preserve">to develop its own rules of procedure. </w:t>
            </w:r>
            <w:r w:rsidR="00A5125F" w:rsidRPr="002E371D">
              <w:rPr>
                <w:bCs/>
                <w:sz w:val="18"/>
                <w:szCs w:val="18"/>
              </w:rPr>
              <w:t xml:space="preserve"> </w:t>
            </w:r>
          </w:p>
          <w:p w14:paraId="4DB1217E" w14:textId="017EE064" w:rsidR="003F0566" w:rsidRPr="002E371D" w:rsidRDefault="00B63100" w:rsidP="009E3138">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highlight w:val="yellow"/>
              </w:rPr>
            </w:pPr>
            <w:r w:rsidRPr="00B63100">
              <w:rPr>
                <w:bCs/>
                <w:sz w:val="18"/>
                <w:szCs w:val="18"/>
              </w:rPr>
              <w:t>In addition to the two options presented above</w:t>
            </w:r>
            <w:r w:rsidR="007B6039">
              <w:rPr>
                <w:bCs/>
                <w:sz w:val="18"/>
                <w:szCs w:val="18"/>
              </w:rPr>
              <w:t>,</w:t>
            </w:r>
            <w:r w:rsidRPr="00B63100">
              <w:rPr>
                <w:bCs/>
                <w:sz w:val="18"/>
                <w:szCs w:val="18"/>
              </w:rPr>
              <w:t xml:space="preserve"> another model to consider </w:t>
            </w:r>
            <w:r w:rsidR="0001242D">
              <w:rPr>
                <w:bCs/>
                <w:sz w:val="18"/>
                <w:szCs w:val="18"/>
              </w:rPr>
              <w:t xml:space="preserve">that does not include a separate governing body </w:t>
            </w:r>
            <w:r w:rsidRPr="00B63100">
              <w:rPr>
                <w:bCs/>
                <w:sz w:val="18"/>
                <w:szCs w:val="18"/>
              </w:rPr>
              <w:t xml:space="preserve">is </w:t>
            </w:r>
            <w:r w:rsidR="007B6039">
              <w:rPr>
                <w:bCs/>
                <w:sz w:val="18"/>
                <w:szCs w:val="18"/>
              </w:rPr>
              <w:t xml:space="preserve">the administration of the </w:t>
            </w:r>
            <w:r w:rsidR="00410B43">
              <w:rPr>
                <w:bCs/>
                <w:sz w:val="18"/>
                <w:szCs w:val="18"/>
              </w:rPr>
              <w:t>Trust Fund to Assist Developing and Other Countries in Need of Techn</w:t>
            </w:r>
            <w:r w:rsidR="00BC13D0">
              <w:rPr>
                <w:bCs/>
                <w:sz w:val="18"/>
                <w:szCs w:val="18"/>
              </w:rPr>
              <w:t>i</w:t>
            </w:r>
            <w:r w:rsidR="00410B43">
              <w:rPr>
                <w:bCs/>
                <w:sz w:val="18"/>
                <w:szCs w:val="18"/>
              </w:rPr>
              <w:t xml:space="preserve">cal </w:t>
            </w:r>
            <w:r w:rsidR="00BC13D0">
              <w:rPr>
                <w:bCs/>
                <w:sz w:val="18"/>
                <w:szCs w:val="18"/>
              </w:rPr>
              <w:t>Assistance</w:t>
            </w:r>
            <w:r w:rsidR="00410B43">
              <w:rPr>
                <w:bCs/>
                <w:sz w:val="18"/>
                <w:szCs w:val="18"/>
              </w:rPr>
              <w:t xml:space="preserve"> in the Implementation </w:t>
            </w:r>
            <w:r w:rsidR="0001242D">
              <w:rPr>
                <w:bCs/>
                <w:sz w:val="18"/>
                <w:szCs w:val="18"/>
              </w:rPr>
              <w:t>that was set up originally under</w:t>
            </w:r>
            <w:r w:rsidR="00410B43">
              <w:rPr>
                <w:bCs/>
                <w:sz w:val="18"/>
                <w:szCs w:val="18"/>
              </w:rPr>
              <w:t xml:space="preserve"> the Basel Convention</w:t>
            </w:r>
            <w:r>
              <w:rPr>
                <w:bCs/>
                <w:sz w:val="18"/>
                <w:szCs w:val="18"/>
              </w:rPr>
              <w:t xml:space="preserve">. </w:t>
            </w:r>
            <w:r w:rsidRPr="00B63100">
              <w:rPr>
                <w:bCs/>
                <w:sz w:val="18"/>
                <w:szCs w:val="18"/>
              </w:rPr>
              <w:t xml:space="preserve">Should the </w:t>
            </w:r>
            <w:r w:rsidR="00410B43">
              <w:rPr>
                <w:bCs/>
                <w:sz w:val="18"/>
                <w:szCs w:val="18"/>
              </w:rPr>
              <w:t xml:space="preserve">Conference of the Parties to the </w:t>
            </w:r>
            <w:r w:rsidRPr="00B63100">
              <w:rPr>
                <w:bCs/>
                <w:sz w:val="18"/>
                <w:szCs w:val="18"/>
              </w:rPr>
              <w:t>Minamata Convention wish to consider adapt</w:t>
            </w:r>
            <w:r w:rsidR="00410B43">
              <w:rPr>
                <w:bCs/>
                <w:sz w:val="18"/>
                <w:szCs w:val="18"/>
              </w:rPr>
              <w:t>ing</w:t>
            </w:r>
            <w:r w:rsidRPr="00B63100">
              <w:rPr>
                <w:bCs/>
                <w:sz w:val="18"/>
                <w:szCs w:val="18"/>
              </w:rPr>
              <w:t xml:space="preserve"> this model</w:t>
            </w:r>
            <w:r w:rsidR="00410B43">
              <w:rPr>
                <w:bCs/>
                <w:sz w:val="18"/>
                <w:szCs w:val="18"/>
              </w:rPr>
              <w:t xml:space="preserve"> for use in connection with the specific international programme</w:t>
            </w:r>
            <w:r w:rsidRPr="00B63100">
              <w:rPr>
                <w:bCs/>
                <w:sz w:val="18"/>
                <w:szCs w:val="18"/>
              </w:rPr>
              <w:t xml:space="preserve">, it would </w:t>
            </w:r>
            <w:r w:rsidR="00410B43">
              <w:rPr>
                <w:bCs/>
                <w:sz w:val="18"/>
                <w:szCs w:val="18"/>
              </w:rPr>
              <w:t>make</w:t>
            </w:r>
            <w:r w:rsidRPr="00B63100">
              <w:rPr>
                <w:bCs/>
                <w:sz w:val="18"/>
                <w:szCs w:val="18"/>
              </w:rPr>
              <w:t xml:space="preserve"> the specific international programme an integral part of the Convention </w:t>
            </w:r>
            <w:r w:rsidR="00410B43">
              <w:rPr>
                <w:bCs/>
                <w:sz w:val="18"/>
                <w:szCs w:val="18"/>
              </w:rPr>
              <w:t>s</w:t>
            </w:r>
            <w:r w:rsidRPr="00B63100">
              <w:rPr>
                <w:bCs/>
                <w:sz w:val="18"/>
                <w:szCs w:val="18"/>
              </w:rPr>
              <w:t>ecretariat fall</w:t>
            </w:r>
            <w:r w:rsidR="00410B43">
              <w:rPr>
                <w:bCs/>
                <w:sz w:val="18"/>
                <w:szCs w:val="18"/>
              </w:rPr>
              <w:t>ing</w:t>
            </w:r>
            <w:r w:rsidRPr="00B63100">
              <w:rPr>
                <w:bCs/>
                <w:sz w:val="18"/>
                <w:szCs w:val="18"/>
              </w:rPr>
              <w:t xml:space="preserve"> directly under the oversight of the Conference of the Parties.</w:t>
            </w:r>
          </w:p>
        </w:tc>
      </w:tr>
      <w:tr w:rsidR="00B44408" w:rsidRPr="002E371D" w14:paraId="15846D60" w14:textId="77777777" w:rsidTr="006F65A4">
        <w:trPr>
          <w:trHeight w:val="6824"/>
        </w:trPr>
        <w:tc>
          <w:tcPr>
            <w:tcW w:w="8526" w:type="dxa"/>
            <w:shd w:val="clear" w:color="auto" w:fill="auto"/>
          </w:tcPr>
          <w:p w14:paraId="58A6E3F7" w14:textId="1DE7CD4A" w:rsidR="00B44408" w:rsidRPr="002E371D" w:rsidRDefault="007A24FE" w:rsidP="00B83DA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jc w:val="center"/>
              <w:rPr>
                <w:bCs/>
                <w:sz w:val="18"/>
                <w:szCs w:val="18"/>
              </w:rPr>
            </w:pPr>
            <w:r w:rsidRPr="0029126E">
              <w:rPr>
                <w:noProof/>
                <w:sz w:val="18"/>
                <w:szCs w:val="18"/>
                <w:lang w:val="en-US" w:eastAsia="en-US"/>
              </w:rPr>
              <w:lastRenderedPageBreak/>
              <w:drawing>
                <wp:inline distT="0" distB="0" distL="0" distR="0" wp14:anchorId="3B4FB70A" wp14:editId="27D2F88C">
                  <wp:extent cx="5266944" cy="4155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216" cy="4165503"/>
                          </a:xfrm>
                          <a:prstGeom prst="rect">
                            <a:avLst/>
                          </a:prstGeom>
                          <a:noFill/>
                          <a:ln>
                            <a:noFill/>
                          </a:ln>
                        </pic:spPr>
                      </pic:pic>
                    </a:graphicData>
                  </a:graphic>
                </wp:inline>
              </w:drawing>
            </w:r>
          </w:p>
        </w:tc>
      </w:tr>
      <w:tr w:rsidR="00A577E3" w:rsidRPr="002E371D" w14:paraId="5B0F9529" w14:textId="77777777" w:rsidTr="006F65A4">
        <w:trPr>
          <w:trHeight w:val="2685"/>
        </w:trPr>
        <w:tc>
          <w:tcPr>
            <w:tcW w:w="8526" w:type="dxa"/>
            <w:shd w:val="clear" w:color="auto" w:fill="D9D9D9" w:themeFill="background1" w:themeFillShade="D9"/>
          </w:tcPr>
          <w:p w14:paraId="3634B55D" w14:textId="5D27E4D3" w:rsidR="00B83DA9" w:rsidRPr="002E371D" w:rsidRDefault="00A577E3" w:rsidP="00BD69F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b/>
                <w:bCs/>
                <w:sz w:val="18"/>
                <w:szCs w:val="18"/>
              </w:rPr>
            </w:pPr>
            <w:r w:rsidRPr="002E371D">
              <w:rPr>
                <w:bCs/>
                <w:sz w:val="18"/>
                <w:szCs w:val="18"/>
              </w:rPr>
              <w:t xml:space="preserve"> </w:t>
            </w:r>
            <w:r w:rsidR="00B44408" w:rsidRPr="002E371D">
              <w:rPr>
                <w:b/>
                <w:bCs/>
                <w:sz w:val="18"/>
                <w:szCs w:val="18"/>
              </w:rPr>
              <w:t>3</w:t>
            </w:r>
            <w:r w:rsidR="00B83DA9" w:rsidRPr="002E371D">
              <w:rPr>
                <w:b/>
                <w:bCs/>
                <w:sz w:val="18"/>
                <w:szCs w:val="18"/>
              </w:rPr>
              <w:t xml:space="preserve">. Technical </w:t>
            </w:r>
            <w:r w:rsidR="00DB2061">
              <w:rPr>
                <w:b/>
                <w:bCs/>
                <w:sz w:val="18"/>
                <w:szCs w:val="18"/>
              </w:rPr>
              <w:t>r</w:t>
            </w:r>
            <w:r w:rsidR="00B83DA9" w:rsidRPr="002E371D">
              <w:rPr>
                <w:b/>
                <w:bCs/>
                <w:sz w:val="18"/>
                <w:szCs w:val="18"/>
              </w:rPr>
              <w:t>eview</w:t>
            </w:r>
          </w:p>
          <w:p w14:paraId="1F1E7B57" w14:textId="2279F566" w:rsidR="00B83DA9" w:rsidRPr="002E371D" w:rsidRDefault="00B83DA9"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eastAsia="en-US"/>
              </w:rPr>
            </w:pPr>
            <w:r w:rsidRPr="002E371D">
              <w:rPr>
                <w:bCs/>
                <w:sz w:val="18"/>
                <w:szCs w:val="18"/>
              </w:rPr>
              <w:t xml:space="preserve">The </w:t>
            </w:r>
            <w:r w:rsidR="006042E7" w:rsidRPr="002E371D">
              <w:rPr>
                <w:bCs/>
                <w:sz w:val="18"/>
                <w:szCs w:val="18"/>
              </w:rPr>
              <w:t xml:space="preserve">purpose of the </w:t>
            </w:r>
            <w:r w:rsidRPr="002E371D">
              <w:rPr>
                <w:bCs/>
                <w:sz w:val="18"/>
                <w:szCs w:val="18"/>
              </w:rPr>
              <w:t xml:space="preserve">specific international programme is to support capacity-building and technical assistance to assist developing </w:t>
            </w:r>
            <w:r w:rsidR="006042E7" w:rsidRPr="002E371D">
              <w:rPr>
                <w:bCs/>
                <w:sz w:val="18"/>
                <w:szCs w:val="18"/>
              </w:rPr>
              <w:t xml:space="preserve">country Parties, in particular </w:t>
            </w:r>
            <w:r w:rsidR="00DE265F">
              <w:rPr>
                <w:bCs/>
                <w:sz w:val="18"/>
                <w:szCs w:val="18"/>
              </w:rPr>
              <w:t>those</w:t>
            </w:r>
            <w:r w:rsidR="00DE265F" w:rsidRPr="002E371D">
              <w:rPr>
                <w:bCs/>
                <w:sz w:val="18"/>
                <w:szCs w:val="18"/>
              </w:rPr>
              <w:t xml:space="preserve"> </w:t>
            </w:r>
            <w:r w:rsidRPr="002E371D">
              <w:rPr>
                <w:bCs/>
                <w:sz w:val="18"/>
                <w:szCs w:val="18"/>
              </w:rPr>
              <w:t xml:space="preserve">that are least developed countries or small island developing States, and Parties with economies in transition in implementing their obligations under the Convention. </w:t>
            </w:r>
          </w:p>
          <w:p w14:paraId="7C5D322F" w14:textId="072FA8AB" w:rsidR="00134BAE" w:rsidRPr="002E371D" w:rsidRDefault="00B83DA9"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eastAsia="en-US"/>
              </w:rPr>
            </w:pPr>
            <w:r w:rsidRPr="002E371D">
              <w:rPr>
                <w:bCs/>
                <w:sz w:val="18"/>
                <w:szCs w:val="18"/>
              </w:rPr>
              <w:t xml:space="preserve">While the secretariat of the programme will arrange and manage calls for applications and the application process, </w:t>
            </w:r>
            <w:r w:rsidR="00B63100">
              <w:rPr>
                <w:bCs/>
                <w:sz w:val="18"/>
                <w:szCs w:val="18"/>
              </w:rPr>
              <w:t>there are three possible models indicated here</w:t>
            </w:r>
            <w:r w:rsidRPr="002E371D">
              <w:rPr>
                <w:bCs/>
                <w:sz w:val="18"/>
                <w:szCs w:val="18"/>
              </w:rPr>
              <w:t xml:space="preserve"> for consideration in terms of how the technical review of the applications will be arranged and where the review </w:t>
            </w:r>
            <w:r w:rsidR="00ED3E70">
              <w:rPr>
                <w:bCs/>
                <w:sz w:val="18"/>
                <w:szCs w:val="18"/>
              </w:rPr>
              <w:t xml:space="preserve">function </w:t>
            </w:r>
            <w:r w:rsidRPr="002E371D">
              <w:rPr>
                <w:bCs/>
                <w:sz w:val="18"/>
                <w:szCs w:val="18"/>
              </w:rPr>
              <w:t xml:space="preserve">will be located. </w:t>
            </w:r>
          </w:p>
          <w:p w14:paraId="25AC38E6" w14:textId="7590DA7E" w:rsidR="00B83DA9" w:rsidRPr="002E371D" w:rsidRDefault="0000173C"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eastAsia="en-US"/>
              </w:rPr>
            </w:pPr>
            <w:r>
              <w:rPr>
                <w:bCs/>
                <w:sz w:val="18"/>
                <w:szCs w:val="18"/>
              </w:rPr>
              <w:t>For the two models with distinct governing bodies, t</w:t>
            </w:r>
            <w:r w:rsidR="00B83DA9" w:rsidRPr="002E371D">
              <w:rPr>
                <w:bCs/>
                <w:sz w:val="18"/>
                <w:szCs w:val="18"/>
              </w:rPr>
              <w:t xml:space="preserve">he location </w:t>
            </w:r>
            <w:r w:rsidR="00134BAE" w:rsidRPr="002E371D">
              <w:rPr>
                <w:bCs/>
                <w:sz w:val="18"/>
                <w:szCs w:val="18"/>
              </w:rPr>
              <w:t xml:space="preserve">of the review </w:t>
            </w:r>
            <w:r w:rsidR="00ED3E70">
              <w:rPr>
                <w:bCs/>
                <w:sz w:val="18"/>
                <w:szCs w:val="18"/>
              </w:rPr>
              <w:t xml:space="preserve">function </w:t>
            </w:r>
            <w:r w:rsidR="00B83DA9" w:rsidRPr="002E371D">
              <w:rPr>
                <w:bCs/>
                <w:sz w:val="18"/>
                <w:szCs w:val="18"/>
              </w:rPr>
              <w:t xml:space="preserve">in the </w:t>
            </w:r>
            <w:r w:rsidR="001B6224">
              <w:rPr>
                <w:bCs/>
                <w:sz w:val="18"/>
                <w:szCs w:val="18"/>
              </w:rPr>
              <w:t xml:space="preserve">flow of </w:t>
            </w:r>
            <w:r w:rsidR="00B83DA9" w:rsidRPr="002E371D">
              <w:rPr>
                <w:bCs/>
                <w:sz w:val="18"/>
                <w:szCs w:val="18"/>
              </w:rPr>
              <w:t>work and deci</w:t>
            </w:r>
            <w:r w:rsidR="00134BAE" w:rsidRPr="002E371D">
              <w:rPr>
                <w:bCs/>
                <w:sz w:val="18"/>
                <w:szCs w:val="18"/>
              </w:rPr>
              <w:t>sion</w:t>
            </w:r>
            <w:r w:rsidR="001B6224">
              <w:rPr>
                <w:bCs/>
                <w:sz w:val="18"/>
                <w:szCs w:val="18"/>
              </w:rPr>
              <w:t>s</w:t>
            </w:r>
            <w:r w:rsidR="00134BAE" w:rsidRPr="002E371D">
              <w:rPr>
                <w:bCs/>
                <w:sz w:val="18"/>
                <w:szCs w:val="18"/>
              </w:rPr>
              <w:t xml:space="preserve"> from application review to project appraisal to project approval </w:t>
            </w:r>
            <w:r w:rsidR="00B83DA9" w:rsidRPr="002E371D">
              <w:rPr>
                <w:bCs/>
                <w:sz w:val="18"/>
                <w:szCs w:val="18"/>
              </w:rPr>
              <w:t xml:space="preserve">is </w:t>
            </w:r>
            <w:r w:rsidR="00134BAE" w:rsidRPr="002E371D">
              <w:rPr>
                <w:bCs/>
                <w:sz w:val="18"/>
                <w:szCs w:val="18"/>
              </w:rPr>
              <w:t>independent</w:t>
            </w:r>
            <w:r w:rsidR="00B83DA9" w:rsidRPr="002E371D">
              <w:rPr>
                <w:bCs/>
                <w:sz w:val="18"/>
                <w:szCs w:val="18"/>
              </w:rPr>
              <w:t xml:space="preserve"> of </w:t>
            </w:r>
            <w:r w:rsidR="00DB2061">
              <w:rPr>
                <w:bCs/>
                <w:sz w:val="18"/>
                <w:szCs w:val="18"/>
              </w:rPr>
              <w:t>the location of</w:t>
            </w:r>
            <w:r w:rsidR="00B83DA9" w:rsidRPr="002E371D">
              <w:rPr>
                <w:bCs/>
                <w:sz w:val="18"/>
                <w:szCs w:val="18"/>
              </w:rPr>
              <w:t xml:space="preserve"> the secretariat of the programme. </w:t>
            </w:r>
            <w:r>
              <w:rPr>
                <w:bCs/>
                <w:sz w:val="18"/>
                <w:szCs w:val="18"/>
              </w:rPr>
              <w:t xml:space="preserve">In the third model, the one without a distinct governing body, the programme secretariat and the technical review function should be housed in the Minamata Convention secretariat. </w:t>
            </w:r>
          </w:p>
        </w:tc>
      </w:tr>
      <w:tr w:rsidR="00B83DA9" w:rsidRPr="002E371D" w14:paraId="3993492F" w14:textId="77777777" w:rsidTr="006F65A4">
        <w:tc>
          <w:tcPr>
            <w:tcW w:w="8526" w:type="dxa"/>
            <w:shd w:val="clear" w:color="auto" w:fill="auto"/>
          </w:tcPr>
          <w:p w14:paraId="08F0C309" w14:textId="61CB2D00" w:rsidR="000D2429" w:rsidRPr="002E371D" w:rsidRDefault="00B83DA9"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rPr>
            </w:pPr>
            <w:r w:rsidRPr="002E371D">
              <w:rPr>
                <w:b/>
                <w:bCs/>
                <w:sz w:val="18"/>
                <w:szCs w:val="18"/>
              </w:rPr>
              <w:t xml:space="preserve">Informal </w:t>
            </w:r>
            <w:r w:rsidR="00DB2061">
              <w:rPr>
                <w:b/>
                <w:bCs/>
                <w:sz w:val="18"/>
                <w:szCs w:val="18"/>
              </w:rPr>
              <w:t>t</w:t>
            </w:r>
            <w:r w:rsidRPr="002E371D">
              <w:rPr>
                <w:b/>
                <w:bCs/>
                <w:sz w:val="18"/>
                <w:szCs w:val="18"/>
              </w:rPr>
              <w:t xml:space="preserve">echnical </w:t>
            </w:r>
            <w:r w:rsidR="00DB2061">
              <w:rPr>
                <w:b/>
                <w:bCs/>
                <w:sz w:val="18"/>
                <w:szCs w:val="18"/>
              </w:rPr>
              <w:t>r</w:t>
            </w:r>
            <w:r w:rsidRPr="002E371D">
              <w:rPr>
                <w:b/>
                <w:bCs/>
                <w:sz w:val="18"/>
                <w:szCs w:val="18"/>
              </w:rPr>
              <w:t xml:space="preserve">eview </w:t>
            </w:r>
            <w:r w:rsidR="00DB2061">
              <w:rPr>
                <w:b/>
                <w:bCs/>
                <w:sz w:val="18"/>
                <w:szCs w:val="18"/>
              </w:rPr>
              <w:t>f</w:t>
            </w:r>
            <w:r w:rsidRPr="002E371D">
              <w:rPr>
                <w:b/>
                <w:bCs/>
                <w:sz w:val="18"/>
                <w:szCs w:val="18"/>
              </w:rPr>
              <w:t xml:space="preserve">unction: </w:t>
            </w:r>
            <w:r w:rsidR="00DB2061">
              <w:rPr>
                <w:b/>
                <w:bCs/>
                <w:sz w:val="18"/>
                <w:szCs w:val="18"/>
              </w:rPr>
              <w:t>t</w:t>
            </w:r>
            <w:r w:rsidR="000D2429" w:rsidRPr="002E371D">
              <w:rPr>
                <w:b/>
                <w:bCs/>
                <w:sz w:val="18"/>
                <w:szCs w:val="18"/>
              </w:rPr>
              <w:t xml:space="preserve">echnical </w:t>
            </w:r>
            <w:r w:rsidR="00DB2061">
              <w:rPr>
                <w:b/>
                <w:bCs/>
                <w:sz w:val="18"/>
                <w:szCs w:val="18"/>
              </w:rPr>
              <w:t>t</w:t>
            </w:r>
            <w:r w:rsidR="000D2429" w:rsidRPr="002E371D">
              <w:rPr>
                <w:b/>
                <w:bCs/>
                <w:sz w:val="18"/>
                <w:szCs w:val="18"/>
              </w:rPr>
              <w:t xml:space="preserve">ask </w:t>
            </w:r>
            <w:r w:rsidR="00DB2061">
              <w:rPr>
                <w:b/>
                <w:bCs/>
                <w:sz w:val="18"/>
                <w:szCs w:val="18"/>
              </w:rPr>
              <w:t>t</w:t>
            </w:r>
            <w:r w:rsidR="000D2429" w:rsidRPr="002E371D">
              <w:rPr>
                <w:b/>
                <w:bCs/>
                <w:sz w:val="18"/>
                <w:szCs w:val="18"/>
              </w:rPr>
              <w:t xml:space="preserve">eam </w:t>
            </w:r>
          </w:p>
          <w:p w14:paraId="08ECC44A" w14:textId="6E7F4CE9" w:rsidR="000D2429" w:rsidRPr="002E371D" w:rsidRDefault="000D2429" w:rsidP="0000565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lang w:eastAsia="en-US"/>
              </w:rPr>
            </w:pPr>
            <w:r w:rsidRPr="002E371D">
              <w:rPr>
                <w:sz w:val="18"/>
                <w:szCs w:val="18"/>
              </w:rPr>
              <w:t xml:space="preserve">The Conference of the Parties may wish to consider the model of the </w:t>
            </w:r>
            <w:r w:rsidR="009E3138">
              <w:rPr>
                <w:sz w:val="18"/>
                <w:szCs w:val="18"/>
              </w:rPr>
              <w:t>S</w:t>
            </w:r>
            <w:r w:rsidRPr="002E371D">
              <w:rPr>
                <w:sz w:val="18"/>
                <w:szCs w:val="18"/>
              </w:rPr>
              <w:t xml:space="preserve">pecial </w:t>
            </w:r>
            <w:r w:rsidR="009E3138">
              <w:rPr>
                <w:sz w:val="18"/>
                <w:szCs w:val="18"/>
              </w:rPr>
              <w:t>P</w:t>
            </w:r>
            <w:r w:rsidRPr="002E371D">
              <w:rPr>
                <w:sz w:val="18"/>
                <w:szCs w:val="18"/>
              </w:rPr>
              <w:t xml:space="preserve">rogramme </w:t>
            </w:r>
            <w:r w:rsidR="00893431">
              <w:rPr>
                <w:sz w:val="18"/>
                <w:szCs w:val="18"/>
              </w:rPr>
              <w:t>to support</w:t>
            </w:r>
            <w:r w:rsidR="00893431" w:rsidRPr="002E371D">
              <w:rPr>
                <w:sz w:val="18"/>
                <w:szCs w:val="18"/>
              </w:rPr>
              <w:t xml:space="preserve"> </w:t>
            </w:r>
            <w:r w:rsidRPr="002E371D">
              <w:rPr>
                <w:sz w:val="18"/>
                <w:szCs w:val="18"/>
              </w:rPr>
              <w:t>institutional strengthening</w:t>
            </w:r>
            <w:r w:rsidR="006E3ABF">
              <w:rPr>
                <w:sz w:val="18"/>
                <w:szCs w:val="18"/>
              </w:rPr>
              <w:t xml:space="preserve"> at the national level</w:t>
            </w:r>
            <w:r w:rsidR="0041795B">
              <w:rPr>
                <w:sz w:val="18"/>
                <w:szCs w:val="18"/>
              </w:rPr>
              <w:t>,</w:t>
            </w:r>
            <w:r w:rsidRPr="002E371D">
              <w:rPr>
                <w:sz w:val="18"/>
                <w:szCs w:val="18"/>
              </w:rPr>
              <w:t xml:space="preserve"> where</w:t>
            </w:r>
            <w:r w:rsidR="0041795B">
              <w:rPr>
                <w:sz w:val="18"/>
                <w:szCs w:val="18"/>
              </w:rPr>
              <w:t>by</w:t>
            </w:r>
            <w:r w:rsidRPr="002E371D">
              <w:rPr>
                <w:sz w:val="18"/>
                <w:szCs w:val="18"/>
              </w:rPr>
              <w:t xml:space="preserve"> the secretariat </w:t>
            </w:r>
            <w:r w:rsidR="00C927B9" w:rsidRPr="002E371D">
              <w:rPr>
                <w:sz w:val="18"/>
                <w:szCs w:val="18"/>
              </w:rPr>
              <w:t>undertakes an</w:t>
            </w:r>
            <w:r w:rsidRPr="002E371D">
              <w:rPr>
                <w:sz w:val="18"/>
                <w:szCs w:val="18"/>
              </w:rPr>
              <w:t xml:space="preserve"> initial review</w:t>
            </w:r>
            <w:r w:rsidR="006042E7" w:rsidRPr="002E371D">
              <w:rPr>
                <w:sz w:val="18"/>
                <w:szCs w:val="18"/>
              </w:rPr>
              <w:t xml:space="preserve"> of applications</w:t>
            </w:r>
            <w:r w:rsidR="00C927B9" w:rsidRPr="002E371D">
              <w:rPr>
                <w:sz w:val="18"/>
                <w:szCs w:val="18"/>
              </w:rPr>
              <w:t xml:space="preserve"> for eligibility and completeness</w:t>
            </w:r>
            <w:r w:rsidR="006E3ABF">
              <w:rPr>
                <w:sz w:val="18"/>
                <w:szCs w:val="18"/>
              </w:rPr>
              <w:t xml:space="preserve">, </w:t>
            </w:r>
            <w:r w:rsidR="006042E7" w:rsidRPr="002E371D">
              <w:rPr>
                <w:sz w:val="18"/>
                <w:szCs w:val="18"/>
              </w:rPr>
              <w:t>followed by a</w:t>
            </w:r>
            <w:r w:rsidR="00CF27B0" w:rsidRPr="002E371D">
              <w:rPr>
                <w:sz w:val="18"/>
                <w:szCs w:val="18"/>
              </w:rPr>
              <w:t>n</w:t>
            </w:r>
            <w:r w:rsidRPr="002E371D">
              <w:rPr>
                <w:sz w:val="18"/>
                <w:szCs w:val="18"/>
              </w:rPr>
              <w:t xml:space="preserve"> </w:t>
            </w:r>
            <w:r w:rsidR="00C927B9" w:rsidRPr="002E371D">
              <w:rPr>
                <w:sz w:val="18"/>
                <w:szCs w:val="18"/>
              </w:rPr>
              <w:t xml:space="preserve">appraisal in </w:t>
            </w:r>
            <w:r w:rsidR="0086694D" w:rsidRPr="002E371D">
              <w:rPr>
                <w:sz w:val="18"/>
                <w:szCs w:val="18"/>
              </w:rPr>
              <w:t>consultation</w:t>
            </w:r>
            <w:r w:rsidR="00C927B9" w:rsidRPr="002E371D">
              <w:rPr>
                <w:sz w:val="18"/>
                <w:szCs w:val="18"/>
              </w:rPr>
              <w:t xml:space="preserve"> with the informal </w:t>
            </w:r>
            <w:r w:rsidR="0041795B">
              <w:rPr>
                <w:sz w:val="18"/>
                <w:szCs w:val="18"/>
              </w:rPr>
              <w:t>t</w:t>
            </w:r>
            <w:r w:rsidRPr="002E371D">
              <w:rPr>
                <w:sz w:val="18"/>
                <w:szCs w:val="18"/>
              </w:rPr>
              <w:t xml:space="preserve">ask </w:t>
            </w:r>
            <w:r w:rsidR="0041795B">
              <w:rPr>
                <w:sz w:val="18"/>
                <w:szCs w:val="18"/>
              </w:rPr>
              <w:t>t</w:t>
            </w:r>
            <w:r w:rsidRPr="002E371D">
              <w:rPr>
                <w:sz w:val="18"/>
                <w:szCs w:val="18"/>
              </w:rPr>
              <w:t>eam</w:t>
            </w:r>
            <w:r w:rsidR="00F728BC">
              <w:rPr>
                <w:sz w:val="18"/>
                <w:szCs w:val="18"/>
              </w:rPr>
              <w:t>, which is</w:t>
            </w:r>
            <w:r w:rsidRPr="002E371D">
              <w:rPr>
                <w:sz w:val="18"/>
                <w:szCs w:val="18"/>
              </w:rPr>
              <w:t xml:space="preserve"> composed of representatives </w:t>
            </w:r>
            <w:r w:rsidR="0041795B">
              <w:rPr>
                <w:sz w:val="18"/>
                <w:szCs w:val="18"/>
              </w:rPr>
              <w:t>of</w:t>
            </w:r>
            <w:r w:rsidR="0041795B" w:rsidRPr="002E371D">
              <w:rPr>
                <w:sz w:val="18"/>
                <w:szCs w:val="18"/>
              </w:rPr>
              <w:t xml:space="preserve"> </w:t>
            </w:r>
            <w:r w:rsidRPr="002E371D">
              <w:rPr>
                <w:sz w:val="18"/>
                <w:szCs w:val="18"/>
              </w:rPr>
              <w:t xml:space="preserve">the secretariats of the four conventions that it services, the Strategic Approach and the Global Environment Facility. </w:t>
            </w:r>
            <w:r w:rsidR="00C927B9" w:rsidRPr="002E371D">
              <w:rPr>
                <w:sz w:val="18"/>
                <w:szCs w:val="18"/>
              </w:rPr>
              <w:t xml:space="preserve">This appraisal includes a qualitative analysis of the project and a technical review of the activities to be carried out. </w:t>
            </w:r>
            <w:r w:rsidRPr="002E371D">
              <w:rPr>
                <w:sz w:val="18"/>
                <w:szCs w:val="18"/>
              </w:rPr>
              <w:t xml:space="preserve">The outcome is presented by the secretariat of the </w:t>
            </w:r>
            <w:r w:rsidR="009E3138">
              <w:rPr>
                <w:sz w:val="18"/>
                <w:szCs w:val="18"/>
              </w:rPr>
              <w:t>S</w:t>
            </w:r>
            <w:r w:rsidRPr="002E371D">
              <w:rPr>
                <w:sz w:val="18"/>
                <w:szCs w:val="18"/>
              </w:rPr>
              <w:t xml:space="preserve">pecial </w:t>
            </w:r>
            <w:r w:rsidR="009E3138">
              <w:rPr>
                <w:sz w:val="18"/>
                <w:szCs w:val="18"/>
              </w:rPr>
              <w:t>P</w:t>
            </w:r>
            <w:r w:rsidRPr="002E371D">
              <w:rPr>
                <w:sz w:val="18"/>
                <w:szCs w:val="18"/>
              </w:rPr>
              <w:t>rogramme to the Executive Board</w:t>
            </w:r>
            <w:r w:rsidR="0000173C">
              <w:rPr>
                <w:sz w:val="18"/>
                <w:szCs w:val="18"/>
              </w:rPr>
              <w:t xml:space="preserve">, its governing body, </w:t>
            </w:r>
            <w:r w:rsidRPr="002E371D">
              <w:rPr>
                <w:sz w:val="18"/>
                <w:szCs w:val="18"/>
              </w:rPr>
              <w:t xml:space="preserve">for </w:t>
            </w:r>
            <w:r w:rsidR="0041795B">
              <w:rPr>
                <w:sz w:val="18"/>
                <w:szCs w:val="18"/>
              </w:rPr>
              <w:t>discussion</w:t>
            </w:r>
            <w:r w:rsidR="0041795B" w:rsidRPr="002E371D">
              <w:rPr>
                <w:sz w:val="18"/>
                <w:szCs w:val="18"/>
              </w:rPr>
              <w:t xml:space="preserve"> </w:t>
            </w:r>
            <w:r w:rsidRPr="002E371D">
              <w:rPr>
                <w:sz w:val="18"/>
                <w:szCs w:val="18"/>
              </w:rPr>
              <w:t>and decision, on the</w:t>
            </w:r>
            <w:r w:rsidR="0041795B">
              <w:rPr>
                <w:sz w:val="18"/>
                <w:szCs w:val="18"/>
              </w:rPr>
              <w:t xml:space="preserve"> basis of the</w:t>
            </w:r>
            <w:r w:rsidRPr="002E371D">
              <w:rPr>
                <w:sz w:val="18"/>
                <w:szCs w:val="18"/>
              </w:rPr>
              <w:t xml:space="preserve"> guidance and terms of reference set by the United Nations Environment Assembly. </w:t>
            </w:r>
          </w:p>
          <w:p w14:paraId="140FB4AF" w14:textId="22BC786F" w:rsidR="000D2429" w:rsidRPr="002E371D" w:rsidRDefault="006B4D3E"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lang w:eastAsia="en-US"/>
              </w:rPr>
            </w:pPr>
            <w:r>
              <w:rPr>
                <w:sz w:val="18"/>
                <w:szCs w:val="18"/>
              </w:rPr>
              <w:t>T</w:t>
            </w:r>
            <w:r w:rsidR="000D2429" w:rsidRPr="002E371D">
              <w:rPr>
                <w:sz w:val="18"/>
                <w:szCs w:val="18"/>
              </w:rPr>
              <w:t xml:space="preserve">he Conference of the Parties </w:t>
            </w:r>
            <w:r w:rsidR="00CF27B0" w:rsidRPr="002E371D">
              <w:rPr>
                <w:sz w:val="18"/>
                <w:szCs w:val="18"/>
              </w:rPr>
              <w:t>may wish to</w:t>
            </w:r>
            <w:r w:rsidR="000D2429" w:rsidRPr="002E371D">
              <w:rPr>
                <w:sz w:val="18"/>
                <w:szCs w:val="18"/>
              </w:rPr>
              <w:t xml:space="preserve"> consider establishing a </w:t>
            </w:r>
            <w:r w:rsidR="0041795B">
              <w:rPr>
                <w:sz w:val="18"/>
                <w:szCs w:val="18"/>
              </w:rPr>
              <w:t>t</w:t>
            </w:r>
            <w:r w:rsidR="000D2429" w:rsidRPr="002E371D">
              <w:rPr>
                <w:sz w:val="18"/>
                <w:szCs w:val="18"/>
              </w:rPr>
              <w:t xml:space="preserve">echnical </w:t>
            </w:r>
            <w:r w:rsidR="0041795B">
              <w:rPr>
                <w:sz w:val="18"/>
                <w:szCs w:val="18"/>
              </w:rPr>
              <w:t>t</w:t>
            </w:r>
            <w:r w:rsidR="000D2429" w:rsidRPr="002E371D">
              <w:rPr>
                <w:sz w:val="18"/>
                <w:szCs w:val="18"/>
              </w:rPr>
              <w:t xml:space="preserve">ask </w:t>
            </w:r>
            <w:r w:rsidR="0041795B">
              <w:rPr>
                <w:sz w:val="18"/>
                <w:szCs w:val="18"/>
              </w:rPr>
              <w:t>t</w:t>
            </w:r>
            <w:r w:rsidR="000D2429" w:rsidRPr="002E371D">
              <w:rPr>
                <w:sz w:val="18"/>
                <w:szCs w:val="18"/>
              </w:rPr>
              <w:t>eam for the specific international programme</w:t>
            </w:r>
            <w:r w:rsidR="00CC6C56">
              <w:rPr>
                <w:sz w:val="18"/>
                <w:szCs w:val="18"/>
              </w:rPr>
              <w:t>, which would be</w:t>
            </w:r>
            <w:r w:rsidR="000D2429" w:rsidRPr="002E371D">
              <w:rPr>
                <w:sz w:val="18"/>
                <w:szCs w:val="18"/>
              </w:rPr>
              <w:t xml:space="preserve"> </w:t>
            </w:r>
            <w:r w:rsidR="00CF27B0" w:rsidRPr="002E371D">
              <w:rPr>
                <w:sz w:val="18"/>
                <w:szCs w:val="18"/>
              </w:rPr>
              <w:t>tasked with</w:t>
            </w:r>
            <w:r w:rsidR="00CC6C56">
              <w:rPr>
                <w:sz w:val="18"/>
                <w:szCs w:val="18"/>
              </w:rPr>
              <w:t xml:space="preserve"> undertaking</w:t>
            </w:r>
            <w:r w:rsidR="00CF27B0" w:rsidRPr="002E371D">
              <w:rPr>
                <w:sz w:val="18"/>
                <w:szCs w:val="18"/>
              </w:rPr>
              <w:t xml:space="preserve"> an informal technical review. Such a team could be </w:t>
            </w:r>
            <w:r w:rsidR="000D2429" w:rsidRPr="002E371D">
              <w:rPr>
                <w:sz w:val="18"/>
                <w:szCs w:val="18"/>
              </w:rPr>
              <w:t>composed of representatives with experience and expertise in mercury, capacity</w:t>
            </w:r>
            <w:r w:rsidR="0041795B">
              <w:rPr>
                <w:sz w:val="18"/>
                <w:szCs w:val="18"/>
              </w:rPr>
              <w:t>-</w:t>
            </w:r>
            <w:r w:rsidR="000D2429" w:rsidRPr="002E371D">
              <w:rPr>
                <w:sz w:val="18"/>
                <w:szCs w:val="18"/>
              </w:rPr>
              <w:t xml:space="preserve">building and technical assistance </w:t>
            </w:r>
            <w:r w:rsidR="000D2429" w:rsidRPr="002E371D">
              <w:rPr>
                <w:sz w:val="18"/>
                <w:szCs w:val="18"/>
              </w:rPr>
              <w:lastRenderedPageBreak/>
              <w:t>and implementation</w:t>
            </w:r>
            <w:r w:rsidR="00C604A6" w:rsidRPr="002E371D">
              <w:rPr>
                <w:sz w:val="18"/>
                <w:szCs w:val="18"/>
              </w:rPr>
              <w:t>. Representatives could include</w:t>
            </w:r>
            <w:r w:rsidR="000D2429" w:rsidRPr="002E371D">
              <w:rPr>
                <w:sz w:val="18"/>
                <w:szCs w:val="18"/>
              </w:rPr>
              <w:t xml:space="preserve"> the Convention secreta</w:t>
            </w:r>
            <w:bookmarkStart w:id="4" w:name="_GoBack"/>
            <w:bookmarkEnd w:id="4"/>
            <w:r w:rsidR="000D2429" w:rsidRPr="002E371D">
              <w:rPr>
                <w:sz w:val="18"/>
                <w:szCs w:val="18"/>
              </w:rPr>
              <w:t>riat, the Global Mercury Partnership</w:t>
            </w:r>
            <w:r w:rsidR="00CF27B0" w:rsidRPr="002E371D">
              <w:rPr>
                <w:sz w:val="18"/>
                <w:szCs w:val="18"/>
              </w:rPr>
              <w:t xml:space="preserve"> secretariat</w:t>
            </w:r>
            <w:r w:rsidR="000D2429" w:rsidRPr="002E371D">
              <w:rPr>
                <w:sz w:val="18"/>
                <w:szCs w:val="18"/>
              </w:rPr>
              <w:t>, the Basel, Rotte</w:t>
            </w:r>
            <w:r w:rsidR="00CF27B0" w:rsidRPr="002E371D">
              <w:rPr>
                <w:sz w:val="18"/>
                <w:szCs w:val="18"/>
              </w:rPr>
              <w:t>rdam and Stockholm conventions s</w:t>
            </w:r>
            <w:r w:rsidR="000D2429" w:rsidRPr="002E371D">
              <w:rPr>
                <w:sz w:val="18"/>
                <w:szCs w:val="18"/>
              </w:rPr>
              <w:t xml:space="preserve">ecretariat, the </w:t>
            </w:r>
            <w:r w:rsidR="00C604A6" w:rsidRPr="002E371D">
              <w:rPr>
                <w:sz w:val="18"/>
                <w:szCs w:val="18"/>
              </w:rPr>
              <w:t xml:space="preserve">Chemicals and Health Branch and the Global Environment Facility. </w:t>
            </w:r>
            <w:r w:rsidR="00CF27B0" w:rsidRPr="002E371D">
              <w:rPr>
                <w:sz w:val="18"/>
                <w:szCs w:val="18"/>
              </w:rPr>
              <w:t xml:space="preserve">Following </w:t>
            </w:r>
            <w:r w:rsidR="00F728BC">
              <w:rPr>
                <w:sz w:val="18"/>
                <w:szCs w:val="18"/>
              </w:rPr>
              <w:t>its</w:t>
            </w:r>
            <w:r w:rsidR="00F728BC" w:rsidRPr="002E371D">
              <w:rPr>
                <w:sz w:val="18"/>
                <w:szCs w:val="18"/>
              </w:rPr>
              <w:t xml:space="preserve"> </w:t>
            </w:r>
            <w:r w:rsidR="00CF27B0" w:rsidRPr="002E371D">
              <w:rPr>
                <w:sz w:val="18"/>
                <w:szCs w:val="18"/>
              </w:rPr>
              <w:t xml:space="preserve">initial review of the applications, the </w:t>
            </w:r>
            <w:r w:rsidR="00F728BC" w:rsidRPr="002E371D">
              <w:rPr>
                <w:sz w:val="18"/>
                <w:szCs w:val="18"/>
              </w:rPr>
              <w:t xml:space="preserve">programme </w:t>
            </w:r>
            <w:r w:rsidR="00CF27B0" w:rsidRPr="002E371D">
              <w:rPr>
                <w:sz w:val="18"/>
                <w:szCs w:val="18"/>
              </w:rPr>
              <w:t>secretariat would appraise the applications with t</w:t>
            </w:r>
            <w:r w:rsidR="00C604A6" w:rsidRPr="002E371D">
              <w:rPr>
                <w:sz w:val="18"/>
                <w:szCs w:val="18"/>
              </w:rPr>
              <w:t xml:space="preserve">he </w:t>
            </w:r>
            <w:r w:rsidR="0041795B">
              <w:rPr>
                <w:sz w:val="18"/>
                <w:szCs w:val="18"/>
              </w:rPr>
              <w:t>t</w:t>
            </w:r>
            <w:r w:rsidR="00C604A6" w:rsidRPr="002E371D">
              <w:rPr>
                <w:sz w:val="18"/>
                <w:szCs w:val="18"/>
              </w:rPr>
              <w:t xml:space="preserve">echnical </w:t>
            </w:r>
            <w:r w:rsidR="0041795B">
              <w:rPr>
                <w:sz w:val="18"/>
                <w:szCs w:val="18"/>
              </w:rPr>
              <w:t>t</w:t>
            </w:r>
            <w:r w:rsidR="00C604A6" w:rsidRPr="002E371D">
              <w:rPr>
                <w:sz w:val="18"/>
                <w:szCs w:val="18"/>
              </w:rPr>
              <w:t xml:space="preserve">ask </w:t>
            </w:r>
            <w:r w:rsidR="0041795B">
              <w:rPr>
                <w:sz w:val="18"/>
                <w:szCs w:val="18"/>
              </w:rPr>
              <w:t>t</w:t>
            </w:r>
            <w:r w:rsidR="00C604A6" w:rsidRPr="002E371D">
              <w:rPr>
                <w:sz w:val="18"/>
                <w:szCs w:val="18"/>
              </w:rPr>
              <w:t>eam for technical so</w:t>
            </w:r>
            <w:r w:rsidR="00CF27B0" w:rsidRPr="002E371D">
              <w:rPr>
                <w:sz w:val="18"/>
                <w:szCs w:val="18"/>
              </w:rPr>
              <w:t xml:space="preserve">undness and relevance. </w:t>
            </w:r>
            <w:r w:rsidR="00343E76">
              <w:rPr>
                <w:sz w:val="18"/>
                <w:szCs w:val="18"/>
              </w:rPr>
              <w:t>It</w:t>
            </w:r>
            <w:r w:rsidR="00C604A6" w:rsidRPr="002E371D">
              <w:rPr>
                <w:sz w:val="18"/>
                <w:szCs w:val="18"/>
              </w:rPr>
              <w:t xml:space="preserve"> would then forward </w:t>
            </w:r>
            <w:r w:rsidR="00CF27B0" w:rsidRPr="002E371D">
              <w:rPr>
                <w:sz w:val="18"/>
                <w:szCs w:val="18"/>
              </w:rPr>
              <w:t xml:space="preserve">the appraisal </w:t>
            </w:r>
            <w:r w:rsidR="00C604A6" w:rsidRPr="002E371D">
              <w:rPr>
                <w:sz w:val="18"/>
                <w:szCs w:val="18"/>
              </w:rPr>
              <w:t xml:space="preserve">to the </w:t>
            </w:r>
            <w:r w:rsidR="00D17E7B">
              <w:rPr>
                <w:sz w:val="18"/>
                <w:szCs w:val="18"/>
              </w:rPr>
              <w:t>g</w:t>
            </w:r>
            <w:r w:rsidR="009A554B" w:rsidRPr="002E371D">
              <w:rPr>
                <w:sz w:val="18"/>
                <w:szCs w:val="18"/>
              </w:rPr>
              <w:t xml:space="preserve">overning </w:t>
            </w:r>
            <w:r w:rsidR="00D17E7B">
              <w:rPr>
                <w:sz w:val="18"/>
                <w:szCs w:val="18"/>
              </w:rPr>
              <w:t>b</w:t>
            </w:r>
            <w:r w:rsidR="009A554B" w:rsidRPr="002E371D">
              <w:rPr>
                <w:sz w:val="18"/>
                <w:szCs w:val="18"/>
              </w:rPr>
              <w:t>ody</w:t>
            </w:r>
            <w:r w:rsidR="00CC6C56">
              <w:rPr>
                <w:sz w:val="18"/>
                <w:szCs w:val="18"/>
              </w:rPr>
              <w:t xml:space="preserve"> or </w:t>
            </w:r>
            <w:r w:rsidR="00D17E7B">
              <w:rPr>
                <w:sz w:val="18"/>
                <w:szCs w:val="18"/>
              </w:rPr>
              <w:t>e</w:t>
            </w:r>
            <w:r w:rsidR="00C604A6" w:rsidRPr="002E371D">
              <w:rPr>
                <w:sz w:val="18"/>
                <w:szCs w:val="18"/>
              </w:rPr>
              <w:t xml:space="preserve">xecutive </w:t>
            </w:r>
            <w:r w:rsidR="00D17E7B">
              <w:rPr>
                <w:sz w:val="18"/>
                <w:szCs w:val="18"/>
              </w:rPr>
              <w:t>b</w:t>
            </w:r>
            <w:r w:rsidR="00C604A6" w:rsidRPr="002E371D">
              <w:rPr>
                <w:sz w:val="18"/>
                <w:szCs w:val="18"/>
              </w:rPr>
              <w:t>oard for assessment</w:t>
            </w:r>
            <w:r w:rsidR="009206FF" w:rsidRPr="002E371D">
              <w:rPr>
                <w:sz w:val="18"/>
                <w:szCs w:val="18"/>
              </w:rPr>
              <w:t>, decision-making</w:t>
            </w:r>
            <w:r w:rsidR="00C604A6" w:rsidRPr="002E371D">
              <w:rPr>
                <w:sz w:val="18"/>
                <w:szCs w:val="18"/>
              </w:rPr>
              <w:t xml:space="preserve"> and </w:t>
            </w:r>
            <w:r w:rsidR="0071731B" w:rsidRPr="002E371D">
              <w:rPr>
                <w:sz w:val="18"/>
                <w:szCs w:val="18"/>
              </w:rPr>
              <w:t xml:space="preserve">project </w:t>
            </w:r>
            <w:r w:rsidR="00CF27B0" w:rsidRPr="002E371D">
              <w:rPr>
                <w:sz w:val="18"/>
                <w:szCs w:val="18"/>
              </w:rPr>
              <w:t>approval</w:t>
            </w:r>
            <w:r w:rsidR="00C604A6" w:rsidRPr="002E371D">
              <w:rPr>
                <w:sz w:val="18"/>
                <w:szCs w:val="18"/>
              </w:rPr>
              <w:t xml:space="preserve">. </w:t>
            </w:r>
          </w:p>
        </w:tc>
      </w:tr>
      <w:tr w:rsidR="000D2429" w:rsidRPr="002E371D" w14:paraId="66B2A6A5" w14:textId="77777777" w:rsidTr="006F65A4">
        <w:tc>
          <w:tcPr>
            <w:tcW w:w="8526" w:type="dxa"/>
            <w:shd w:val="clear" w:color="auto" w:fill="auto"/>
          </w:tcPr>
          <w:p w14:paraId="0B62DA51" w14:textId="633B858C" w:rsidR="000D2429" w:rsidRPr="002E371D" w:rsidRDefault="000D2429" w:rsidP="0000173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rPr>
            </w:pPr>
            <w:r w:rsidRPr="002E371D">
              <w:rPr>
                <w:b/>
                <w:bCs/>
                <w:sz w:val="18"/>
                <w:szCs w:val="18"/>
              </w:rPr>
              <w:lastRenderedPageBreak/>
              <w:t xml:space="preserve">Formal </w:t>
            </w:r>
            <w:r w:rsidR="0041795B">
              <w:rPr>
                <w:b/>
                <w:bCs/>
                <w:sz w:val="18"/>
                <w:szCs w:val="18"/>
              </w:rPr>
              <w:t>t</w:t>
            </w:r>
            <w:r w:rsidRPr="002E371D">
              <w:rPr>
                <w:b/>
                <w:bCs/>
                <w:sz w:val="18"/>
                <w:szCs w:val="18"/>
              </w:rPr>
              <w:t xml:space="preserve">echnical </w:t>
            </w:r>
            <w:r w:rsidR="0041795B">
              <w:rPr>
                <w:b/>
                <w:bCs/>
                <w:sz w:val="18"/>
                <w:szCs w:val="18"/>
              </w:rPr>
              <w:t>r</w:t>
            </w:r>
            <w:r w:rsidRPr="002E371D">
              <w:rPr>
                <w:b/>
                <w:bCs/>
                <w:sz w:val="18"/>
                <w:szCs w:val="18"/>
              </w:rPr>
              <w:t xml:space="preserve">eview </w:t>
            </w:r>
            <w:r w:rsidR="0041795B">
              <w:rPr>
                <w:b/>
                <w:bCs/>
                <w:sz w:val="18"/>
                <w:szCs w:val="18"/>
              </w:rPr>
              <w:t>f</w:t>
            </w:r>
            <w:r w:rsidRPr="002E371D">
              <w:rPr>
                <w:b/>
                <w:bCs/>
                <w:sz w:val="18"/>
                <w:szCs w:val="18"/>
              </w:rPr>
              <w:t xml:space="preserve">unction: </w:t>
            </w:r>
            <w:r w:rsidR="0041795B">
              <w:rPr>
                <w:b/>
                <w:bCs/>
                <w:sz w:val="18"/>
                <w:szCs w:val="18"/>
              </w:rPr>
              <w:t>t</w:t>
            </w:r>
            <w:r w:rsidRPr="002E371D">
              <w:rPr>
                <w:b/>
                <w:bCs/>
                <w:sz w:val="18"/>
                <w:szCs w:val="18"/>
              </w:rPr>
              <w:t xml:space="preserve">echnical </w:t>
            </w:r>
            <w:r w:rsidR="0041795B">
              <w:rPr>
                <w:b/>
                <w:bCs/>
                <w:sz w:val="18"/>
                <w:szCs w:val="18"/>
              </w:rPr>
              <w:t>r</w:t>
            </w:r>
            <w:r w:rsidRPr="002E371D">
              <w:rPr>
                <w:b/>
                <w:bCs/>
                <w:sz w:val="18"/>
                <w:szCs w:val="18"/>
              </w:rPr>
              <w:t xml:space="preserve">eview </w:t>
            </w:r>
            <w:r w:rsidR="0000173C">
              <w:rPr>
                <w:b/>
                <w:bCs/>
                <w:sz w:val="18"/>
                <w:szCs w:val="18"/>
              </w:rPr>
              <w:t>body</w:t>
            </w:r>
            <w:r w:rsidRPr="002E371D">
              <w:rPr>
                <w:b/>
                <w:bCs/>
                <w:sz w:val="18"/>
                <w:szCs w:val="18"/>
              </w:rPr>
              <w:t xml:space="preserve"> </w:t>
            </w:r>
          </w:p>
          <w:p w14:paraId="67CBC861" w14:textId="7D7F344E" w:rsidR="00C604A6" w:rsidRDefault="00C604A6" w:rsidP="00BD69F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sz w:val="18"/>
                <w:szCs w:val="18"/>
              </w:rPr>
            </w:pPr>
            <w:r w:rsidRPr="002E371D">
              <w:rPr>
                <w:sz w:val="18"/>
                <w:szCs w:val="18"/>
              </w:rPr>
              <w:t>The Conference of the Parties may wish to consider the model of the Quick Start Programme</w:t>
            </w:r>
            <w:r w:rsidR="0041795B">
              <w:rPr>
                <w:sz w:val="18"/>
                <w:szCs w:val="18"/>
              </w:rPr>
              <w:t xml:space="preserve">, </w:t>
            </w:r>
            <w:r w:rsidRPr="002E371D">
              <w:rPr>
                <w:sz w:val="18"/>
                <w:szCs w:val="18"/>
              </w:rPr>
              <w:t>where</w:t>
            </w:r>
            <w:r w:rsidR="0041795B">
              <w:rPr>
                <w:sz w:val="18"/>
                <w:szCs w:val="18"/>
              </w:rPr>
              <w:t>by</w:t>
            </w:r>
            <w:r w:rsidRPr="002E371D">
              <w:rPr>
                <w:sz w:val="18"/>
                <w:szCs w:val="18"/>
              </w:rPr>
              <w:t xml:space="preserve"> the secretariat </w:t>
            </w:r>
            <w:r w:rsidR="0041795B">
              <w:rPr>
                <w:sz w:val="18"/>
                <w:szCs w:val="18"/>
              </w:rPr>
              <w:t>undertakes</w:t>
            </w:r>
            <w:r w:rsidR="0041795B" w:rsidRPr="002E371D">
              <w:rPr>
                <w:sz w:val="18"/>
                <w:szCs w:val="18"/>
              </w:rPr>
              <w:t xml:space="preserve"> </w:t>
            </w:r>
            <w:r w:rsidR="00D17E7B">
              <w:rPr>
                <w:sz w:val="18"/>
                <w:szCs w:val="18"/>
              </w:rPr>
              <w:t>an</w:t>
            </w:r>
            <w:r w:rsidR="00D17E7B" w:rsidRPr="002E371D">
              <w:rPr>
                <w:sz w:val="18"/>
                <w:szCs w:val="18"/>
              </w:rPr>
              <w:t xml:space="preserve"> </w:t>
            </w:r>
            <w:r w:rsidRPr="002E371D">
              <w:rPr>
                <w:sz w:val="18"/>
                <w:szCs w:val="18"/>
              </w:rPr>
              <w:t xml:space="preserve">initial review of applications, </w:t>
            </w:r>
            <w:r w:rsidR="00D17E7B">
              <w:rPr>
                <w:sz w:val="18"/>
                <w:szCs w:val="18"/>
              </w:rPr>
              <w:t>after which</w:t>
            </w:r>
            <w:r w:rsidR="00D17E7B" w:rsidRPr="002E371D">
              <w:rPr>
                <w:sz w:val="18"/>
                <w:szCs w:val="18"/>
              </w:rPr>
              <w:t xml:space="preserve"> the Trust Fund Implementation Committee </w:t>
            </w:r>
            <w:r w:rsidR="00D17E7B">
              <w:rPr>
                <w:sz w:val="18"/>
                <w:szCs w:val="18"/>
              </w:rPr>
              <w:t>undertakes</w:t>
            </w:r>
            <w:r w:rsidR="00D17E7B" w:rsidRPr="002E371D">
              <w:rPr>
                <w:sz w:val="18"/>
                <w:szCs w:val="18"/>
              </w:rPr>
              <w:t xml:space="preserve"> </w:t>
            </w:r>
            <w:r w:rsidRPr="002E371D">
              <w:rPr>
                <w:sz w:val="18"/>
                <w:szCs w:val="18"/>
              </w:rPr>
              <w:t>an in-depth review of the proposed projects</w:t>
            </w:r>
            <w:r w:rsidR="000F36ED" w:rsidRPr="002E371D">
              <w:rPr>
                <w:sz w:val="18"/>
                <w:szCs w:val="18"/>
              </w:rPr>
              <w:t xml:space="preserve">. The </w:t>
            </w:r>
            <w:r w:rsidRPr="002E371D">
              <w:rPr>
                <w:sz w:val="18"/>
                <w:szCs w:val="18"/>
              </w:rPr>
              <w:t>Implementation Committee is composed of representatives of the Inter-Organization Programme for the Sound Management of Chemicals</w:t>
            </w:r>
            <w:r w:rsidR="0041795B">
              <w:rPr>
                <w:sz w:val="18"/>
                <w:szCs w:val="18"/>
              </w:rPr>
              <w:t>,</w:t>
            </w:r>
            <w:r w:rsidRPr="002E371D">
              <w:rPr>
                <w:sz w:val="18"/>
                <w:szCs w:val="18"/>
              </w:rPr>
              <w:t xml:space="preserve"> </w:t>
            </w:r>
            <w:r w:rsidR="002469BE">
              <w:rPr>
                <w:sz w:val="18"/>
                <w:szCs w:val="18"/>
              </w:rPr>
              <w:t xml:space="preserve">in </w:t>
            </w:r>
            <w:r w:rsidRPr="002E371D">
              <w:rPr>
                <w:sz w:val="18"/>
                <w:szCs w:val="18"/>
              </w:rPr>
              <w:t xml:space="preserve">which </w:t>
            </w:r>
            <w:r w:rsidR="002469BE">
              <w:rPr>
                <w:sz w:val="18"/>
                <w:szCs w:val="18"/>
              </w:rPr>
              <w:t xml:space="preserve">the following </w:t>
            </w:r>
            <w:r w:rsidR="0041795B">
              <w:rPr>
                <w:sz w:val="18"/>
                <w:szCs w:val="18"/>
              </w:rPr>
              <w:t>nine</w:t>
            </w:r>
            <w:r w:rsidR="0041795B" w:rsidRPr="002E371D">
              <w:rPr>
                <w:sz w:val="18"/>
                <w:szCs w:val="18"/>
              </w:rPr>
              <w:t xml:space="preserve"> </w:t>
            </w:r>
            <w:r w:rsidRPr="002E371D">
              <w:rPr>
                <w:sz w:val="18"/>
                <w:szCs w:val="18"/>
              </w:rPr>
              <w:t>organi</w:t>
            </w:r>
            <w:r w:rsidR="0041795B">
              <w:rPr>
                <w:sz w:val="18"/>
                <w:szCs w:val="18"/>
              </w:rPr>
              <w:t>z</w:t>
            </w:r>
            <w:r w:rsidRPr="002E371D">
              <w:rPr>
                <w:sz w:val="18"/>
                <w:szCs w:val="18"/>
              </w:rPr>
              <w:t>ations</w:t>
            </w:r>
            <w:r w:rsidR="002469BE" w:rsidRPr="002E371D">
              <w:rPr>
                <w:sz w:val="18"/>
                <w:szCs w:val="18"/>
              </w:rPr>
              <w:t xml:space="preserve"> participat</w:t>
            </w:r>
            <w:r w:rsidR="002469BE">
              <w:rPr>
                <w:sz w:val="18"/>
                <w:szCs w:val="18"/>
              </w:rPr>
              <w:t>e</w:t>
            </w:r>
            <w:r w:rsidRPr="002E371D">
              <w:rPr>
                <w:sz w:val="18"/>
                <w:szCs w:val="18"/>
              </w:rPr>
              <w:t>: Food and Agriculture Organi</w:t>
            </w:r>
            <w:r w:rsidR="0041795B">
              <w:rPr>
                <w:sz w:val="18"/>
                <w:szCs w:val="18"/>
              </w:rPr>
              <w:t>z</w:t>
            </w:r>
            <w:r w:rsidRPr="002E371D">
              <w:rPr>
                <w:sz w:val="18"/>
                <w:szCs w:val="18"/>
              </w:rPr>
              <w:t>ation of the United Nations, International Labour Organization, United Nations Development Programme, UNEP, United Nations Industrial Development Organization, United Nations Institute for Training and Research, World Health Organization, World Bank and Organi</w:t>
            </w:r>
            <w:r w:rsidR="0041795B">
              <w:rPr>
                <w:sz w:val="18"/>
                <w:szCs w:val="18"/>
              </w:rPr>
              <w:t>z</w:t>
            </w:r>
            <w:r w:rsidRPr="002E371D">
              <w:rPr>
                <w:sz w:val="18"/>
                <w:szCs w:val="18"/>
              </w:rPr>
              <w:t>ation for Economic Cooperation and Development. The Implementation Committee assess</w:t>
            </w:r>
            <w:r w:rsidR="000F36ED" w:rsidRPr="002E371D">
              <w:rPr>
                <w:sz w:val="18"/>
                <w:szCs w:val="18"/>
              </w:rPr>
              <w:t>es and approves</w:t>
            </w:r>
            <w:r w:rsidRPr="002E371D">
              <w:rPr>
                <w:sz w:val="18"/>
                <w:szCs w:val="18"/>
              </w:rPr>
              <w:t xml:space="preserve"> the projects</w:t>
            </w:r>
            <w:r w:rsidR="0041795B" w:rsidRPr="002E371D">
              <w:rPr>
                <w:sz w:val="18"/>
                <w:szCs w:val="18"/>
              </w:rPr>
              <w:t xml:space="preserve"> proposed</w:t>
            </w:r>
            <w:r w:rsidR="006B4D3E">
              <w:rPr>
                <w:sz w:val="18"/>
                <w:szCs w:val="18"/>
              </w:rPr>
              <w:t xml:space="preserve">, which </w:t>
            </w:r>
            <w:r w:rsidR="009A554B" w:rsidRPr="002E371D">
              <w:rPr>
                <w:sz w:val="18"/>
                <w:szCs w:val="18"/>
              </w:rPr>
              <w:t xml:space="preserve">are then </w:t>
            </w:r>
            <w:r w:rsidRPr="002E371D">
              <w:rPr>
                <w:sz w:val="18"/>
                <w:szCs w:val="18"/>
              </w:rPr>
              <w:t>passed to the Executive Board</w:t>
            </w:r>
            <w:r w:rsidR="0041795B">
              <w:rPr>
                <w:sz w:val="18"/>
                <w:szCs w:val="18"/>
              </w:rPr>
              <w:t>,</w:t>
            </w:r>
            <w:r w:rsidRPr="002E371D">
              <w:rPr>
                <w:sz w:val="18"/>
                <w:szCs w:val="18"/>
              </w:rPr>
              <w:t xml:space="preserve"> </w:t>
            </w:r>
            <w:r w:rsidR="0000173C">
              <w:rPr>
                <w:sz w:val="18"/>
                <w:szCs w:val="18"/>
              </w:rPr>
              <w:t xml:space="preserve">its governing body, </w:t>
            </w:r>
            <w:r w:rsidR="000F36ED" w:rsidRPr="002E371D">
              <w:rPr>
                <w:sz w:val="18"/>
                <w:szCs w:val="18"/>
              </w:rPr>
              <w:t>which oversees the process</w:t>
            </w:r>
            <w:r w:rsidR="0039545C" w:rsidRPr="002E371D">
              <w:rPr>
                <w:sz w:val="18"/>
                <w:szCs w:val="18"/>
              </w:rPr>
              <w:t xml:space="preserve">. </w:t>
            </w:r>
          </w:p>
          <w:p w14:paraId="6D1C032C" w14:textId="14069C7C" w:rsidR="007128B0" w:rsidRPr="002E371D" w:rsidRDefault="006B4D3E" w:rsidP="002D379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lang w:eastAsia="en-US"/>
              </w:rPr>
            </w:pPr>
            <w:r>
              <w:rPr>
                <w:sz w:val="18"/>
                <w:szCs w:val="18"/>
              </w:rPr>
              <w:t>T</w:t>
            </w:r>
            <w:r w:rsidR="0039545C" w:rsidRPr="002E371D">
              <w:rPr>
                <w:sz w:val="18"/>
                <w:szCs w:val="18"/>
              </w:rPr>
              <w:t xml:space="preserve">he Conference of the Parties </w:t>
            </w:r>
            <w:r w:rsidR="000F36ED" w:rsidRPr="002E371D">
              <w:rPr>
                <w:sz w:val="18"/>
                <w:szCs w:val="18"/>
              </w:rPr>
              <w:t>may wish to</w:t>
            </w:r>
            <w:r w:rsidR="0039545C" w:rsidRPr="002E371D">
              <w:rPr>
                <w:sz w:val="18"/>
                <w:szCs w:val="18"/>
              </w:rPr>
              <w:t xml:space="preserve"> consider establishing a </w:t>
            </w:r>
            <w:r w:rsidR="0041795B">
              <w:rPr>
                <w:sz w:val="18"/>
                <w:szCs w:val="18"/>
              </w:rPr>
              <w:t>t</w:t>
            </w:r>
            <w:r w:rsidR="0039545C" w:rsidRPr="002E371D">
              <w:rPr>
                <w:sz w:val="18"/>
                <w:szCs w:val="18"/>
              </w:rPr>
              <w:t xml:space="preserve">echnical </w:t>
            </w:r>
            <w:r w:rsidR="0041795B">
              <w:rPr>
                <w:sz w:val="18"/>
                <w:szCs w:val="18"/>
              </w:rPr>
              <w:t>r</w:t>
            </w:r>
            <w:r w:rsidR="0039545C" w:rsidRPr="002E371D">
              <w:rPr>
                <w:sz w:val="18"/>
                <w:szCs w:val="18"/>
              </w:rPr>
              <w:t xml:space="preserve">eview </w:t>
            </w:r>
            <w:r w:rsidR="0000173C">
              <w:rPr>
                <w:sz w:val="18"/>
                <w:szCs w:val="18"/>
              </w:rPr>
              <w:t>body</w:t>
            </w:r>
            <w:r w:rsidR="0039545C" w:rsidRPr="002E371D">
              <w:rPr>
                <w:sz w:val="18"/>
                <w:szCs w:val="18"/>
              </w:rPr>
              <w:t xml:space="preserve"> for the specific international programme </w:t>
            </w:r>
            <w:r w:rsidR="0041795B">
              <w:rPr>
                <w:sz w:val="18"/>
                <w:szCs w:val="18"/>
              </w:rPr>
              <w:t>that</w:t>
            </w:r>
            <w:r w:rsidR="0041795B" w:rsidRPr="002E371D">
              <w:rPr>
                <w:sz w:val="18"/>
                <w:szCs w:val="18"/>
              </w:rPr>
              <w:t xml:space="preserve"> </w:t>
            </w:r>
            <w:r w:rsidR="0039545C" w:rsidRPr="002E371D">
              <w:rPr>
                <w:sz w:val="18"/>
                <w:szCs w:val="18"/>
              </w:rPr>
              <w:t>is composed of</w:t>
            </w:r>
            <w:r w:rsidR="000F36ED" w:rsidRPr="002E371D">
              <w:rPr>
                <w:sz w:val="18"/>
                <w:szCs w:val="18"/>
              </w:rPr>
              <w:t>, but not limited to,</w:t>
            </w:r>
            <w:r w:rsidR="0039545C" w:rsidRPr="002E371D">
              <w:rPr>
                <w:sz w:val="18"/>
                <w:szCs w:val="18"/>
              </w:rPr>
              <w:t xml:space="preserve"> </w:t>
            </w:r>
            <w:r w:rsidR="000F36ED" w:rsidRPr="002E371D">
              <w:rPr>
                <w:sz w:val="18"/>
                <w:szCs w:val="18"/>
              </w:rPr>
              <w:t xml:space="preserve">representatives of the </w:t>
            </w:r>
            <w:r w:rsidR="006E7B0C" w:rsidRPr="002E371D">
              <w:rPr>
                <w:sz w:val="18"/>
                <w:szCs w:val="18"/>
              </w:rPr>
              <w:t>organi</w:t>
            </w:r>
            <w:r w:rsidR="006E7B0C">
              <w:rPr>
                <w:sz w:val="18"/>
                <w:szCs w:val="18"/>
              </w:rPr>
              <w:t>z</w:t>
            </w:r>
            <w:r w:rsidR="006E7B0C" w:rsidRPr="002E371D">
              <w:rPr>
                <w:sz w:val="18"/>
                <w:szCs w:val="18"/>
              </w:rPr>
              <w:t xml:space="preserve">ations participating </w:t>
            </w:r>
            <w:r w:rsidR="006E7B0C">
              <w:rPr>
                <w:sz w:val="18"/>
                <w:szCs w:val="18"/>
              </w:rPr>
              <w:t xml:space="preserve">in the </w:t>
            </w:r>
            <w:r w:rsidR="0041795B" w:rsidRPr="002E371D">
              <w:rPr>
                <w:sz w:val="18"/>
                <w:szCs w:val="18"/>
              </w:rPr>
              <w:t>Inter-Organization Programme for the Sound Management of Chemicals</w:t>
            </w:r>
            <w:r w:rsidR="0041795B" w:rsidRPr="002E371D" w:rsidDel="0041795B">
              <w:rPr>
                <w:sz w:val="18"/>
                <w:szCs w:val="18"/>
              </w:rPr>
              <w:t xml:space="preserve"> </w:t>
            </w:r>
            <w:r w:rsidR="0039545C" w:rsidRPr="002E371D">
              <w:rPr>
                <w:sz w:val="18"/>
                <w:szCs w:val="18"/>
              </w:rPr>
              <w:t xml:space="preserve">and a representative </w:t>
            </w:r>
            <w:r w:rsidR="000F36ED" w:rsidRPr="002E371D">
              <w:rPr>
                <w:sz w:val="18"/>
                <w:szCs w:val="18"/>
              </w:rPr>
              <w:t>of the Convention secretariat, the Global Mercury partnership secretariat, the Basel, Rotterdam and Stockholm conventions secretariat and</w:t>
            </w:r>
            <w:r w:rsidR="0039545C" w:rsidRPr="002E371D">
              <w:rPr>
                <w:sz w:val="18"/>
                <w:szCs w:val="18"/>
              </w:rPr>
              <w:t xml:space="preserve"> the Global Environmental Facility. T</w:t>
            </w:r>
            <w:r w:rsidR="009A554B" w:rsidRPr="002E371D">
              <w:rPr>
                <w:sz w:val="18"/>
                <w:szCs w:val="18"/>
              </w:rPr>
              <w:t xml:space="preserve">his </w:t>
            </w:r>
            <w:r w:rsidR="0000173C">
              <w:rPr>
                <w:sz w:val="18"/>
                <w:szCs w:val="18"/>
              </w:rPr>
              <w:t>body</w:t>
            </w:r>
            <w:r w:rsidR="00F052AF" w:rsidRPr="002E371D">
              <w:rPr>
                <w:sz w:val="18"/>
                <w:szCs w:val="18"/>
              </w:rPr>
              <w:t xml:space="preserve"> would </w:t>
            </w:r>
            <w:r w:rsidR="009A554B" w:rsidRPr="002E371D">
              <w:rPr>
                <w:sz w:val="18"/>
                <w:szCs w:val="18"/>
              </w:rPr>
              <w:t>assess and appraise</w:t>
            </w:r>
            <w:r w:rsidR="00F052AF" w:rsidRPr="002E371D">
              <w:rPr>
                <w:sz w:val="18"/>
                <w:szCs w:val="18"/>
              </w:rPr>
              <w:t xml:space="preserve"> the projects</w:t>
            </w:r>
            <w:r w:rsidR="0041795B" w:rsidRPr="002E371D">
              <w:rPr>
                <w:sz w:val="18"/>
                <w:szCs w:val="18"/>
              </w:rPr>
              <w:t xml:space="preserve"> proposed</w:t>
            </w:r>
            <w:r w:rsidR="00F052AF" w:rsidRPr="002E371D">
              <w:rPr>
                <w:sz w:val="18"/>
                <w:szCs w:val="18"/>
              </w:rPr>
              <w:t xml:space="preserve"> </w:t>
            </w:r>
            <w:r w:rsidR="009A554B" w:rsidRPr="002E371D">
              <w:rPr>
                <w:sz w:val="18"/>
                <w:szCs w:val="18"/>
              </w:rPr>
              <w:t xml:space="preserve">and make recommendations for approval to the </w:t>
            </w:r>
            <w:r w:rsidR="00F40F4B">
              <w:rPr>
                <w:sz w:val="18"/>
                <w:szCs w:val="18"/>
              </w:rPr>
              <w:t>g</w:t>
            </w:r>
            <w:r w:rsidR="009A554B" w:rsidRPr="002E371D">
              <w:rPr>
                <w:sz w:val="18"/>
                <w:szCs w:val="18"/>
              </w:rPr>
              <w:t xml:space="preserve">overning </w:t>
            </w:r>
            <w:r w:rsidR="00F40F4B">
              <w:rPr>
                <w:sz w:val="18"/>
                <w:szCs w:val="18"/>
              </w:rPr>
              <w:t>b</w:t>
            </w:r>
            <w:r w:rsidR="009A554B" w:rsidRPr="002E371D">
              <w:rPr>
                <w:sz w:val="18"/>
                <w:szCs w:val="18"/>
              </w:rPr>
              <w:t>ody</w:t>
            </w:r>
            <w:r w:rsidR="00D434F0">
              <w:rPr>
                <w:sz w:val="18"/>
                <w:szCs w:val="18"/>
              </w:rPr>
              <w:t xml:space="preserve"> or </w:t>
            </w:r>
            <w:r w:rsidR="00F40F4B">
              <w:rPr>
                <w:sz w:val="18"/>
                <w:szCs w:val="18"/>
              </w:rPr>
              <w:t>e</w:t>
            </w:r>
            <w:r w:rsidR="00F052AF" w:rsidRPr="002E371D">
              <w:rPr>
                <w:sz w:val="18"/>
                <w:szCs w:val="18"/>
              </w:rPr>
              <w:t xml:space="preserve">xecutive </w:t>
            </w:r>
            <w:r w:rsidR="00F40F4B">
              <w:rPr>
                <w:sz w:val="18"/>
                <w:szCs w:val="18"/>
              </w:rPr>
              <w:t>b</w:t>
            </w:r>
            <w:r w:rsidR="00F052AF" w:rsidRPr="002E371D">
              <w:rPr>
                <w:sz w:val="18"/>
                <w:szCs w:val="18"/>
              </w:rPr>
              <w:t>oard</w:t>
            </w:r>
            <w:r w:rsidR="0041795B">
              <w:rPr>
                <w:sz w:val="18"/>
                <w:szCs w:val="18"/>
              </w:rPr>
              <w:t xml:space="preserve">, which </w:t>
            </w:r>
            <w:r w:rsidR="009A554B" w:rsidRPr="002E371D">
              <w:rPr>
                <w:sz w:val="18"/>
                <w:szCs w:val="18"/>
              </w:rPr>
              <w:t xml:space="preserve">would approve the successful projects. </w:t>
            </w:r>
          </w:p>
        </w:tc>
      </w:tr>
      <w:tr w:rsidR="006811A4" w:rsidRPr="002E371D" w14:paraId="3F1CE227" w14:textId="77777777" w:rsidTr="006F65A4">
        <w:tc>
          <w:tcPr>
            <w:tcW w:w="8526" w:type="dxa"/>
            <w:shd w:val="clear" w:color="auto" w:fill="auto"/>
          </w:tcPr>
          <w:p w14:paraId="14A2B5D6" w14:textId="77777777" w:rsidR="006811A4" w:rsidRDefault="006811A4" w:rsidP="0000173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rPr>
            </w:pPr>
            <w:r>
              <w:rPr>
                <w:b/>
                <w:bCs/>
                <w:sz w:val="18"/>
                <w:szCs w:val="18"/>
              </w:rPr>
              <w:t>Internal technical review f</w:t>
            </w:r>
            <w:r w:rsidRPr="0000173C">
              <w:rPr>
                <w:b/>
                <w:bCs/>
                <w:sz w:val="18"/>
                <w:szCs w:val="18"/>
              </w:rPr>
              <w:t>u</w:t>
            </w:r>
            <w:r>
              <w:rPr>
                <w:b/>
                <w:bCs/>
                <w:sz w:val="18"/>
                <w:szCs w:val="18"/>
              </w:rPr>
              <w:t>nction: Convention secretariat r</w:t>
            </w:r>
            <w:r w:rsidRPr="0000173C">
              <w:rPr>
                <w:b/>
                <w:bCs/>
                <w:sz w:val="18"/>
                <w:szCs w:val="18"/>
              </w:rPr>
              <w:t>eview</w:t>
            </w:r>
          </w:p>
          <w:p w14:paraId="2F287BAA" w14:textId="24B6697A" w:rsidR="006811A4" w:rsidRPr="002E371D" w:rsidRDefault="006811A4" w:rsidP="00ED3E70">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rPr>
            </w:pPr>
            <w:r w:rsidRPr="006811A4">
              <w:rPr>
                <w:sz w:val="18"/>
                <w:szCs w:val="18"/>
              </w:rPr>
              <w:t xml:space="preserve">The Conference of the Parties may wish to consider the model </w:t>
            </w:r>
            <w:r w:rsidR="00DE6006">
              <w:rPr>
                <w:sz w:val="18"/>
                <w:szCs w:val="18"/>
              </w:rPr>
              <w:t xml:space="preserve">that was </w:t>
            </w:r>
            <w:r w:rsidRPr="006811A4">
              <w:rPr>
                <w:sz w:val="18"/>
                <w:szCs w:val="18"/>
              </w:rPr>
              <w:t xml:space="preserve">used </w:t>
            </w:r>
            <w:r w:rsidR="00DE6006">
              <w:rPr>
                <w:sz w:val="18"/>
                <w:szCs w:val="18"/>
              </w:rPr>
              <w:t xml:space="preserve">initially </w:t>
            </w:r>
            <w:r w:rsidR="00ED3E70">
              <w:rPr>
                <w:sz w:val="18"/>
                <w:szCs w:val="18"/>
              </w:rPr>
              <w:t xml:space="preserve">by </w:t>
            </w:r>
            <w:r w:rsidR="00DE6006">
              <w:rPr>
                <w:sz w:val="18"/>
                <w:szCs w:val="18"/>
              </w:rPr>
              <w:t xml:space="preserve">the Basel Convention </w:t>
            </w:r>
            <w:r w:rsidRPr="006811A4">
              <w:rPr>
                <w:sz w:val="18"/>
                <w:szCs w:val="18"/>
              </w:rPr>
              <w:t>to support technical assistance</w:t>
            </w:r>
            <w:r w:rsidR="00BD1743">
              <w:rPr>
                <w:sz w:val="18"/>
                <w:szCs w:val="18"/>
              </w:rPr>
              <w:t xml:space="preserve">. </w:t>
            </w:r>
            <w:r w:rsidRPr="006811A4">
              <w:rPr>
                <w:sz w:val="18"/>
                <w:szCs w:val="18"/>
              </w:rPr>
              <w:t>If this model were adapted for us</w:t>
            </w:r>
            <w:r w:rsidR="00DE6006">
              <w:rPr>
                <w:sz w:val="18"/>
                <w:szCs w:val="18"/>
              </w:rPr>
              <w:t>e</w:t>
            </w:r>
            <w:r w:rsidRPr="006811A4">
              <w:rPr>
                <w:sz w:val="18"/>
                <w:szCs w:val="18"/>
              </w:rPr>
              <w:t xml:space="preserve"> in connection with the </w:t>
            </w:r>
            <w:r w:rsidR="00DE6006">
              <w:rPr>
                <w:sz w:val="18"/>
                <w:szCs w:val="18"/>
              </w:rPr>
              <w:t>specific</w:t>
            </w:r>
            <w:r w:rsidRPr="006811A4">
              <w:rPr>
                <w:sz w:val="18"/>
                <w:szCs w:val="18"/>
              </w:rPr>
              <w:t xml:space="preserve"> international programme </w:t>
            </w:r>
            <w:r w:rsidR="00DE6006">
              <w:rPr>
                <w:sz w:val="18"/>
                <w:szCs w:val="18"/>
              </w:rPr>
              <w:t xml:space="preserve">for the Minamata Convention, </w:t>
            </w:r>
            <w:r w:rsidRPr="006811A4">
              <w:rPr>
                <w:sz w:val="18"/>
                <w:szCs w:val="18"/>
              </w:rPr>
              <w:t>the secretariat of the specific international programme would be housed within the secretariat of the Minamata Convention and, drawing on relevant staff from the broader convention secretariat, would itself be responsible for all technical review functions, from application review to project appraisal to project approval. It would do so directly for the Conference of Parties, as its governing body.</w:t>
            </w:r>
          </w:p>
        </w:tc>
      </w:tr>
    </w:tbl>
    <w:p w14:paraId="0AC3251F" w14:textId="77777777" w:rsidR="004D1BF6" w:rsidRDefault="004D1BF6"/>
    <w:tbl>
      <w:tblPr>
        <w:tblStyle w:val="TableGrid"/>
        <w:tblW w:w="8487" w:type="dxa"/>
        <w:tblInd w:w="1260" w:type="dxa"/>
        <w:tblLook w:val="04A0" w:firstRow="1" w:lastRow="0" w:firstColumn="1" w:lastColumn="0" w:noHBand="0" w:noVBand="1"/>
      </w:tblPr>
      <w:tblGrid>
        <w:gridCol w:w="4225"/>
        <w:gridCol w:w="4262"/>
      </w:tblGrid>
      <w:tr w:rsidR="00346878" w:rsidRPr="00DA5F41" w14:paraId="58EFF6BE" w14:textId="77777777" w:rsidTr="006F65A4">
        <w:tc>
          <w:tcPr>
            <w:tcW w:w="8487" w:type="dxa"/>
            <w:gridSpan w:val="2"/>
            <w:shd w:val="clear" w:color="auto" w:fill="D9D9D9" w:themeFill="background1" w:themeFillShade="D9"/>
          </w:tcPr>
          <w:p w14:paraId="6745E894" w14:textId="3FFC2C74" w:rsidR="00346878" w:rsidRPr="00DA5F41" w:rsidRDefault="0083302D"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rPr>
            </w:pPr>
            <w:r w:rsidRPr="00DA5F41">
              <w:rPr>
                <w:b/>
                <w:bCs/>
                <w:sz w:val="18"/>
                <w:szCs w:val="18"/>
              </w:rPr>
              <w:t>4</w:t>
            </w:r>
            <w:r w:rsidR="00346878" w:rsidRPr="00DA5F41">
              <w:rPr>
                <w:b/>
                <w:bCs/>
                <w:sz w:val="18"/>
                <w:szCs w:val="18"/>
              </w:rPr>
              <w:t xml:space="preserve">. Financial </w:t>
            </w:r>
            <w:r w:rsidR="00715731">
              <w:rPr>
                <w:b/>
                <w:bCs/>
                <w:sz w:val="18"/>
                <w:szCs w:val="18"/>
              </w:rPr>
              <w:t>c</w:t>
            </w:r>
            <w:r w:rsidR="00020EEC" w:rsidRPr="00DA5F41">
              <w:rPr>
                <w:b/>
                <w:bCs/>
                <w:sz w:val="18"/>
                <w:szCs w:val="18"/>
              </w:rPr>
              <w:t xml:space="preserve">onsiderations and </w:t>
            </w:r>
            <w:r w:rsidR="00715731">
              <w:rPr>
                <w:b/>
                <w:bCs/>
                <w:sz w:val="18"/>
                <w:szCs w:val="18"/>
              </w:rPr>
              <w:t>i</w:t>
            </w:r>
            <w:r w:rsidR="00346878" w:rsidRPr="00DA5F41">
              <w:rPr>
                <w:b/>
                <w:bCs/>
                <w:sz w:val="18"/>
                <w:szCs w:val="18"/>
              </w:rPr>
              <w:t>mplications</w:t>
            </w:r>
            <w:r w:rsidR="00ED3E70">
              <w:rPr>
                <w:b/>
                <w:bCs/>
                <w:sz w:val="18"/>
                <w:szCs w:val="18"/>
              </w:rPr>
              <w:t xml:space="preserve"> </w:t>
            </w:r>
          </w:p>
          <w:p w14:paraId="72220FD6" w14:textId="62B649E2" w:rsidR="007B7696" w:rsidRPr="00DA5F41" w:rsidRDefault="007B7924"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rPr>
            </w:pPr>
            <w:r w:rsidRPr="00DA5F41">
              <w:rPr>
                <w:bCs/>
                <w:sz w:val="18"/>
                <w:szCs w:val="18"/>
              </w:rPr>
              <w:t xml:space="preserve">According to the </w:t>
            </w:r>
            <w:r w:rsidR="00BB3D5C">
              <w:rPr>
                <w:bCs/>
                <w:sz w:val="18"/>
                <w:szCs w:val="18"/>
              </w:rPr>
              <w:t xml:space="preserve">above-mentioned </w:t>
            </w:r>
            <w:r w:rsidRPr="00DA5F41">
              <w:rPr>
                <w:bCs/>
                <w:sz w:val="18"/>
                <w:szCs w:val="18"/>
              </w:rPr>
              <w:t xml:space="preserve">draft decision on the </w:t>
            </w:r>
            <w:r w:rsidR="00681AC0" w:rsidRPr="00DA5F41">
              <w:rPr>
                <w:bCs/>
                <w:sz w:val="18"/>
                <w:szCs w:val="18"/>
              </w:rPr>
              <w:t>specific international programme</w:t>
            </w:r>
            <w:r w:rsidR="00715731">
              <w:rPr>
                <w:bCs/>
                <w:sz w:val="18"/>
                <w:szCs w:val="18"/>
              </w:rPr>
              <w:t>,</w:t>
            </w:r>
            <w:r w:rsidRPr="00DA5F41">
              <w:rPr>
                <w:bCs/>
                <w:sz w:val="18"/>
                <w:szCs w:val="18"/>
              </w:rPr>
              <w:t xml:space="preserve"> </w:t>
            </w:r>
            <w:r w:rsidR="00C832CE" w:rsidRPr="00DA5F41">
              <w:rPr>
                <w:bCs/>
                <w:sz w:val="18"/>
                <w:szCs w:val="18"/>
              </w:rPr>
              <w:t>t</w:t>
            </w:r>
            <w:r w:rsidR="00F809C0" w:rsidRPr="00DA5F41">
              <w:rPr>
                <w:bCs/>
                <w:sz w:val="18"/>
                <w:szCs w:val="18"/>
              </w:rPr>
              <w:t xml:space="preserve">he </w:t>
            </w:r>
            <w:r w:rsidR="00C832CE" w:rsidRPr="00DA5F41">
              <w:rPr>
                <w:bCs/>
                <w:sz w:val="18"/>
                <w:szCs w:val="18"/>
              </w:rPr>
              <w:t>“</w:t>
            </w:r>
            <w:r w:rsidR="00F809C0" w:rsidRPr="00DA5F41">
              <w:rPr>
                <w:bCs/>
                <w:sz w:val="18"/>
                <w:szCs w:val="18"/>
              </w:rPr>
              <w:t>Executive Director of UNEP will deliver administrative support to the programme, through the allocatio</w:t>
            </w:r>
            <w:r w:rsidRPr="00DA5F41">
              <w:rPr>
                <w:bCs/>
                <w:sz w:val="18"/>
                <w:szCs w:val="18"/>
              </w:rPr>
              <w:t>n of human and other resou</w:t>
            </w:r>
            <w:r w:rsidR="007B529C" w:rsidRPr="00DA5F41">
              <w:rPr>
                <w:bCs/>
                <w:sz w:val="18"/>
                <w:szCs w:val="18"/>
              </w:rPr>
              <w:t>rces</w:t>
            </w:r>
            <w:r w:rsidR="00F809C0" w:rsidRPr="00DA5F41">
              <w:rPr>
                <w:bCs/>
                <w:sz w:val="18"/>
                <w:szCs w:val="18"/>
              </w:rPr>
              <w:t>”</w:t>
            </w:r>
            <w:r w:rsidR="007B529C" w:rsidRPr="00DA5F41">
              <w:rPr>
                <w:bCs/>
                <w:sz w:val="18"/>
                <w:szCs w:val="18"/>
              </w:rPr>
              <w:t>.</w:t>
            </w:r>
            <w:r w:rsidRPr="00DA5F41">
              <w:rPr>
                <w:bCs/>
                <w:sz w:val="18"/>
                <w:szCs w:val="18"/>
              </w:rPr>
              <w:t xml:space="preserve"> </w:t>
            </w:r>
          </w:p>
          <w:p w14:paraId="1EE11E7D" w14:textId="4419114E" w:rsidR="00346878" w:rsidRPr="00DA5F41" w:rsidRDefault="007B7924"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
                <w:bCs/>
                <w:sz w:val="18"/>
                <w:szCs w:val="18"/>
                <w:lang w:eastAsia="en-US"/>
              </w:rPr>
            </w:pPr>
            <w:r w:rsidRPr="00DA5F41">
              <w:rPr>
                <w:bCs/>
                <w:sz w:val="18"/>
                <w:szCs w:val="18"/>
              </w:rPr>
              <w:t xml:space="preserve">Regardless of </w:t>
            </w:r>
            <w:r w:rsidR="00715731">
              <w:rPr>
                <w:bCs/>
                <w:sz w:val="18"/>
                <w:szCs w:val="18"/>
              </w:rPr>
              <w:t>the location of</w:t>
            </w:r>
            <w:r w:rsidR="00715731" w:rsidRPr="00DA5F41">
              <w:rPr>
                <w:bCs/>
                <w:sz w:val="18"/>
                <w:szCs w:val="18"/>
              </w:rPr>
              <w:t xml:space="preserve"> </w:t>
            </w:r>
            <w:r w:rsidRPr="00DA5F41">
              <w:rPr>
                <w:bCs/>
                <w:sz w:val="18"/>
                <w:szCs w:val="18"/>
              </w:rPr>
              <w:t xml:space="preserve">the </w:t>
            </w:r>
            <w:r w:rsidR="0083302D" w:rsidRPr="00DA5F41">
              <w:rPr>
                <w:bCs/>
                <w:sz w:val="18"/>
                <w:szCs w:val="18"/>
              </w:rPr>
              <w:t>secretariat</w:t>
            </w:r>
            <w:r w:rsidRPr="00DA5F41">
              <w:rPr>
                <w:bCs/>
                <w:sz w:val="18"/>
                <w:szCs w:val="18"/>
              </w:rPr>
              <w:t xml:space="preserve">, the programme support costs generated by the </w:t>
            </w:r>
            <w:r w:rsidR="0083302D" w:rsidRPr="00DA5F41">
              <w:rPr>
                <w:bCs/>
                <w:sz w:val="18"/>
                <w:szCs w:val="18"/>
              </w:rPr>
              <w:t>specific international programme</w:t>
            </w:r>
            <w:r w:rsidR="00715731">
              <w:rPr>
                <w:bCs/>
                <w:sz w:val="18"/>
                <w:szCs w:val="18"/>
              </w:rPr>
              <w:t>,</w:t>
            </w:r>
            <w:r w:rsidRPr="00DA5F41">
              <w:rPr>
                <w:bCs/>
                <w:sz w:val="18"/>
                <w:szCs w:val="18"/>
              </w:rPr>
              <w:t xml:space="preserve"> and other funds raised as necessary</w:t>
            </w:r>
            <w:r w:rsidR="00D434F0">
              <w:rPr>
                <w:bCs/>
                <w:sz w:val="18"/>
                <w:szCs w:val="18"/>
              </w:rPr>
              <w:t xml:space="preserve"> or </w:t>
            </w:r>
            <w:r w:rsidRPr="00DA5F41">
              <w:rPr>
                <w:bCs/>
                <w:sz w:val="18"/>
                <w:szCs w:val="18"/>
              </w:rPr>
              <w:t>appropriate</w:t>
            </w:r>
            <w:r w:rsidR="00715731">
              <w:rPr>
                <w:bCs/>
                <w:sz w:val="18"/>
                <w:szCs w:val="18"/>
              </w:rPr>
              <w:t>,</w:t>
            </w:r>
            <w:r w:rsidRPr="00DA5F41">
              <w:rPr>
                <w:bCs/>
                <w:sz w:val="18"/>
                <w:szCs w:val="18"/>
              </w:rPr>
              <w:t xml:space="preserve"> would </w:t>
            </w:r>
            <w:r w:rsidR="0083302D" w:rsidRPr="00DA5F41">
              <w:rPr>
                <w:bCs/>
                <w:sz w:val="18"/>
                <w:szCs w:val="18"/>
              </w:rPr>
              <w:t>contribute</w:t>
            </w:r>
            <w:r w:rsidRPr="00DA5F41">
              <w:rPr>
                <w:bCs/>
                <w:sz w:val="18"/>
                <w:szCs w:val="18"/>
              </w:rPr>
              <w:t xml:space="preserve"> to fund</w:t>
            </w:r>
            <w:r w:rsidR="00715731">
              <w:rPr>
                <w:bCs/>
                <w:sz w:val="18"/>
                <w:szCs w:val="18"/>
              </w:rPr>
              <w:t>ing</w:t>
            </w:r>
            <w:r w:rsidRPr="00DA5F41">
              <w:rPr>
                <w:bCs/>
                <w:sz w:val="18"/>
                <w:szCs w:val="18"/>
              </w:rPr>
              <w:t xml:space="preserve"> the administrative costs of the programme</w:t>
            </w:r>
            <w:r w:rsidR="0083302D" w:rsidRPr="00DA5F41">
              <w:rPr>
                <w:bCs/>
                <w:sz w:val="18"/>
                <w:szCs w:val="18"/>
              </w:rPr>
              <w:t xml:space="preserve"> </w:t>
            </w:r>
            <w:r w:rsidR="00715731">
              <w:rPr>
                <w:bCs/>
                <w:sz w:val="18"/>
                <w:szCs w:val="18"/>
              </w:rPr>
              <w:t>pursuant to</w:t>
            </w:r>
            <w:r w:rsidR="0083302D" w:rsidRPr="00DA5F41">
              <w:rPr>
                <w:bCs/>
                <w:sz w:val="18"/>
                <w:szCs w:val="18"/>
              </w:rPr>
              <w:t xml:space="preserve"> </w:t>
            </w:r>
            <w:r w:rsidR="004D1BF6" w:rsidRPr="00DA5F41">
              <w:rPr>
                <w:bCs/>
                <w:sz w:val="18"/>
                <w:szCs w:val="18"/>
              </w:rPr>
              <w:t>existing</w:t>
            </w:r>
            <w:r w:rsidR="0083302D" w:rsidRPr="00DA5F41">
              <w:rPr>
                <w:bCs/>
                <w:sz w:val="18"/>
                <w:szCs w:val="18"/>
              </w:rPr>
              <w:t xml:space="preserve"> arrangements</w:t>
            </w:r>
            <w:r w:rsidRPr="00DA5F41">
              <w:rPr>
                <w:bCs/>
                <w:sz w:val="18"/>
                <w:szCs w:val="18"/>
              </w:rPr>
              <w:t xml:space="preserve">. </w:t>
            </w:r>
            <w:r w:rsidR="007B7696" w:rsidRPr="00DA5F41">
              <w:rPr>
                <w:bCs/>
                <w:sz w:val="18"/>
                <w:szCs w:val="18"/>
              </w:rPr>
              <w:t xml:space="preserve">The United Nations fee charged to host and administer trust funds is 13 per cent of the expenditure of the trust fund. </w:t>
            </w:r>
          </w:p>
          <w:p w14:paraId="77537D04" w14:textId="5B07CCE6" w:rsidR="007B7696" w:rsidRPr="00DA5F41" w:rsidRDefault="007B7696" w:rsidP="006F65A4">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40"/>
              <w:rPr>
                <w:b/>
                <w:bCs/>
                <w:sz w:val="18"/>
                <w:szCs w:val="18"/>
                <w:lang w:eastAsia="en-US"/>
              </w:rPr>
            </w:pPr>
            <w:r w:rsidRPr="00DA5F41">
              <w:rPr>
                <w:bCs/>
                <w:sz w:val="18"/>
                <w:szCs w:val="18"/>
              </w:rPr>
              <w:t xml:space="preserve">The staffing complement for the secretariat </w:t>
            </w:r>
            <w:r w:rsidR="00D434F0">
              <w:rPr>
                <w:bCs/>
                <w:sz w:val="18"/>
                <w:szCs w:val="18"/>
              </w:rPr>
              <w:t xml:space="preserve">if it were located </w:t>
            </w:r>
            <w:r w:rsidRPr="00DA5F41">
              <w:rPr>
                <w:bCs/>
                <w:sz w:val="18"/>
                <w:szCs w:val="18"/>
              </w:rPr>
              <w:t xml:space="preserve">in the Branch is likely to be similar to </w:t>
            </w:r>
            <w:r w:rsidR="00D434F0">
              <w:rPr>
                <w:bCs/>
                <w:sz w:val="18"/>
                <w:szCs w:val="18"/>
              </w:rPr>
              <w:t>that</w:t>
            </w:r>
            <w:r w:rsidR="00396989">
              <w:rPr>
                <w:bCs/>
                <w:sz w:val="18"/>
                <w:szCs w:val="18"/>
              </w:rPr>
              <w:t xml:space="preserve"> </w:t>
            </w:r>
            <w:r w:rsidRPr="00DA5F41">
              <w:rPr>
                <w:bCs/>
                <w:sz w:val="18"/>
                <w:szCs w:val="18"/>
              </w:rPr>
              <w:t xml:space="preserve">required </w:t>
            </w:r>
            <w:r w:rsidR="003B5C60">
              <w:rPr>
                <w:bCs/>
                <w:sz w:val="18"/>
                <w:szCs w:val="18"/>
              </w:rPr>
              <w:t>were</w:t>
            </w:r>
            <w:r w:rsidR="003B5C60" w:rsidRPr="00DA5F41">
              <w:rPr>
                <w:bCs/>
                <w:sz w:val="18"/>
                <w:szCs w:val="18"/>
              </w:rPr>
              <w:t xml:space="preserve"> </w:t>
            </w:r>
            <w:r w:rsidRPr="00DA5F41">
              <w:rPr>
                <w:bCs/>
                <w:sz w:val="18"/>
                <w:szCs w:val="18"/>
              </w:rPr>
              <w:t xml:space="preserve">the </w:t>
            </w:r>
            <w:r w:rsidR="0083302D" w:rsidRPr="00DA5F41">
              <w:rPr>
                <w:bCs/>
                <w:sz w:val="18"/>
                <w:szCs w:val="18"/>
              </w:rPr>
              <w:t>secretariat</w:t>
            </w:r>
            <w:r w:rsidRPr="00DA5F41">
              <w:rPr>
                <w:bCs/>
                <w:sz w:val="18"/>
                <w:szCs w:val="18"/>
              </w:rPr>
              <w:t xml:space="preserve"> located in the Convention secretariat. </w:t>
            </w:r>
            <w:r w:rsidR="004D1BF6" w:rsidRPr="00DA5F41">
              <w:rPr>
                <w:bCs/>
                <w:sz w:val="18"/>
                <w:szCs w:val="18"/>
              </w:rPr>
              <w:t>It is expected</w:t>
            </w:r>
            <w:r w:rsidR="00715731">
              <w:rPr>
                <w:bCs/>
                <w:sz w:val="18"/>
                <w:szCs w:val="18"/>
              </w:rPr>
              <w:t xml:space="preserve"> that, regardless of location,</w:t>
            </w:r>
            <w:r w:rsidR="004D1BF6" w:rsidRPr="00DA5F41">
              <w:rPr>
                <w:bCs/>
                <w:sz w:val="18"/>
                <w:szCs w:val="18"/>
              </w:rPr>
              <w:t xml:space="preserve"> </w:t>
            </w:r>
            <w:r w:rsidR="00715731">
              <w:rPr>
                <w:bCs/>
                <w:sz w:val="18"/>
                <w:szCs w:val="18"/>
              </w:rPr>
              <w:t>two</w:t>
            </w:r>
            <w:r w:rsidRPr="00DA5F41">
              <w:rPr>
                <w:bCs/>
                <w:sz w:val="18"/>
                <w:szCs w:val="18"/>
              </w:rPr>
              <w:t xml:space="preserve"> f</w:t>
            </w:r>
            <w:r w:rsidR="002D317E" w:rsidRPr="00DA5F41">
              <w:rPr>
                <w:bCs/>
                <w:sz w:val="18"/>
                <w:szCs w:val="18"/>
              </w:rPr>
              <w:t>ull-time programme officer</w:t>
            </w:r>
            <w:r w:rsidR="0083302D" w:rsidRPr="00DA5F41">
              <w:rPr>
                <w:bCs/>
                <w:sz w:val="18"/>
                <w:szCs w:val="18"/>
              </w:rPr>
              <w:t>s</w:t>
            </w:r>
            <w:r w:rsidR="00715731" w:rsidRPr="00DA5F41">
              <w:rPr>
                <w:bCs/>
                <w:sz w:val="18"/>
                <w:szCs w:val="18"/>
              </w:rPr>
              <w:t xml:space="preserve"> would be required</w:t>
            </w:r>
            <w:r w:rsidR="002D317E" w:rsidRPr="00DA5F41">
              <w:rPr>
                <w:bCs/>
                <w:sz w:val="18"/>
                <w:szCs w:val="18"/>
              </w:rPr>
              <w:t xml:space="preserve">, </w:t>
            </w:r>
            <w:r w:rsidR="00715731">
              <w:rPr>
                <w:bCs/>
                <w:sz w:val="18"/>
                <w:szCs w:val="18"/>
              </w:rPr>
              <w:t xml:space="preserve">along with </w:t>
            </w:r>
            <w:r w:rsidR="002D317E" w:rsidRPr="00DA5F41">
              <w:rPr>
                <w:bCs/>
                <w:sz w:val="18"/>
                <w:szCs w:val="18"/>
              </w:rPr>
              <w:t>50</w:t>
            </w:r>
            <w:r w:rsidR="00715731">
              <w:rPr>
                <w:bCs/>
                <w:sz w:val="18"/>
                <w:szCs w:val="18"/>
              </w:rPr>
              <w:t xml:space="preserve"> per cent</w:t>
            </w:r>
            <w:r w:rsidRPr="00DA5F41">
              <w:rPr>
                <w:bCs/>
                <w:sz w:val="18"/>
                <w:szCs w:val="18"/>
              </w:rPr>
              <w:t xml:space="preserve"> </w:t>
            </w:r>
            <w:r w:rsidR="006255E0" w:rsidRPr="00DA5F41">
              <w:rPr>
                <w:bCs/>
                <w:sz w:val="18"/>
                <w:szCs w:val="18"/>
              </w:rPr>
              <w:t>of</w:t>
            </w:r>
            <w:r w:rsidR="00715731">
              <w:rPr>
                <w:bCs/>
                <w:sz w:val="18"/>
                <w:szCs w:val="18"/>
              </w:rPr>
              <w:t xml:space="preserve"> the time of</w:t>
            </w:r>
            <w:r w:rsidR="006255E0" w:rsidRPr="00DA5F41">
              <w:rPr>
                <w:bCs/>
                <w:sz w:val="18"/>
                <w:szCs w:val="18"/>
              </w:rPr>
              <w:t xml:space="preserve"> a </w:t>
            </w:r>
            <w:r w:rsidRPr="00DA5F41">
              <w:rPr>
                <w:bCs/>
                <w:sz w:val="18"/>
                <w:szCs w:val="18"/>
              </w:rPr>
              <w:t>fund management officer and 50</w:t>
            </w:r>
            <w:r w:rsidR="00715731">
              <w:rPr>
                <w:bCs/>
                <w:sz w:val="18"/>
                <w:szCs w:val="18"/>
              </w:rPr>
              <w:t xml:space="preserve"> per cent</w:t>
            </w:r>
            <w:r w:rsidRPr="00DA5F41">
              <w:rPr>
                <w:bCs/>
                <w:sz w:val="18"/>
                <w:szCs w:val="18"/>
              </w:rPr>
              <w:t xml:space="preserve"> </w:t>
            </w:r>
            <w:r w:rsidR="006255E0" w:rsidRPr="00DA5F41">
              <w:rPr>
                <w:bCs/>
                <w:sz w:val="18"/>
                <w:szCs w:val="18"/>
              </w:rPr>
              <w:t>of</w:t>
            </w:r>
            <w:r w:rsidR="00715731">
              <w:rPr>
                <w:bCs/>
                <w:sz w:val="18"/>
                <w:szCs w:val="18"/>
              </w:rPr>
              <w:t xml:space="preserve"> the time of </w:t>
            </w:r>
            <w:r w:rsidR="00396989">
              <w:rPr>
                <w:bCs/>
                <w:sz w:val="18"/>
                <w:szCs w:val="18"/>
              </w:rPr>
              <w:t>a</w:t>
            </w:r>
            <w:r w:rsidR="006255E0" w:rsidRPr="00DA5F41">
              <w:rPr>
                <w:bCs/>
                <w:sz w:val="18"/>
                <w:szCs w:val="18"/>
              </w:rPr>
              <w:t xml:space="preserve"> </w:t>
            </w:r>
            <w:r w:rsidR="00B84355" w:rsidRPr="00DA5F41">
              <w:rPr>
                <w:bCs/>
                <w:sz w:val="18"/>
                <w:szCs w:val="18"/>
              </w:rPr>
              <w:t>support staff</w:t>
            </w:r>
            <w:r w:rsidR="00715731">
              <w:rPr>
                <w:bCs/>
                <w:sz w:val="18"/>
                <w:szCs w:val="18"/>
              </w:rPr>
              <w:t xml:space="preserve"> member</w:t>
            </w:r>
            <w:r w:rsidRPr="00DA5F41">
              <w:rPr>
                <w:bCs/>
                <w:sz w:val="18"/>
                <w:szCs w:val="18"/>
              </w:rPr>
              <w:t xml:space="preserve">. </w:t>
            </w:r>
          </w:p>
        </w:tc>
      </w:tr>
      <w:tr w:rsidR="00396989" w:rsidRPr="00DA5F41" w14:paraId="628699FA" w14:textId="77777777" w:rsidTr="0000565C">
        <w:tc>
          <w:tcPr>
            <w:tcW w:w="4225" w:type="dxa"/>
            <w:vAlign w:val="center"/>
          </w:tcPr>
          <w:p w14:paraId="33B3AF90" w14:textId="60CE07AD" w:rsidR="00396989" w:rsidRPr="0029126E" w:rsidRDefault="00396989"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i/>
                <w:iCs/>
                <w:sz w:val="18"/>
                <w:szCs w:val="18"/>
              </w:rPr>
            </w:pPr>
            <w:r w:rsidRPr="006F65A4">
              <w:rPr>
                <w:bCs/>
                <w:i/>
                <w:iCs/>
                <w:sz w:val="18"/>
                <w:szCs w:val="18"/>
              </w:rPr>
              <w:t>Branch</w:t>
            </w:r>
          </w:p>
        </w:tc>
        <w:tc>
          <w:tcPr>
            <w:tcW w:w="4262" w:type="dxa"/>
            <w:vAlign w:val="center"/>
          </w:tcPr>
          <w:p w14:paraId="0F62F611" w14:textId="5B095B5A" w:rsidR="00396989" w:rsidRPr="0029126E" w:rsidRDefault="00396989"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6F65A4">
              <w:rPr>
                <w:bCs/>
                <w:i/>
                <w:iCs/>
                <w:sz w:val="18"/>
                <w:szCs w:val="18"/>
              </w:rPr>
              <w:t>Convention</w:t>
            </w:r>
            <w:r w:rsidRPr="0029126E">
              <w:rPr>
                <w:i/>
                <w:iCs/>
                <w:sz w:val="18"/>
                <w:szCs w:val="18"/>
              </w:rPr>
              <w:t xml:space="preserve"> secretariat</w:t>
            </w:r>
          </w:p>
        </w:tc>
      </w:tr>
      <w:tr w:rsidR="001F7B7B" w:rsidRPr="00DA5F41" w14:paraId="49FF74A0" w14:textId="77777777" w:rsidTr="006F65A4">
        <w:tc>
          <w:tcPr>
            <w:tcW w:w="4225" w:type="dxa"/>
          </w:tcPr>
          <w:p w14:paraId="29880CC6" w14:textId="5A9389CC" w:rsidR="00F809C0" w:rsidRPr="0029126E" w:rsidRDefault="007B769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sz w:val="18"/>
                <w:szCs w:val="18"/>
                <w:lang w:eastAsia="en-US"/>
              </w:rPr>
            </w:pPr>
            <w:r w:rsidRPr="00396989">
              <w:rPr>
                <w:sz w:val="18"/>
                <w:szCs w:val="18"/>
              </w:rPr>
              <w:t xml:space="preserve">The Branch has </w:t>
            </w:r>
            <w:r w:rsidR="00F811DB" w:rsidRPr="00396989">
              <w:rPr>
                <w:sz w:val="18"/>
                <w:szCs w:val="18"/>
              </w:rPr>
              <w:t>accumulated</w:t>
            </w:r>
            <w:r w:rsidRPr="00396989">
              <w:rPr>
                <w:sz w:val="18"/>
                <w:szCs w:val="18"/>
              </w:rPr>
              <w:t xml:space="preserve"> experience through the Quick Start Programme and the </w:t>
            </w:r>
            <w:r w:rsidR="009E3138">
              <w:rPr>
                <w:sz w:val="18"/>
                <w:szCs w:val="18"/>
              </w:rPr>
              <w:t>S</w:t>
            </w:r>
            <w:r w:rsidRPr="00396989">
              <w:rPr>
                <w:sz w:val="18"/>
                <w:szCs w:val="18"/>
              </w:rPr>
              <w:t xml:space="preserve">pecial </w:t>
            </w:r>
            <w:r w:rsidR="009E3138">
              <w:rPr>
                <w:sz w:val="18"/>
                <w:szCs w:val="18"/>
              </w:rPr>
              <w:t>P</w:t>
            </w:r>
            <w:r w:rsidRPr="00396989">
              <w:rPr>
                <w:sz w:val="18"/>
                <w:szCs w:val="18"/>
              </w:rPr>
              <w:t xml:space="preserve">rogramme </w:t>
            </w:r>
            <w:r w:rsidR="00893431">
              <w:rPr>
                <w:sz w:val="18"/>
                <w:szCs w:val="18"/>
              </w:rPr>
              <w:t xml:space="preserve">to support </w:t>
            </w:r>
            <w:r w:rsidR="00ED3E70">
              <w:rPr>
                <w:sz w:val="18"/>
                <w:szCs w:val="18"/>
              </w:rPr>
              <w:t>institutional strengthening in</w:t>
            </w:r>
            <w:r w:rsidR="008D39EB" w:rsidRPr="00396989">
              <w:rPr>
                <w:sz w:val="18"/>
                <w:szCs w:val="18"/>
              </w:rPr>
              <w:t xml:space="preserve"> </w:t>
            </w:r>
            <w:r w:rsidRPr="00396989">
              <w:rPr>
                <w:sz w:val="18"/>
                <w:szCs w:val="18"/>
              </w:rPr>
              <w:t>provid</w:t>
            </w:r>
            <w:r w:rsidR="00ED3E70">
              <w:rPr>
                <w:sz w:val="18"/>
                <w:szCs w:val="18"/>
              </w:rPr>
              <w:t>ing</w:t>
            </w:r>
            <w:r w:rsidRPr="00396989">
              <w:rPr>
                <w:sz w:val="18"/>
                <w:szCs w:val="18"/>
              </w:rPr>
              <w:t xml:space="preserve"> secretariat services to </w:t>
            </w:r>
            <w:r w:rsidR="00190CD7" w:rsidRPr="00396989">
              <w:rPr>
                <w:sz w:val="18"/>
                <w:szCs w:val="18"/>
              </w:rPr>
              <w:t xml:space="preserve">a </w:t>
            </w:r>
            <w:r w:rsidR="0083302D" w:rsidRPr="00396989">
              <w:rPr>
                <w:sz w:val="18"/>
                <w:szCs w:val="18"/>
              </w:rPr>
              <w:t xml:space="preserve">trust </w:t>
            </w:r>
            <w:r w:rsidR="00190CD7" w:rsidRPr="00396989">
              <w:rPr>
                <w:sz w:val="18"/>
                <w:szCs w:val="18"/>
              </w:rPr>
              <w:t xml:space="preserve">fund </w:t>
            </w:r>
            <w:r w:rsidR="00693B53" w:rsidRPr="00396989">
              <w:rPr>
                <w:sz w:val="18"/>
                <w:szCs w:val="18"/>
              </w:rPr>
              <w:t xml:space="preserve">akin to </w:t>
            </w:r>
            <w:r w:rsidR="00ED3E70">
              <w:rPr>
                <w:sz w:val="18"/>
                <w:szCs w:val="18"/>
              </w:rPr>
              <w:t xml:space="preserve">that needed for </w:t>
            </w:r>
            <w:r w:rsidR="008D39EB" w:rsidRPr="00396989">
              <w:rPr>
                <w:sz w:val="18"/>
                <w:szCs w:val="18"/>
              </w:rPr>
              <w:t xml:space="preserve">the </w:t>
            </w:r>
            <w:r w:rsidR="0083302D" w:rsidRPr="00396989">
              <w:rPr>
                <w:sz w:val="18"/>
                <w:szCs w:val="18"/>
              </w:rPr>
              <w:t>specific international programme</w:t>
            </w:r>
            <w:r w:rsidR="008D39EB" w:rsidRPr="00396989">
              <w:rPr>
                <w:sz w:val="18"/>
                <w:szCs w:val="18"/>
              </w:rPr>
              <w:t xml:space="preserve">. Both the Quick Start Programme and the </w:t>
            </w:r>
            <w:r w:rsidR="009E3138">
              <w:rPr>
                <w:sz w:val="18"/>
                <w:szCs w:val="18"/>
              </w:rPr>
              <w:t>S</w:t>
            </w:r>
            <w:r w:rsidR="008D39EB" w:rsidRPr="00396989">
              <w:rPr>
                <w:sz w:val="18"/>
                <w:szCs w:val="18"/>
              </w:rPr>
              <w:t xml:space="preserve">pecial </w:t>
            </w:r>
            <w:r w:rsidR="009E3138">
              <w:rPr>
                <w:sz w:val="18"/>
                <w:szCs w:val="18"/>
              </w:rPr>
              <w:t>P</w:t>
            </w:r>
            <w:r w:rsidR="008D39EB" w:rsidRPr="00396989">
              <w:rPr>
                <w:sz w:val="18"/>
                <w:szCs w:val="18"/>
              </w:rPr>
              <w:t>rogramme fund activities to support and strengthen country</w:t>
            </w:r>
            <w:r w:rsidR="00E21E54">
              <w:rPr>
                <w:sz w:val="18"/>
                <w:szCs w:val="18"/>
              </w:rPr>
              <w:t>-level</w:t>
            </w:r>
            <w:r w:rsidR="008D39EB" w:rsidRPr="00396989">
              <w:rPr>
                <w:sz w:val="18"/>
                <w:szCs w:val="18"/>
              </w:rPr>
              <w:t xml:space="preserve"> implementation, in a </w:t>
            </w:r>
            <w:r w:rsidR="003201CF" w:rsidRPr="001E4EBF">
              <w:rPr>
                <w:sz w:val="18"/>
                <w:szCs w:val="18"/>
              </w:rPr>
              <w:t xml:space="preserve">vein </w:t>
            </w:r>
            <w:r w:rsidR="008D39EB" w:rsidRPr="00396989">
              <w:rPr>
                <w:sz w:val="18"/>
                <w:szCs w:val="18"/>
              </w:rPr>
              <w:t xml:space="preserve">similar </w:t>
            </w:r>
            <w:r w:rsidR="003201CF">
              <w:rPr>
                <w:sz w:val="18"/>
                <w:szCs w:val="18"/>
              </w:rPr>
              <w:t>to that</w:t>
            </w:r>
            <w:r w:rsidR="008D39EB" w:rsidRPr="00396989">
              <w:rPr>
                <w:sz w:val="18"/>
                <w:szCs w:val="18"/>
              </w:rPr>
              <w:t xml:space="preserve"> envisaged for the </w:t>
            </w:r>
            <w:r w:rsidR="0083302D" w:rsidRPr="00396989">
              <w:rPr>
                <w:sz w:val="18"/>
                <w:szCs w:val="18"/>
              </w:rPr>
              <w:t>specific international programme</w:t>
            </w:r>
            <w:r w:rsidR="008D39EB" w:rsidRPr="00396989">
              <w:rPr>
                <w:sz w:val="18"/>
                <w:szCs w:val="18"/>
              </w:rPr>
              <w:t xml:space="preserve">. </w:t>
            </w:r>
            <w:r w:rsidR="00693B53" w:rsidRPr="00396989">
              <w:rPr>
                <w:sz w:val="18"/>
                <w:szCs w:val="18"/>
              </w:rPr>
              <w:t>T</w:t>
            </w:r>
            <w:r w:rsidR="008D39EB" w:rsidRPr="00396989">
              <w:rPr>
                <w:sz w:val="18"/>
                <w:szCs w:val="18"/>
              </w:rPr>
              <w:t>he Branch</w:t>
            </w:r>
            <w:r w:rsidR="00693B53" w:rsidRPr="00396989">
              <w:rPr>
                <w:sz w:val="18"/>
                <w:szCs w:val="18"/>
              </w:rPr>
              <w:t xml:space="preserve"> therefore</w:t>
            </w:r>
            <w:r w:rsidR="008D39EB" w:rsidRPr="00396989">
              <w:rPr>
                <w:sz w:val="18"/>
                <w:szCs w:val="18"/>
              </w:rPr>
              <w:t xml:space="preserve"> has </w:t>
            </w:r>
            <w:r w:rsidR="0083302D" w:rsidRPr="00396989">
              <w:rPr>
                <w:sz w:val="18"/>
                <w:szCs w:val="18"/>
              </w:rPr>
              <w:t xml:space="preserve">the </w:t>
            </w:r>
            <w:r w:rsidR="008D39EB" w:rsidRPr="00396989">
              <w:rPr>
                <w:sz w:val="18"/>
                <w:szCs w:val="18"/>
              </w:rPr>
              <w:t xml:space="preserve">managerial, financial, </w:t>
            </w:r>
            <w:proofErr w:type="gramStart"/>
            <w:r w:rsidR="008D39EB" w:rsidRPr="00396989">
              <w:rPr>
                <w:sz w:val="18"/>
                <w:szCs w:val="18"/>
              </w:rPr>
              <w:t>administrative</w:t>
            </w:r>
            <w:proofErr w:type="gramEnd"/>
            <w:r w:rsidRPr="00396989">
              <w:rPr>
                <w:sz w:val="18"/>
                <w:szCs w:val="18"/>
              </w:rPr>
              <w:t xml:space="preserve"> </w:t>
            </w:r>
            <w:r w:rsidR="008D39EB" w:rsidRPr="00396989">
              <w:rPr>
                <w:sz w:val="18"/>
                <w:szCs w:val="18"/>
              </w:rPr>
              <w:t>and resource mobili</w:t>
            </w:r>
            <w:r w:rsidR="00693B53" w:rsidRPr="00396989">
              <w:rPr>
                <w:sz w:val="18"/>
                <w:szCs w:val="18"/>
              </w:rPr>
              <w:t>z</w:t>
            </w:r>
            <w:r w:rsidR="008D39EB" w:rsidRPr="00396989">
              <w:rPr>
                <w:sz w:val="18"/>
                <w:szCs w:val="18"/>
              </w:rPr>
              <w:t xml:space="preserve">ation experience </w:t>
            </w:r>
            <w:r w:rsidR="0083302D" w:rsidRPr="00396989">
              <w:rPr>
                <w:sz w:val="18"/>
                <w:szCs w:val="18"/>
              </w:rPr>
              <w:t>required to administer</w:t>
            </w:r>
            <w:r w:rsidR="008D39EB" w:rsidRPr="00396989">
              <w:rPr>
                <w:sz w:val="18"/>
                <w:szCs w:val="18"/>
              </w:rPr>
              <w:t xml:space="preserve"> the </w:t>
            </w:r>
            <w:r w:rsidR="00535FF4">
              <w:rPr>
                <w:sz w:val="18"/>
                <w:szCs w:val="18"/>
              </w:rPr>
              <w:t>relevant</w:t>
            </w:r>
            <w:r w:rsidR="008D39EB" w:rsidRPr="00396989">
              <w:rPr>
                <w:sz w:val="18"/>
                <w:szCs w:val="18"/>
              </w:rPr>
              <w:t xml:space="preserve"> </w:t>
            </w:r>
            <w:r w:rsidR="0083302D" w:rsidRPr="00396989">
              <w:rPr>
                <w:sz w:val="18"/>
                <w:szCs w:val="18"/>
              </w:rPr>
              <w:t xml:space="preserve">trust </w:t>
            </w:r>
            <w:r w:rsidR="008D39EB" w:rsidRPr="00396989">
              <w:rPr>
                <w:sz w:val="18"/>
                <w:szCs w:val="18"/>
              </w:rPr>
              <w:t xml:space="preserve">fund. </w:t>
            </w:r>
            <w:r w:rsidR="00456952">
              <w:rPr>
                <w:sz w:val="18"/>
                <w:szCs w:val="18"/>
              </w:rPr>
              <w:t>It</w:t>
            </w:r>
            <w:r w:rsidR="008D39EB" w:rsidRPr="00396989">
              <w:rPr>
                <w:sz w:val="18"/>
                <w:szCs w:val="18"/>
              </w:rPr>
              <w:t xml:space="preserve"> </w:t>
            </w:r>
            <w:r w:rsidR="004D1BF6" w:rsidRPr="00396989">
              <w:rPr>
                <w:sz w:val="18"/>
                <w:szCs w:val="18"/>
              </w:rPr>
              <w:t xml:space="preserve">currently </w:t>
            </w:r>
            <w:r w:rsidR="008D39EB" w:rsidRPr="00396989">
              <w:rPr>
                <w:sz w:val="18"/>
                <w:szCs w:val="18"/>
              </w:rPr>
              <w:t xml:space="preserve">employs a </w:t>
            </w:r>
            <w:r w:rsidR="00693B53" w:rsidRPr="00396989">
              <w:rPr>
                <w:sz w:val="18"/>
                <w:szCs w:val="18"/>
              </w:rPr>
              <w:t>full-time fund management officer</w:t>
            </w:r>
            <w:r w:rsidR="008D39EB" w:rsidRPr="00396989">
              <w:rPr>
                <w:sz w:val="18"/>
                <w:szCs w:val="18"/>
              </w:rPr>
              <w:t xml:space="preserve"> and</w:t>
            </w:r>
            <w:r w:rsidR="00693B53" w:rsidRPr="00396989">
              <w:rPr>
                <w:sz w:val="18"/>
                <w:szCs w:val="18"/>
              </w:rPr>
              <w:t>,</w:t>
            </w:r>
            <w:r w:rsidR="008D39EB" w:rsidRPr="00396989">
              <w:rPr>
                <w:sz w:val="18"/>
                <w:szCs w:val="18"/>
              </w:rPr>
              <w:t xml:space="preserve"> </w:t>
            </w:r>
            <w:r w:rsidR="004A2539" w:rsidRPr="00396989">
              <w:rPr>
                <w:sz w:val="18"/>
                <w:szCs w:val="18"/>
              </w:rPr>
              <w:t>from late 2017</w:t>
            </w:r>
            <w:r w:rsidR="00693B53" w:rsidRPr="00396989">
              <w:rPr>
                <w:sz w:val="18"/>
                <w:szCs w:val="18"/>
              </w:rPr>
              <w:t>,</w:t>
            </w:r>
            <w:r w:rsidR="004A2539" w:rsidRPr="00396989">
              <w:rPr>
                <w:sz w:val="18"/>
                <w:szCs w:val="18"/>
              </w:rPr>
              <w:t xml:space="preserve"> </w:t>
            </w:r>
            <w:r w:rsidR="00693B53" w:rsidRPr="00396989">
              <w:rPr>
                <w:sz w:val="18"/>
                <w:szCs w:val="18"/>
              </w:rPr>
              <w:t xml:space="preserve">a fund management officer at </w:t>
            </w:r>
            <w:r w:rsidR="008D39EB" w:rsidRPr="00396989">
              <w:rPr>
                <w:sz w:val="18"/>
                <w:szCs w:val="18"/>
              </w:rPr>
              <w:t>50</w:t>
            </w:r>
            <w:r w:rsidR="00693B53" w:rsidRPr="00396989">
              <w:rPr>
                <w:sz w:val="18"/>
                <w:szCs w:val="18"/>
              </w:rPr>
              <w:t xml:space="preserve"> per cent</w:t>
            </w:r>
            <w:r w:rsidR="008D39EB" w:rsidRPr="00396989">
              <w:rPr>
                <w:sz w:val="18"/>
                <w:szCs w:val="18"/>
              </w:rPr>
              <w:t xml:space="preserve"> and has access to </w:t>
            </w:r>
            <w:proofErr w:type="spellStart"/>
            <w:r w:rsidR="008D39EB" w:rsidRPr="00396989">
              <w:rPr>
                <w:sz w:val="18"/>
                <w:szCs w:val="18"/>
              </w:rPr>
              <w:t>backup</w:t>
            </w:r>
            <w:proofErr w:type="spellEnd"/>
            <w:r w:rsidR="008D39EB" w:rsidRPr="00396989">
              <w:rPr>
                <w:sz w:val="18"/>
                <w:szCs w:val="18"/>
              </w:rPr>
              <w:t xml:space="preserve"> through the </w:t>
            </w:r>
            <w:r w:rsidR="00C4702C">
              <w:rPr>
                <w:sz w:val="18"/>
                <w:szCs w:val="18"/>
              </w:rPr>
              <w:t xml:space="preserve">Economy </w:t>
            </w:r>
            <w:r w:rsidR="008D39EB" w:rsidRPr="00396989">
              <w:rPr>
                <w:sz w:val="18"/>
                <w:szCs w:val="18"/>
              </w:rPr>
              <w:t xml:space="preserve">Division, including </w:t>
            </w:r>
            <w:r w:rsidR="005E3E8B" w:rsidRPr="00396989">
              <w:rPr>
                <w:sz w:val="18"/>
                <w:szCs w:val="18"/>
              </w:rPr>
              <w:t>support from</w:t>
            </w:r>
            <w:r w:rsidR="008D39EB" w:rsidRPr="00396989">
              <w:rPr>
                <w:sz w:val="18"/>
                <w:szCs w:val="18"/>
              </w:rPr>
              <w:t xml:space="preserve"> a senior fund management </w:t>
            </w:r>
            <w:r w:rsidR="0083302D" w:rsidRPr="00396989">
              <w:rPr>
                <w:sz w:val="18"/>
                <w:szCs w:val="18"/>
              </w:rPr>
              <w:t>officer</w:t>
            </w:r>
            <w:r w:rsidR="008D39EB" w:rsidRPr="00396989">
              <w:rPr>
                <w:sz w:val="18"/>
                <w:szCs w:val="18"/>
              </w:rPr>
              <w:t xml:space="preserve"> in the </w:t>
            </w:r>
            <w:r w:rsidR="00693B53" w:rsidRPr="00396989">
              <w:rPr>
                <w:sz w:val="18"/>
                <w:szCs w:val="18"/>
              </w:rPr>
              <w:t xml:space="preserve">Office of the </w:t>
            </w:r>
            <w:r w:rsidR="000D22CA" w:rsidRPr="00396989">
              <w:rPr>
                <w:sz w:val="18"/>
                <w:szCs w:val="18"/>
              </w:rPr>
              <w:t xml:space="preserve">Director </w:t>
            </w:r>
            <w:r w:rsidR="000D22CA">
              <w:rPr>
                <w:sz w:val="18"/>
                <w:szCs w:val="18"/>
              </w:rPr>
              <w:t xml:space="preserve">of the </w:t>
            </w:r>
            <w:r w:rsidR="0083302D" w:rsidRPr="00396989">
              <w:rPr>
                <w:sz w:val="18"/>
                <w:szCs w:val="18"/>
              </w:rPr>
              <w:t>Division</w:t>
            </w:r>
            <w:r w:rsidR="008D39EB" w:rsidRPr="00396989">
              <w:rPr>
                <w:sz w:val="18"/>
                <w:szCs w:val="18"/>
              </w:rPr>
              <w:t>.</w:t>
            </w:r>
          </w:p>
        </w:tc>
        <w:tc>
          <w:tcPr>
            <w:tcW w:w="4262" w:type="dxa"/>
          </w:tcPr>
          <w:p w14:paraId="587D0FEA" w14:textId="10F7AF3A" w:rsidR="00C46DD8" w:rsidRPr="002D379C" w:rsidRDefault="003117BE"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80"/>
              <w:rPr>
                <w:sz w:val="18"/>
                <w:szCs w:val="18"/>
              </w:rPr>
            </w:pPr>
            <w:r w:rsidRPr="00BD69FE">
              <w:rPr>
                <w:sz w:val="18"/>
                <w:szCs w:val="18"/>
              </w:rPr>
              <w:t>Upon establishment</w:t>
            </w:r>
            <w:r w:rsidR="0083302D" w:rsidRPr="00BD69FE">
              <w:rPr>
                <w:sz w:val="18"/>
                <w:szCs w:val="18"/>
              </w:rPr>
              <w:t>,</w:t>
            </w:r>
            <w:r w:rsidRPr="00D97581">
              <w:rPr>
                <w:sz w:val="18"/>
                <w:szCs w:val="18"/>
              </w:rPr>
              <w:t xml:space="preserve"> the</w:t>
            </w:r>
            <w:r w:rsidR="008D39EB" w:rsidRPr="00193786">
              <w:rPr>
                <w:sz w:val="18"/>
                <w:szCs w:val="18"/>
              </w:rPr>
              <w:t xml:space="preserve"> </w:t>
            </w:r>
            <w:r w:rsidRPr="0029126E">
              <w:rPr>
                <w:sz w:val="18"/>
                <w:szCs w:val="18"/>
              </w:rPr>
              <w:t>Convention s</w:t>
            </w:r>
            <w:r w:rsidR="008D39EB" w:rsidRPr="0029126E">
              <w:rPr>
                <w:sz w:val="18"/>
                <w:szCs w:val="18"/>
              </w:rPr>
              <w:t xml:space="preserve">ecretariat will </w:t>
            </w:r>
            <w:r w:rsidR="00581AB9" w:rsidRPr="00BD69FE">
              <w:rPr>
                <w:sz w:val="18"/>
                <w:szCs w:val="18"/>
              </w:rPr>
              <w:t>employ</w:t>
            </w:r>
            <w:r w:rsidR="00B84355" w:rsidRPr="00BD69FE">
              <w:rPr>
                <w:sz w:val="18"/>
                <w:szCs w:val="18"/>
              </w:rPr>
              <w:t xml:space="preserve"> an</w:t>
            </w:r>
            <w:r w:rsidR="00F811DB" w:rsidRPr="00D97581">
              <w:rPr>
                <w:sz w:val="18"/>
                <w:szCs w:val="18"/>
              </w:rPr>
              <w:t xml:space="preserve"> administrative and fund management officer</w:t>
            </w:r>
            <w:r w:rsidR="00B84355" w:rsidRPr="00193786">
              <w:rPr>
                <w:sz w:val="18"/>
                <w:szCs w:val="18"/>
              </w:rPr>
              <w:t xml:space="preserve"> </w:t>
            </w:r>
            <w:r w:rsidR="002A5A89">
              <w:rPr>
                <w:sz w:val="18"/>
                <w:szCs w:val="18"/>
              </w:rPr>
              <w:t>to cover</w:t>
            </w:r>
            <w:r w:rsidR="002A5A89" w:rsidRPr="00BD69FE">
              <w:rPr>
                <w:sz w:val="18"/>
                <w:szCs w:val="18"/>
              </w:rPr>
              <w:t xml:space="preserve"> </w:t>
            </w:r>
            <w:r w:rsidR="00B84355" w:rsidRPr="00BD69FE">
              <w:rPr>
                <w:sz w:val="18"/>
                <w:szCs w:val="18"/>
              </w:rPr>
              <w:t xml:space="preserve">the daily work </w:t>
            </w:r>
            <w:r w:rsidR="00693B53" w:rsidRPr="002D379C">
              <w:rPr>
                <w:sz w:val="18"/>
                <w:szCs w:val="18"/>
              </w:rPr>
              <w:t xml:space="preserve">under </w:t>
            </w:r>
            <w:r w:rsidR="00B84355" w:rsidRPr="002D379C">
              <w:rPr>
                <w:sz w:val="18"/>
                <w:szCs w:val="18"/>
              </w:rPr>
              <w:t>the Convention</w:t>
            </w:r>
            <w:r w:rsidR="00B33800">
              <w:rPr>
                <w:sz w:val="18"/>
                <w:szCs w:val="18"/>
              </w:rPr>
              <w:t>, who</w:t>
            </w:r>
            <w:r w:rsidR="00C46DD8" w:rsidRPr="002D379C">
              <w:rPr>
                <w:sz w:val="18"/>
                <w:szCs w:val="18"/>
              </w:rPr>
              <w:t xml:space="preserve"> </w:t>
            </w:r>
            <w:r w:rsidR="00581AB9" w:rsidRPr="002D379C">
              <w:rPr>
                <w:sz w:val="18"/>
                <w:szCs w:val="18"/>
              </w:rPr>
              <w:t xml:space="preserve">will </w:t>
            </w:r>
            <w:r w:rsidR="00693B53" w:rsidRPr="002D379C">
              <w:rPr>
                <w:sz w:val="18"/>
                <w:szCs w:val="18"/>
              </w:rPr>
              <w:t xml:space="preserve">also </w:t>
            </w:r>
            <w:r w:rsidR="00581AB9" w:rsidRPr="002D379C">
              <w:rPr>
                <w:sz w:val="18"/>
                <w:szCs w:val="18"/>
              </w:rPr>
              <w:t xml:space="preserve">be able to </w:t>
            </w:r>
            <w:r w:rsidR="00693B53" w:rsidRPr="002D379C">
              <w:rPr>
                <w:sz w:val="18"/>
                <w:szCs w:val="18"/>
              </w:rPr>
              <w:t>support</w:t>
            </w:r>
            <w:r w:rsidR="00581AB9" w:rsidRPr="002D379C">
              <w:rPr>
                <w:sz w:val="18"/>
                <w:szCs w:val="18"/>
              </w:rPr>
              <w:t xml:space="preserve"> </w:t>
            </w:r>
            <w:r w:rsidR="002B2DAC" w:rsidRPr="00672C0D">
              <w:rPr>
                <w:sz w:val="18"/>
                <w:szCs w:val="18"/>
              </w:rPr>
              <w:t>fund management</w:t>
            </w:r>
            <w:r w:rsidR="002B2DAC">
              <w:rPr>
                <w:sz w:val="18"/>
                <w:szCs w:val="18"/>
              </w:rPr>
              <w:t xml:space="preserve"> for the</w:t>
            </w:r>
            <w:r w:rsidR="002B2DAC" w:rsidRPr="00396989">
              <w:rPr>
                <w:sz w:val="18"/>
                <w:szCs w:val="18"/>
              </w:rPr>
              <w:t xml:space="preserve"> </w:t>
            </w:r>
            <w:r w:rsidR="00E879BF" w:rsidRPr="00BD69FE">
              <w:rPr>
                <w:sz w:val="18"/>
                <w:szCs w:val="18"/>
              </w:rPr>
              <w:t>specific international programme</w:t>
            </w:r>
            <w:r w:rsidR="00581AB9" w:rsidRPr="00BD69FE">
              <w:rPr>
                <w:sz w:val="18"/>
                <w:szCs w:val="18"/>
              </w:rPr>
              <w:t xml:space="preserve"> secretariat</w:t>
            </w:r>
            <w:r w:rsidR="00581AB9" w:rsidRPr="002D379C">
              <w:rPr>
                <w:sz w:val="18"/>
                <w:szCs w:val="18"/>
              </w:rPr>
              <w:t xml:space="preserve">. </w:t>
            </w:r>
          </w:p>
          <w:p w14:paraId="635EE18B" w14:textId="5DA43074" w:rsidR="00E141C8" w:rsidRPr="00396989" w:rsidRDefault="00581AB9"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sz w:val="18"/>
                <w:szCs w:val="18"/>
                <w:lang w:eastAsia="en-US"/>
              </w:rPr>
            </w:pPr>
            <w:r w:rsidRPr="00BD69FE">
              <w:rPr>
                <w:sz w:val="18"/>
                <w:szCs w:val="18"/>
              </w:rPr>
              <w:t>Additional adjacent fund and administrative expe</w:t>
            </w:r>
            <w:r w:rsidR="0083302D" w:rsidRPr="00BD69FE">
              <w:rPr>
                <w:sz w:val="18"/>
                <w:szCs w:val="18"/>
              </w:rPr>
              <w:t>rtise and support will depend</w:t>
            </w:r>
            <w:r w:rsidRPr="002D379C">
              <w:rPr>
                <w:sz w:val="18"/>
                <w:szCs w:val="18"/>
              </w:rPr>
              <w:t xml:space="preserve"> in part on how </w:t>
            </w:r>
            <w:r w:rsidR="00693B53" w:rsidRPr="002D379C">
              <w:rPr>
                <w:sz w:val="18"/>
                <w:szCs w:val="18"/>
              </w:rPr>
              <w:t>th</w:t>
            </w:r>
            <w:r w:rsidRPr="002D379C">
              <w:rPr>
                <w:sz w:val="18"/>
                <w:szCs w:val="18"/>
              </w:rPr>
              <w:t xml:space="preserve">e </w:t>
            </w:r>
            <w:r w:rsidR="0083302D" w:rsidRPr="002D379C">
              <w:rPr>
                <w:sz w:val="18"/>
                <w:szCs w:val="18"/>
              </w:rPr>
              <w:t>Executive Director perform</w:t>
            </w:r>
            <w:r w:rsidR="00F014A2">
              <w:rPr>
                <w:sz w:val="18"/>
                <w:szCs w:val="18"/>
              </w:rPr>
              <w:t>s</w:t>
            </w:r>
            <w:r w:rsidRPr="00BD69FE">
              <w:rPr>
                <w:sz w:val="18"/>
                <w:szCs w:val="18"/>
              </w:rPr>
              <w:t xml:space="preserve"> the functions of the</w:t>
            </w:r>
            <w:r w:rsidR="00853DB1" w:rsidRPr="00BD69FE">
              <w:rPr>
                <w:sz w:val="18"/>
                <w:szCs w:val="18"/>
              </w:rPr>
              <w:t xml:space="preserve"> </w:t>
            </w:r>
            <w:r w:rsidR="00190CD7" w:rsidRPr="002D379C">
              <w:rPr>
                <w:sz w:val="18"/>
                <w:szCs w:val="18"/>
              </w:rPr>
              <w:t>permanent</w:t>
            </w:r>
            <w:r w:rsidR="0083302D" w:rsidRPr="002D379C">
              <w:rPr>
                <w:sz w:val="18"/>
                <w:szCs w:val="18"/>
              </w:rPr>
              <w:t xml:space="preserve"> secretariat, but</w:t>
            </w:r>
            <w:r w:rsidR="00693B53" w:rsidRPr="002D379C">
              <w:rPr>
                <w:sz w:val="18"/>
                <w:szCs w:val="18"/>
              </w:rPr>
              <w:t>,</w:t>
            </w:r>
            <w:r w:rsidR="0083302D" w:rsidRPr="002D379C">
              <w:rPr>
                <w:sz w:val="18"/>
                <w:szCs w:val="18"/>
              </w:rPr>
              <w:t xml:space="preserve"> </w:t>
            </w:r>
            <w:r w:rsidR="00C46DD8" w:rsidRPr="002D379C">
              <w:rPr>
                <w:sz w:val="18"/>
                <w:szCs w:val="18"/>
              </w:rPr>
              <w:t>regardless of the arrangement</w:t>
            </w:r>
            <w:r w:rsidR="00693B53" w:rsidRPr="002D379C">
              <w:rPr>
                <w:sz w:val="18"/>
                <w:szCs w:val="18"/>
              </w:rPr>
              <w:t>,</w:t>
            </w:r>
            <w:r w:rsidR="00C46DD8" w:rsidRPr="002D379C">
              <w:rPr>
                <w:sz w:val="18"/>
                <w:szCs w:val="18"/>
              </w:rPr>
              <w:t xml:space="preserve"> </w:t>
            </w:r>
            <w:r w:rsidR="0083302D" w:rsidRPr="002D379C">
              <w:rPr>
                <w:sz w:val="18"/>
                <w:szCs w:val="18"/>
              </w:rPr>
              <w:t xml:space="preserve">it </w:t>
            </w:r>
            <w:r w:rsidR="009C1644" w:rsidRPr="002D379C">
              <w:rPr>
                <w:sz w:val="18"/>
                <w:szCs w:val="18"/>
              </w:rPr>
              <w:t xml:space="preserve">is </w:t>
            </w:r>
            <w:r w:rsidR="0083302D" w:rsidRPr="002D379C">
              <w:rPr>
                <w:sz w:val="18"/>
                <w:szCs w:val="18"/>
              </w:rPr>
              <w:t>expected to be at a level that will support the specific international programme.</w:t>
            </w:r>
          </w:p>
        </w:tc>
      </w:tr>
      <w:tr w:rsidR="00B04509" w:rsidRPr="00DA5F41" w14:paraId="69A72312" w14:textId="77777777" w:rsidTr="006F65A4">
        <w:tc>
          <w:tcPr>
            <w:tcW w:w="8487" w:type="dxa"/>
            <w:gridSpan w:val="2"/>
            <w:shd w:val="clear" w:color="auto" w:fill="D9D9D9" w:themeFill="background1" w:themeFillShade="D9"/>
          </w:tcPr>
          <w:p w14:paraId="45912A31" w14:textId="56FBC8F1" w:rsidR="00B04509" w:rsidRPr="00DA5F41" w:rsidRDefault="009C1644"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rPr>
            </w:pPr>
            <w:r w:rsidRPr="00DA5F41">
              <w:rPr>
                <w:b/>
                <w:bCs/>
                <w:sz w:val="18"/>
                <w:szCs w:val="18"/>
              </w:rPr>
              <w:t>5</w:t>
            </w:r>
            <w:r w:rsidR="00B04509" w:rsidRPr="00DA5F41">
              <w:rPr>
                <w:b/>
                <w:bCs/>
                <w:sz w:val="18"/>
                <w:szCs w:val="18"/>
              </w:rPr>
              <w:t xml:space="preserve">. Legal </w:t>
            </w:r>
            <w:r w:rsidR="00693B53">
              <w:rPr>
                <w:b/>
                <w:bCs/>
                <w:sz w:val="18"/>
                <w:szCs w:val="18"/>
              </w:rPr>
              <w:t>c</w:t>
            </w:r>
            <w:r w:rsidR="00020EEC" w:rsidRPr="00DA5F41">
              <w:rPr>
                <w:b/>
                <w:bCs/>
                <w:sz w:val="18"/>
                <w:szCs w:val="18"/>
              </w:rPr>
              <w:t xml:space="preserve">onsiderations and </w:t>
            </w:r>
            <w:r w:rsidR="00693B53">
              <w:rPr>
                <w:b/>
                <w:bCs/>
                <w:sz w:val="18"/>
                <w:szCs w:val="18"/>
              </w:rPr>
              <w:t>i</w:t>
            </w:r>
            <w:r w:rsidR="00B04509" w:rsidRPr="00DA5F41">
              <w:rPr>
                <w:b/>
                <w:bCs/>
                <w:sz w:val="18"/>
                <w:szCs w:val="18"/>
              </w:rPr>
              <w:t>mplications</w:t>
            </w:r>
          </w:p>
          <w:p w14:paraId="6CE8C070" w14:textId="339E41B7" w:rsidR="00B04509" w:rsidRPr="00DA5F41" w:rsidRDefault="00702064"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
                <w:bCs/>
                <w:sz w:val="18"/>
                <w:szCs w:val="18"/>
                <w:lang w:eastAsia="en-US"/>
              </w:rPr>
            </w:pPr>
            <w:r w:rsidRPr="00DA5F41">
              <w:rPr>
                <w:bCs/>
                <w:sz w:val="18"/>
                <w:szCs w:val="18"/>
              </w:rPr>
              <w:lastRenderedPageBreak/>
              <w:t>Regardless</w:t>
            </w:r>
            <w:r w:rsidR="00693B53">
              <w:rPr>
                <w:bCs/>
                <w:sz w:val="18"/>
                <w:szCs w:val="18"/>
              </w:rPr>
              <w:t xml:space="preserve"> of its location, </w:t>
            </w:r>
            <w:r w:rsidR="009424C7" w:rsidRPr="00DA5F41">
              <w:rPr>
                <w:bCs/>
                <w:sz w:val="18"/>
                <w:szCs w:val="18"/>
              </w:rPr>
              <w:t xml:space="preserve">the </w:t>
            </w:r>
            <w:r w:rsidR="009C1644" w:rsidRPr="00DA5F41">
              <w:rPr>
                <w:bCs/>
                <w:sz w:val="18"/>
                <w:szCs w:val="18"/>
              </w:rPr>
              <w:t>secretariat of the specific international programme</w:t>
            </w:r>
            <w:r w:rsidR="00693B53">
              <w:rPr>
                <w:bCs/>
                <w:sz w:val="18"/>
                <w:szCs w:val="18"/>
              </w:rPr>
              <w:t xml:space="preserve"> </w:t>
            </w:r>
            <w:r w:rsidR="009424C7" w:rsidRPr="00DA5F41">
              <w:rPr>
                <w:bCs/>
                <w:sz w:val="18"/>
                <w:szCs w:val="18"/>
              </w:rPr>
              <w:t xml:space="preserve">will ultimately operate within the overall institutional structure of </w:t>
            </w:r>
            <w:r w:rsidR="008512FA">
              <w:rPr>
                <w:bCs/>
                <w:sz w:val="18"/>
                <w:szCs w:val="18"/>
              </w:rPr>
              <w:t>UNEP</w:t>
            </w:r>
            <w:r w:rsidR="001872F0" w:rsidRPr="00DA5F41">
              <w:rPr>
                <w:bCs/>
                <w:sz w:val="18"/>
                <w:szCs w:val="18"/>
              </w:rPr>
              <w:t>, including the related financial</w:t>
            </w:r>
            <w:r w:rsidR="00C721CB" w:rsidRPr="00DA5F41">
              <w:rPr>
                <w:bCs/>
                <w:sz w:val="18"/>
                <w:szCs w:val="18"/>
              </w:rPr>
              <w:t>, accounting</w:t>
            </w:r>
            <w:r w:rsidR="001872F0" w:rsidRPr="00DA5F41">
              <w:rPr>
                <w:bCs/>
                <w:sz w:val="18"/>
                <w:szCs w:val="18"/>
              </w:rPr>
              <w:t xml:space="preserve"> and human resources rules and regulations,</w:t>
            </w:r>
            <w:r w:rsidR="009424C7" w:rsidRPr="00DA5F41">
              <w:rPr>
                <w:bCs/>
                <w:sz w:val="18"/>
                <w:szCs w:val="18"/>
              </w:rPr>
              <w:t xml:space="preserve"> and </w:t>
            </w:r>
            <w:r w:rsidR="001872F0" w:rsidRPr="00DA5F41">
              <w:rPr>
                <w:bCs/>
                <w:sz w:val="18"/>
                <w:szCs w:val="18"/>
              </w:rPr>
              <w:t>the United Nations</w:t>
            </w:r>
            <w:r w:rsidR="009424C7" w:rsidRPr="00DA5F41">
              <w:rPr>
                <w:bCs/>
                <w:sz w:val="18"/>
                <w:szCs w:val="18"/>
              </w:rPr>
              <w:t xml:space="preserve"> accountability frameworks, reporting requirements, monitoring and evaluation obligations and audit cycles. </w:t>
            </w:r>
            <w:r w:rsidR="009C1644" w:rsidRPr="00DA5F41">
              <w:rPr>
                <w:bCs/>
                <w:sz w:val="18"/>
                <w:szCs w:val="18"/>
              </w:rPr>
              <w:t xml:space="preserve">It should be noted that the financial rules of the Convention will apply </w:t>
            </w:r>
            <w:r w:rsidR="00DC509D" w:rsidRPr="00DA5F41">
              <w:rPr>
                <w:bCs/>
                <w:sz w:val="18"/>
                <w:szCs w:val="18"/>
              </w:rPr>
              <w:t xml:space="preserve">also </w:t>
            </w:r>
            <w:r w:rsidR="009C1644" w:rsidRPr="00DA5F41">
              <w:rPr>
                <w:bCs/>
                <w:sz w:val="18"/>
                <w:szCs w:val="18"/>
              </w:rPr>
              <w:t xml:space="preserve">to the specific international programme. </w:t>
            </w:r>
          </w:p>
          <w:p w14:paraId="0CCB2DC2" w14:textId="2C94FFF1" w:rsidR="00020EEC" w:rsidRPr="00DA5F41" w:rsidRDefault="00020EE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rPr>
            </w:pPr>
            <w:r w:rsidRPr="00DA5F41">
              <w:rPr>
                <w:bCs/>
                <w:sz w:val="18"/>
                <w:szCs w:val="18"/>
              </w:rPr>
              <w:t xml:space="preserve">Moreover, </w:t>
            </w:r>
            <w:r w:rsidR="00693B53">
              <w:rPr>
                <w:bCs/>
                <w:sz w:val="18"/>
                <w:szCs w:val="18"/>
              </w:rPr>
              <w:t>regardless of its location</w:t>
            </w:r>
            <w:r w:rsidRPr="00DA5F41">
              <w:rPr>
                <w:bCs/>
                <w:sz w:val="18"/>
                <w:szCs w:val="18"/>
              </w:rPr>
              <w:t xml:space="preserve">, </w:t>
            </w:r>
            <w:r w:rsidR="009377F6" w:rsidRPr="00DA5F41">
              <w:rPr>
                <w:bCs/>
                <w:sz w:val="18"/>
                <w:szCs w:val="18"/>
              </w:rPr>
              <w:t xml:space="preserve">the secretariat will operate under the guidance of and be accountable to the Conference of the Parties. </w:t>
            </w:r>
          </w:p>
        </w:tc>
      </w:tr>
      <w:tr w:rsidR="002B2DAC" w:rsidRPr="00DA5F41" w14:paraId="49B430F3" w14:textId="77777777" w:rsidTr="0000565C">
        <w:tc>
          <w:tcPr>
            <w:tcW w:w="4225" w:type="dxa"/>
            <w:vAlign w:val="center"/>
          </w:tcPr>
          <w:p w14:paraId="67715E28" w14:textId="20C6BFBC" w:rsidR="002B2DAC" w:rsidRPr="0029126E" w:rsidRDefault="002B2DAC"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6F65A4">
              <w:rPr>
                <w:bCs/>
                <w:i/>
                <w:iCs/>
                <w:sz w:val="18"/>
                <w:szCs w:val="18"/>
              </w:rPr>
              <w:lastRenderedPageBreak/>
              <w:t>Branch</w:t>
            </w:r>
          </w:p>
        </w:tc>
        <w:tc>
          <w:tcPr>
            <w:tcW w:w="4262" w:type="dxa"/>
            <w:vAlign w:val="center"/>
          </w:tcPr>
          <w:p w14:paraId="0336003F" w14:textId="03B65788" w:rsidR="002B2DAC" w:rsidRPr="0029126E" w:rsidRDefault="002B2DAC"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29126E">
              <w:rPr>
                <w:bCs/>
                <w:i/>
                <w:iCs/>
                <w:sz w:val="18"/>
                <w:szCs w:val="18"/>
              </w:rPr>
              <w:t>Convention secretariat</w:t>
            </w:r>
          </w:p>
        </w:tc>
      </w:tr>
      <w:tr w:rsidR="001F7B7B" w:rsidRPr="00DA5F41" w14:paraId="6CDE5D6C" w14:textId="77777777" w:rsidTr="006F65A4">
        <w:tc>
          <w:tcPr>
            <w:tcW w:w="4225" w:type="dxa"/>
          </w:tcPr>
          <w:p w14:paraId="682A03E0" w14:textId="38EEA235" w:rsidR="009377F6" w:rsidRPr="0029126E" w:rsidRDefault="00CE460E"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i/>
                <w:sz w:val="18"/>
                <w:szCs w:val="18"/>
              </w:rPr>
            </w:pPr>
            <w:r>
              <w:rPr>
                <w:sz w:val="18"/>
                <w:szCs w:val="18"/>
              </w:rPr>
              <w:t>A</w:t>
            </w:r>
            <w:r w:rsidR="005D5017" w:rsidRPr="00BD69FE">
              <w:rPr>
                <w:sz w:val="18"/>
                <w:szCs w:val="18"/>
              </w:rPr>
              <w:t xml:space="preserve"> memorandum of understanding</w:t>
            </w:r>
            <w:r w:rsidR="00020EEC" w:rsidRPr="00BD69FE">
              <w:rPr>
                <w:sz w:val="18"/>
                <w:szCs w:val="18"/>
              </w:rPr>
              <w:t xml:space="preserve"> may be developed between the </w:t>
            </w:r>
            <w:r w:rsidR="009377F6" w:rsidRPr="00E20196">
              <w:rPr>
                <w:sz w:val="18"/>
                <w:szCs w:val="18"/>
              </w:rPr>
              <w:t>Conference of the Parties</w:t>
            </w:r>
            <w:r w:rsidR="009C1644" w:rsidRPr="00E20196">
              <w:rPr>
                <w:sz w:val="18"/>
                <w:szCs w:val="18"/>
              </w:rPr>
              <w:t xml:space="preserve"> and the Executive Director</w:t>
            </w:r>
            <w:r w:rsidR="00020EEC" w:rsidRPr="00E20196">
              <w:rPr>
                <w:sz w:val="18"/>
                <w:szCs w:val="18"/>
              </w:rPr>
              <w:t xml:space="preserve"> to define, among other </w:t>
            </w:r>
            <w:r w:rsidR="006A77B7">
              <w:rPr>
                <w:sz w:val="18"/>
                <w:szCs w:val="18"/>
              </w:rPr>
              <w:t>things</w:t>
            </w:r>
            <w:r w:rsidR="00693B53" w:rsidRPr="00BD69FE">
              <w:rPr>
                <w:sz w:val="18"/>
                <w:szCs w:val="18"/>
              </w:rPr>
              <w:t>,</w:t>
            </w:r>
            <w:r w:rsidR="00020EEC" w:rsidRPr="00BD69FE">
              <w:rPr>
                <w:sz w:val="18"/>
                <w:szCs w:val="18"/>
              </w:rPr>
              <w:t xml:space="preserve"> </w:t>
            </w:r>
            <w:r w:rsidR="00020EEC" w:rsidRPr="00E20196">
              <w:rPr>
                <w:sz w:val="18"/>
                <w:szCs w:val="18"/>
              </w:rPr>
              <w:t>roles and responsibilities</w:t>
            </w:r>
            <w:r w:rsidR="009377F6" w:rsidRPr="00E20196">
              <w:rPr>
                <w:sz w:val="18"/>
                <w:szCs w:val="18"/>
              </w:rPr>
              <w:t xml:space="preserve">, administrative charges, </w:t>
            </w:r>
            <w:r w:rsidR="009A6B67" w:rsidRPr="00A44A08">
              <w:rPr>
                <w:sz w:val="18"/>
                <w:szCs w:val="18"/>
              </w:rPr>
              <w:t xml:space="preserve">the </w:t>
            </w:r>
            <w:r w:rsidR="009377F6" w:rsidRPr="00BD69FE">
              <w:rPr>
                <w:sz w:val="18"/>
                <w:szCs w:val="18"/>
              </w:rPr>
              <w:t>accountability framework and reporting requirements</w:t>
            </w:r>
            <w:r w:rsidR="007F78E9" w:rsidRPr="00E20196">
              <w:rPr>
                <w:sz w:val="18"/>
                <w:szCs w:val="18"/>
              </w:rPr>
              <w:t xml:space="preserve"> </w:t>
            </w:r>
            <w:r w:rsidR="003B1060" w:rsidRPr="00E20196">
              <w:rPr>
                <w:sz w:val="18"/>
                <w:szCs w:val="18"/>
              </w:rPr>
              <w:t>and</w:t>
            </w:r>
            <w:r w:rsidR="00693B53" w:rsidRPr="00E20196">
              <w:rPr>
                <w:sz w:val="18"/>
                <w:szCs w:val="18"/>
              </w:rPr>
              <w:t>, in</w:t>
            </w:r>
            <w:r w:rsidR="007F78E9" w:rsidRPr="00E20196">
              <w:rPr>
                <w:sz w:val="18"/>
                <w:szCs w:val="18"/>
              </w:rPr>
              <w:t xml:space="preserve"> particular</w:t>
            </w:r>
            <w:r w:rsidR="00693B53" w:rsidRPr="00E20196">
              <w:rPr>
                <w:sz w:val="18"/>
                <w:szCs w:val="18"/>
              </w:rPr>
              <w:t>,</w:t>
            </w:r>
            <w:r w:rsidR="007F78E9" w:rsidRPr="00E20196">
              <w:rPr>
                <w:sz w:val="18"/>
                <w:szCs w:val="18"/>
              </w:rPr>
              <w:t xml:space="preserve"> to </w:t>
            </w:r>
            <w:r w:rsidR="000D63C8">
              <w:rPr>
                <w:sz w:val="18"/>
                <w:szCs w:val="18"/>
              </w:rPr>
              <w:t>stipulate</w:t>
            </w:r>
            <w:r w:rsidR="007F78E9" w:rsidRPr="00BD69FE">
              <w:rPr>
                <w:sz w:val="18"/>
                <w:szCs w:val="18"/>
              </w:rPr>
              <w:t xml:space="preserve"> that the </w:t>
            </w:r>
            <w:r w:rsidR="007F78E9" w:rsidRPr="00E20196">
              <w:rPr>
                <w:sz w:val="18"/>
                <w:szCs w:val="18"/>
              </w:rPr>
              <w:t xml:space="preserve">secretariat </w:t>
            </w:r>
            <w:r w:rsidR="005F4A86">
              <w:rPr>
                <w:sz w:val="18"/>
                <w:szCs w:val="18"/>
              </w:rPr>
              <w:t>will</w:t>
            </w:r>
            <w:r w:rsidR="005F4A86" w:rsidRPr="00BD69FE">
              <w:rPr>
                <w:sz w:val="18"/>
                <w:szCs w:val="18"/>
              </w:rPr>
              <w:t xml:space="preserve"> </w:t>
            </w:r>
            <w:r w:rsidR="007F78E9" w:rsidRPr="00BD69FE">
              <w:rPr>
                <w:sz w:val="18"/>
                <w:szCs w:val="18"/>
              </w:rPr>
              <w:t xml:space="preserve">operate under the guidance of and be </w:t>
            </w:r>
            <w:r w:rsidR="007F78E9" w:rsidRPr="00E20196">
              <w:rPr>
                <w:sz w:val="18"/>
                <w:szCs w:val="18"/>
              </w:rPr>
              <w:t>accountable to</w:t>
            </w:r>
            <w:r w:rsidR="00190CD7" w:rsidRPr="00E20196">
              <w:rPr>
                <w:sz w:val="18"/>
                <w:szCs w:val="18"/>
              </w:rPr>
              <w:t xml:space="preserve"> the Conference</w:t>
            </w:r>
            <w:r w:rsidR="00ED3E70">
              <w:rPr>
                <w:sz w:val="18"/>
                <w:szCs w:val="18"/>
              </w:rPr>
              <w:t xml:space="preserve"> of the Parties</w:t>
            </w:r>
            <w:r w:rsidR="00190CD7" w:rsidRPr="00E20196">
              <w:rPr>
                <w:sz w:val="18"/>
                <w:szCs w:val="18"/>
              </w:rPr>
              <w:t>.</w:t>
            </w:r>
          </w:p>
        </w:tc>
        <w:tc>
          <w:tcPr>
            <w:tcW w:w="4262" w:type="dxa"/>
          </w:tcPr>
          <w:p w14:paraId="2EE39BD7" w14:textId="27E719DF" w:rsidR="00D832FC" w:rsidRPr="0029126E" w:rsidRDefault="00CE460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sz w:val="18"/>
                <w:szCs w:val="18"/>
              </w:rPr>
            </w:pPr>
            <w:r>
              <w:rPr>
                <w:sz w:val="18"/>
                <w:szCs w:val="18"/>
              </w:rPr>
              <w:t>N</w:t>
            </w:r>
            <w:r w:rsidR="002A5E08">
              <w:rPr>
                <w:sz w:val="18"/>
                <w:szCs w:val="18"/>
              </w:rPr>
              <w:t>o</w:t>
            </w:r>
            <w:r w:rsidR="002A5E08" w:rsidRPr="00BD69FE">
              <w:rPr>
                <w:sz w:val="18"/>
                <w:szCs w:val="18"/>
              </w:rPr>
              <w:t xml:space="preserve"> </w:t>
            </w:r>
            <w:r w:rsidR="008249E8" w:rsidRPr="00BD69FE">
              <w:rPr>
                <w:sz w:val="18"/>
                <w:szCs w:val="18"/>
              </w:rPr>
              <w:t xml:space="preserve">memorandum of understanding is </w:t>
            </w:r>
            <w:r w:rsidR="008249E8" w:rsidRPr="00E20196">
              <w:rPr>
                <w:sz w:val="18"/>
                <w:szCs w:val="18"/>
              </w:rPr>
              <w:t>required</w:t>
            </w:r>
            <w:r w:rsidR="00D01C66" w:rsidRPr="00E20196">
              <w:rPr>
                <w:sz w:val="18"/>
                <w:szCs w:val="18"/>
              </w:rPr>
              <w:t xml:space="preserve">, </w:t>
            </w:r>
            <w:r w:rsidR="00693B53" w:rsidRPr="00E20196">
              <w:rPr>
                <w:sz w:val="18"/>
                <w:szCs w:val="18"/>
              </w:rPr>
              <w:t xml:space="preserve">given that </w:t>
            </w:r>
            <w:r w:rsidR="00D01C66" w:rsidRPr="00E20196">
              <w:rPr>
                <w:sz w:val="18"/>
                <w:szCs w:val="18"/>
              </w:rPr>
              <w:t xml:space="preserve">the </w:t>
            </w:r>
            <w:r w:rsidR="002A5E08" w:rsidRPr="00060AFA">
              <w:rPr>
                <w:sz w:val="18"/>
                <w:szCs w:val="18"/>
              </w:rPr>
              <w:t>Convention secretariat</w:t>
            </w:r>
            <w:r w:rsidR="002A5E08" w:rsidRPr="002B2DAC">
              <w:rPr>
                <w:sz w:val="18"/>
                <w:szCs w:val="18"/>
              </w:rPr>
              <w:t xml:space="preserve"> </w:t>
            </w:r>
            <w:r w:rsidR="00D01C66" w:rsidRPr="00E20196">
              <w:rPr>
                <w:sz w:val="18"/>
                <w:szCs w:val="18"/>
              </w:rPr>
              <w:t xml:space="preserve">operates </w:t>
            </w:r>
            <w:r w:rsidR="00075AA7" w:rsidRPr="00E20196">
              <w:rPr>
                <w:sz w:val="18"/>
                <w:szCs w:val="18"/>
              </w:rPr>
              <w:t xml:space="preserve">directly </w:t>
            </w:r>
            <w:r w:rsidR="00D01C66" w:rsidRPr="00E20196">
              <w:rPr>
                <w:sz w:val="18"/>
                <w:szCs w:val="18"/>
              </w:rPr>
              <w:t>under the guidance of and is accountable to the Conference</w:t>
            </w:r>
            <w:r w:rsidR="00F727B0">
              <w:rPr>
                <w:sz w:val="18"/>
                <w:szCs w:val="18"/>
              </w:rPr>
              <w:t xml:space="preserve"> of the Parties</w:t>
            </w:r>
            <w:r w:rsidR="00D01C66" w:rsidRPr="00BD69FE">
              <w:rPr>
                <w:sz w:val="18"/>
                <w:szCs w:val="18"/>
              </w:rPr>
              <w:t xml:space="preserve">. </w:t>
            </w:r>
            <w:r w:rsidR="00D832FC" w:rsidRPr="00E20196">
              <w:rPr>
                <w:sz w:val="18"/>
                <w:szCs w:val="18"/>
              </w:rPr>
              <w:t xml:space="preserve">It is also understood that under this scenario the specific international programme is an integral part of the Convention secretariat and the Executive Secretary will be accountable to the Conference </w:t>
            </w:r>
            <w:r w:rsidR="00ED3E70">
              <w:rPr>
                <w:sz w:val="18"/>
                <w:szCs w:val="18"/>
              </w:rPr>
              <w:t>of the Parties</w:t>
            </w:r>
            <w:r w:rsidR="00ED3E70" w:rsidRPr="00E20196">
              <w:rPr>
                <w:sz w:val="18"/>
                <w:szCs w:val="18"/>
              </w:rPr>
              <w:t xml:space="preserve"> </w:t>
            </w:r>
            <w:r w:rsidR="00D832FC" w:rsidRPr="00E20196">
              <w:rPr>
                <w:sz w:val="18"/>
                <w:szCs w:val="18"/>
              </w:rPr>
              <w:t>for the programme</w:t>
            </w:r>
            <w:r w:rsidR="00D832FC" w:rsidRPr="00D97581">
              <w:rPr>
                <w:sz w:val="18"/>
                <w:szCs w:val="18"/>
              </w:rPr>
              <w:t xml:space="preserve">. </w:t>
            </w:r>
          </w:p>
        </w:tc>
      </w:tr>
      <w:tr w:rsidR="00D50731" w:rsidRPr="00DA5F41" w14:paraId="1592265A" w14:textId="77777777" w:rsidTr="006F65A4">
        <w:tc>
          <w:tcPr>
            <w:tcW w:w="8487" w:type="dxa"/>
            <w:gridSpan w:val="2"/>
            <w:shd w:val="clear" w:color="auto" w:fill="D9D9D9" w:themeFill="background1" w:themeFillShade="D9"/>
          </w:tcPr>
          <w:p w14:paraId="4C2699F7" w14:textId="23E44E40" w:rsidR="00D50731" w:rsidRPr="00DA5F41" w:rsidRDefault="0065554B"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b/>
                <w:bCs/>
                <w:sz w:val="18"/>
                <w:szCs w:val="18"/>
              </w:rPr>
            </w:pPr>
            <w:r w:rsidRPr="00DA5F41">
              <w:rPr>
                <w:b/>
                <w:bCs/>
                <w:sz w:val="18"/>
                <w:szCs w:val="18"/>
              </w:rPr>
              <w:t>6</w:t>
            </w:r>
            <w:r w:rsidR="00D50731" w:rsidRPr="00DA5F41">
              <w:rPr>
                <w:b/>
                <w:bCs/>
                <w:sz w:val="18"/>
                <w:szCs w:val="18"/>
              </w:rPr>
              <w:t xml:space="preserve">. Administrative </w:t>
            </w:r>
            <w:r w:rsidR="00693B53">
              <w:rPr>
                <w:b/>
                <w:bCs/>
                <w:sz w:val="18"/>
                <w:szCs w:val="18"/>
              </w:rPr>
              <w:t>c</w:t>
            </w:r>
            <w:r w:rsidR="00D50731" w:rsidRPr="00DA5F41">
              <w:rPr>
                <w:b/>
                <w:bCs/>
                <w:sz w:val="18"/>
                <w:szCs w:val="18"/>
              </w:rPr>
              <w:t>onsideration</w:t>
            </w:r>
            <w:r w:rsidR="00ED3E70">
              <w:rPr>
                <w:b/>
                <w:bCs/>
                <w:sz w:val="18"/>
                <w:szCs w:val="18"/>
              </w:rPr>
              <w:t>s</w:t>
            </w:r>
          </w:p>
          <w:p w14:paraId="6F90802D" w14:textId="308C7648" w:rsidR="00D50731" w:rsidRPr="00DA5F41" w:rsidRDefault="00861A7F"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rPr>
            </w:pPr>
            <w:r w:rsidRPr="00DA5F41">
              <w:rPr>
                <w:sz w:val="18"/>
                <w:szCs w:val="18"/>
              </w:rPr>
              <w:t xml:space="preserve">To collect and manage the contributions to the specific international programme a trust fund will need to be established. </w:t>
            </w:r>
          </w:p>
        </w:tc>
      </w:tr>
      <w:tr w:rsidR="00B8506F" w:rsidRPr="00DA5F41" w14:paraId="62880B69" w14:textId="77777777" w:rsidTr="0000565C">
        <w:tc>
          <w:tcPr>
            <w:tcW w:w="4225" w:type="dxa"/>
            <w:vAlign w:val="center"/>
          </w:tcPr>
          <w:p w14:paraId="6E7533E9" w14:textId="182A9ECD" w:rsidR="00B8506F" w:rsidRPr="0029126E" w:rsidRDefault="00B8506F"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29126E">
              <w:rPr>
                <w:bCs/>
                <w:i/>
                <w:iCs/>
                <w:sz w:val="18"/>
                <w:szCs w:val="18"/>
              </w:rPr>
              <w:t>Branch</w:t>
            </w:r>
          </w:p>
        </w:tc>
        <w:tc>
          <w:tcPr>
            <w:tcW w:w="4262" w:type="dxa"/>
            <w:vAlign w:val="center"/>
          </w:tcPr>
          <w:p w14:paraId="21555AC5" w14:textId="361AE847" w:rsidR="00B8506F" w:rsidRPr="0029126E" w:rsidRDefault="00B8506F" w:rsidP="0000565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eastAsia="en-US"/>
              </w:rPr>
            </w:pPr>
            <w:r w:rsidRPr="0029126E">
              <w:rPr>
                <w:bCs/>
                <w:i/>
                <w:iCs/>
                <w:sz w:val="18"/>
                <w:szCs w:val="18"/>
              </w:rPr>
              <w:t>Convention secretariat</w:t>
            </w:r>
          </w:p>
        </w:tc>
      </w:tr>
      <w:tr w:rsidR="001F7B7B" w:rsidRPr="00DA5F41" w14:paraId="1FDAAFFD" w14:textId="77777777" w:rsidTr="006F65A4">
        <w:tc>
          <w:tcPr>
            <w:tcW w:w="4225" w:type="dxa"/>
          </w:tcPr>
          <w:p w14:paraId="78E1B1D0" w14:textId="2BDD7713" w:rsidR="00E141C8" w:rsidRPr="0029126E" w:rsidRDefault="008353CA" w:rsidP="009E3138">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bCs/>
                <w:sz w:val="18"/>
                <w:szCs w:val="18"/>
              </w:rPr>
            </w:pPr>
            <w:r>
              <w:rPr>
                <w:bCs/>
                <w:sz w:val="18"/>
                <w:szCs w:val="18"/>
              </w:rPr>
              <w:t>A</w:t>
            </w:r>
            <w:r w:rsidR="00861A7F" w:rsidRPr="00B8506F">
              <w:rPr>
                <w:bCs/>
                <w:sz w:val="18"/>
                <w:szCs w:val="18"/>
              </w:rPr>
              <w:t xml:space="preserve"> </w:t>
            </w:r>
            <w:r w:rsidR="00B8506F">
              <w:rPr>
                <w:bCs/>
                <w:sz w:val="18"/>
                <w:szCs w:val="18"/>
              </w:rPr>
              <w:t xml:space="preserve">new </w:t>
            </w:r>
            <w:r w:rsidR="002F458C" w:rsidRPr="00B8506F">
              <w:rPr>
                <w:bCs/>
                <w:sz w:val="18"/>
                <w:szCs w:val="18"/>
              </w:rPr>
              <w:t>voluntary</w:t>
            </w:r>
            <w:r w:rsidR="00861A7F" w:rsidRPr="00B8506F">
              <w:rPr>
                <w:bCs/>
                <w:sz w:val="18"/>
                <w:szCs w:val="18"/>
              </w:rPr>
              <w:t xml:space="preserve"> trust fund would need to be established with the Co</w:t>
            </w:r>
            <w:r w:rsidR="001A576D" w:rsidRPr="00B8506F">
              <w:rPr>
                <w:bCs/>
                <w:sz w:val="18"/>
                <w:szCs w:val="18"/>
              </w:rPr>
              <w:t>n</w:t>
            </w:r>
            <w:r w:rsidR="00861A7F" w:rsidRPr="00B8506F">
              <w:rPr>
                <w:bCs/>
                <w:sz w:val="18"/>
                <w:szCs w:val="18"/>
              </w:rPr>
              <w:t xml:space="preserve">troller in New York through the Corporate Services Division </w:t>
            </w:r>
            <w:r w:rsidR="00ED3E70">
              <w:rPr>
                <w:bCs/>
                <w:sz w:val="18"/>
                <w:szCs w:val="18"/>
              </w:rPr>
              <w:t xml:space="preserve">of UNEP </w:t>
            </w:r>
            <w:r w:rsidR="00861A7F" w:rsidRPr="00B8506F">
              <w:rPr>
                <w:bCs/>
                <w:sz w:val="18"/>
                <w:szCs w:val="18"/>
              </w:rPr>
              <w:t xml:space="preserve">in Nairobi. </w:t>
            </w:r>
            <w:r w:rsidR="00DD431C">
              <w:rPr>
                <w:bCs/>
                <w:sz w:val="18"/>
                <w:szCs w:val="18"/>
              </w:rPr>
              <w:t>Its</w:t>
            </w:r>
            <w:r w:rsidR="00DD431C" w:rsidRPr="00B8506F">
              <w:rPr>
                <w:bCs/>
                <w:sz w:val="18"/>
                <w:szCs w:val="18"/>
              </w:rPr>
              <w:t xml:space="preserve"> </w:t>
            </w:r>
            <w:r w:rsidR="00861A7F" w:rsidRPr="00B8506F">
              <w:rPr>
                <w:bCs/>
                <w:sz w:val="18"/>
                <w:szCs w:val="18"/>
              </w:rPr>
              <w:t>establishment would entail no direct costs. Th</w:t>
            </w:r>
            <w:r w:rsidR="00DD431C">
              <w:rPr>
                <w:bCs/>
                <w:sz w:val="18"/>
                <w:szCs w:val="18"/>
              </w:rPr>
              <w:t>e</w:t>
            </w:r>
            <w:r w:rsidR="00861A7F" w:rsidRPr="00B8506F">
              <w:rPr>
                <w:bCs/>
                <w:sz w:val="18"/>
                <w:szCs w:val="18"/>
              </w:rPr>
              <w:t xml:space="preserve"> </w:t>
            </w:r>
            <w:r w:rsidR="00403191" w:rsidRPr="00B8506F">
              <w:rPr>
                <w:bCs/>
                <w:sz w:val="18"/>
                <w:szCs w:val="18"/>
              </w:rPr>
              <w:t>trust</w:t>
            </w:r>
            <w:r w:rsidR="002B0CEC" w:rsidRPr="00B8506F">
              <w:rPr>
                <w:bCs/>
                <w:sz w:val="18"/>
                <w:szCs w:val="18"/>
              </w:rPr>
              <w:t xml:space="preserve"> fund would be administered</w:t>
            </w:r>
            <w:r w:rsidR="00861A7F" w:rsidRPr="00B8506F">
              <w:rPr>
                <w:bCs/>
                <w:sz w:val="18"/>
                <w:szCs w:val="18"/>
              </w:rPr>
              <w:t xml:space="preserve"> through the Branch, </w:t>
            </w:r>
            <w:r w:rsidR="001A576D" w:rsidRPr="00B8506F">
              <w:rPr>
                <w:bCs/>
                <w:sz w:val="18"/>
                <w:szCs w:val="18"/>
              </w:rPr>
              <w:t xml:space="preserve">in </w:t>
            </w:r>
            <w:r w:rsidR="00861A7F" w:rsidRPr="00B8506F">
              <w:rPr>
                <w:bCs/>
                <w:sz w:val="18"/>
                <w:szCs w:val="18"/>
              </w:rPr>
              <w:t xml:space="preserve">much </w:t>
            </w:r>
            <w:r w:rsidR="001A576D" w:rsidRPr="00B8506F">
              <w:rPr>
                <w:bCs/>
                <w:sz w:val="18"/>
                <w:szCs w:val="18"/>
              </w:rPr>
              <w:t>the same way as</w:t>
            </w:r>
            <w:r w:rsidR="00CC52C1" w:rsidRPr="00B8506F">
              <w:rPr>
                <w:bCs/>
                <w:sz w:val="18"/>
                <w:szCs w:val="18"/>
              </w:rPr>
              <w:t xml:space="preserve"> </w:t>
            </w:r>
            <w:r w:rsidR="00861A7F" w:rsidRPr="00B8506F">
              <w:rPr>
                <w:bCs/>
                <w:sz w:val="18"/>
                <w:szCs w:val="18"/>
              </w:rPr>
              <w:t xml:space="preserve">the Quick Start Programme </w:t>
            </w:r>
            <w:r w:rsidR="00CC52C1" w:rsidRPr="00B8506F">
              <w:rPr>
                <w:bCs/>
                <w:sz w:val="18"/>
                <w:szCs w:val="18"/>
              </w:rPr>
              <w:t>and</w:t>
            </w:r>
            <w:r w:rsidR="00861A7F" w:rsidRPr="00B8506F">
              <w:rPr>
                <w:bCs/>
                <w:sz w:val="18"/>
                <w:szCs w:val="18"/>
              </w:rPr>
              <w:t xml:space="preserve"> the </w:t>
            </w:r>
            <w:r w:rsidR="009E3138">
              <w:rPr>
                <w:bCs/>
                <w:sz w:val="18"/>
                <w:szCs w:val="18"/>
              </w:rPr>
              <w:t>S</w:t>
            </w:r>
            <w:r w:rsidR="00861A7F" w:rsidRPr="00B8506F">
              <w:rPr>
                <w:bCs/>
                <w:sz w:val="18"/>
                <w:szCs w:val="18"/>
              </w:rPr>
              <w:t xml:space="preserve">pecial </w:t>
            </w:r>
            <w:r w:rsidR="009E3138">
              <w:rPr>
                <w:bCs/>
                <w:sz w:val="18"/>
                <w:szCs w:val="18"/>
              </w:rPr>
              <w:t>P</w:t>
            </w:r>
            <w:r w:rsidR="00403191" w:rsidRPr="00B8506F">
              <w:rPr>
                <w:bCs/>
                <w:sz w:val="18"/>
                <w:szCs w:val="18"/>
              </w:rPr>
              <w:t>rogramme</w:t>
            </w:r>
            <w:r w:rsidR="00861A7F" w:rsidRPr="00B8506F">
              <w:rPr>
                <w:bCs/>
                <w:sz w:val="18"/>
                <w:szCs w:val="18"/>
              </w:rPr>
              <w:t xml:space="preserve"> trust fund</w:t>
            </w:r>
            <w:r w:rsidR="00313A62">
              <w:rPr>
                <w:bCs/>
                <w:sz w:val="18"/>
                <w:szCs w:val="18"/>
              </w:rPr>
              <w:t>s</w:t>
            </w:r>
            <w:r w:rsidR="00861A7F" w:rsidRPr="00B8506F">
              <w:rPr>
                <w:bCs/>
                <w:sz w:val="18"/>
                <w:szCs w:val="18"/>
              </w:rPr>
              <w:t xml:space="preserve"> </w:t>
            </w:r>
            <w:r w:rsidR="00DD431C">
              <w:rPr>
                <w:bCs/>
                <w:sz w:val="18"/>
                <w:szCs w:val="18"/>
              </w:rPr>
              <w:t>are</w:t>
            </w:r>
            <w:r w:rsidR="00DD431C" w:rsidRPr="00B8506F">
              <w:rPr>
                <w:bCs/>
                <w:sz w:val="18"/>
                <w:szCs w:val="18"/>
              </w:rPr>
              <w:t xml:space="preserve"> </w:t>
            </w:r>
            <w:r w:rsidR="00861A7F" w:rsidRPr="00B8506F">
              <w:rPr>
                <w:bCs/>
                <w:sz w:val="18"/>
                <w:szCs w:val="18"/>
              </w:rPr>
              <w:t xml:space="preserve">managed and administered. </w:t>
            </w:r>
          </w:p>
        </w:tc>
        <w:tc>
          <w:tcPr>
            <w:tcW w:w="4262" w:type="dxa"/>
          </w:tcPr>
          <w:p w14:paraId="424D7F95" w14:textId="0F58C38A" w:rsidR="008353CA" w:rsidRDefault="00861A7F"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
                <w:bCs/>
                <w:sz w:val="18"/>
                <w:szCs w:val="18"/>
                <w:lang w:eastAsia="en-US"/>
              </w:rPr>
            </w:pPr>
            <w:r w:rsidRPr="00B8506F">
              <w:rPr>
                <w:bCs/>
                <w:sz w:val="18"/>
                <w:szCs w:val="18"/>
              </w:rPr>
              <w:t xml:space="preserve"> </w:t>
            </w:r>
            <w:r w:rsidR="008353CA">
              <w:rPr>
                <w:bCs/>
                <w:sz w:val="18"/>
                <w:szCs w:val="18"/>
              </w:rPr>
              <w:t>T</w:t>
            </w:r>
            <w:r w:rsidR="008D2FBE" w:rsidRPr="00B8506F">
              <w:rPr>
                <w:bCs/>
                <w:sz w:val="18"/>
                <w:szCs w:val="18"/>
              </w:rPr>
              <w:t>wo scenarios are possible</w:t>
            </w:r>
            <w:r w:rsidR="008353CA">
              <w:rPr>
                <w:bCs/>
                <w:sz w:val="18"/>
                <w:szCs w:val="18"/>
              </w:rPr>
              <w:t>:</w:t>
            </w:r>
          </w:p>
          <w:p w14:paraId="5F03C3FF" w14:textId="465E8B07" w:rsidR="008353CA" w:rsidRDefault="008353CA"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
                <w:bCs/>
                <w:sz w:val="18"/>
                <w:szCs w:val="18"/>
                <w:lang w:eastAsia="en-US"/>
              </w:rPr>
            </w:pPr>
            <w:r>
              <w:rPr>
                <w:bCs/>
                <w:sz w:val="18"/>
                <w:szCs w:val="18"/>
              </w:rPr>
              <w:t>(a) F</w:t>
            </w:r>
            <w:r w:rsidR="008D2FBE" w:rsidRPr="00B8506F">
              <w:rPr>
                <w:bCs/>
                <w:sz w:val="18"/>
                <w:szCs w:val="18"/>
              </w:rPr>
              <w:t xml:space="preserve">ollowing </w:t>
            </w:r>
            <w:r w:rsidR="001A576D" w:rsidRPr="00B8506F">
              <w:rPr>
                <w:bCs/>
                <w:sz w:val="18"/>
                <w:szCs w:val="18"/>
              </w:rPr>
              <w:t>the first meeting of the Conference of the Parties</w:t>
            </w:r>
            <w:r w:rsidR="00CC52C1" w:rsidRPr="00B8506F">
              <w:rPr>
                <w:bCs/>
                <w:sz w:val="18"/>
                <w:szCs w:val="18"/>
              </w:rPr>
              <w:t>,</w:t>
            </w:r>
            <w:r w:rsidR="008D2FBE" w:rsidRPr="00B8506F">
              <w:rPr>
                <w:bCs/>
                <w:sz w:val="18"/>
                <w:szCs w:val="18"/>
              </w:rPr>
              <w:t xml:space="preserve"> the Convention secretariat</w:t>
            </w:r>
            <w:r w:rsidR="001A576D" w:rsidRPr="00B8506F">
              <w:rPr>
                <w:bCs/>
                <w:sz w:val="18"/>
                <w:szCs w:val="18"/>
              </w:rPr>
              <w:t>,</w:t>
            </w:r>
            <w:r w:rsidR="008D2FBE" w:rsidRPr="00B8506F">
              <w:rPr>
                <w:bCs/>
                <w:sz w:val="18"/>
                <w:szCs w:val="18"/>
              </w:rPr>
              <w:t xml:space="preserve"> through the Corporate Services Division in Nairobi</w:t>
            </w:r>
            <w:r w:rsidR="001A576D" w:rsidRPr="00B8506F">
              <w:rPr>
                <w:bCs/>
                <w:sz w:val="18"/>
                <w:szCs w:val="18"/>
              </w:rPr>
              <w:t>,</w:t>
            </w:r>
            <w:r w:rsidR="008D2FBE" w:rsidRPr="00B8506F">
              <w:rPr>
                <w:bCs/>
                <w:sz w:val="18"/>
                <w:szCs w:val="18"/>
              </w:rPr>
              <w:t xml:space="preserve"> establish</w:t>
            </w:r>
            <w:r w:rsidR="00491432">
              <w:rPr>
                <w:bCs/>
                <w:sz w:val="18"/>
                <w:szCs w:val="18"/>
              </w:rPr>
              <w:t>es</w:t>
            </w:r>
            <w:r w:rsidR="008D2FBE" w:rsidRPr="00B8506F">
              <w:rPr>
                <w:bCs/>
                <w:sz w:val="18"/>
                <w:szCs w:val="18"/>
              </w:rPr>
              <w:t xml:space="preserve"> a </w:t>
            </w:r>
            <w:r w:rsidR="001A576D" w:rsidRPr="00B8506F">
              <w:rPr>
                <w:bCs/>
                <w:sz w:val="18"/>
                <w:szCs w:val="18"/>
              </w:rPr>
              <w:t>v</w:t>
            </w:r>
            <w:r w:rsidR="008D2FBE" w:rsidRPr="00B8506F">
              <w:rPr>
                <w:bCs/>
                <w:sz w:val="18"/>
                <w:szCs w:val="18"/>
              </w:rPr>
              <w:t xml:space="preserve">oluntary </w:t>
            </w:r>
            <w:r w:rsidR="001A576D" w:rsidRPr="00B8506F">
              <w:rPr>
                <w:bCs/>
                <w:sz w:val="18"/>
                <w:szCs w:val="18"/>
              </w:rPr>
              <w:t>t</w:t>
            </w:r>
            <w:r w:rsidR="008D2FBE" w:rsidRPr="00B8506F">
              <w:rPr>
                <w:bCs/>
                <w:sz w:val="18"/>
                <w:szCs w:val="18"/>
              </w:rPr>
              <w:t xml:space="preserve">rust </w:t>
            </w:r>
            <w:r w:rsidR="001A576D" w:rsidRPr="00B8506F">
              <w:rPr>
                <w:bCs/>
                <w:sz w:val="18"/>
                <w:szCs w:val="18"/>
              </w:rPr>
              <w:t>f</w:t>
            </w:r>
            <w:r w:rsidR="008D2FBE" w:rsidRPr="00B8506F">
              <w:rPr>
                <w:bCs/>
                <w:sz w:val="18"/>
                <w:szCs w:val="18"/>
              </w:rPr>
              <w:t>und for the Convention with the Co</w:t>
            </w:r>
            <w:r w:rsidR="001A576D" w:rsidRPr="00B8506F">
              <w:rPr>
                <w:bCs/>
                <w:sz w:val="18"/>
                <w:szCs w:val="18"/>
              </w:rPr>
              <w:t>n</w:t>
            </w:r>
            <w:r w:rsidR="008D2FBE" w:rsidRPr="00B8506F">
              <w:rPr>
                <w:bCs/>
                <w:sz w:val="18"/>
                <w:szCs w:val="18"/>
              </w:rPr>
              <w:t xml:space="preserve">troller in New York. </w:t>
            </w:r>
            <w:r w:rsidR="001A576D" w:rsidRPr="00B8506F">
              <w:rPr>
                <w:bCs/>
                <w:sz w:val="18"/>
                <w:szCs w:val="18"/>
              </w:rPr>
              <w:t>T</w:t>
            </w:r>
            <w:r w:rsidR="008D2FBE" w:rsidRPr="00B8506F">
              <w:rPr>
                <w:bCs/>
                <w:sz w:val="18"/>
                <w:szCs w:val="18"/>
              </w:rPr>
              <w:t xml:space="preserve">he specific international programme </w:t>
            </w:r>
            <w:r w:rsidR="001A576D" w:rsidRPr="00B8506F">
              <w:rPr>
                <w:bCs/>
                <w:sz w:val="18"/>
                <w:szCs w:val="18"/>
              </w:rPr>
              <w:t xml:space="preserve">could </w:t>
            </w:r>
            <w:r w:rsidR="008D2FBE" w:rsidRPr="00B8506F">
              <w:rPr>
                <w:bCs/>
                <w:sz w:val="18"/>
                <w:szCs w:val="18"/>
              </w:rPr>
              <w:t>be included as a separate window within th</w:t>
            </w:r>
            <w:r w:rsidR="008B0264">
              <w:rPr>
                <w:bCs/>
                <w:sz w:val="18"/>
                <w:szCs w:val="18"/>
              </w:rPr>
              <w:t>at</w:t>
            </w:r>
            <w:r w:rsidR="008D2FBE" w:rsidRPr="00B8506F">
              <w:rPr>
                <w:bCs/>
                <w:sz w:val="18"/>
                <w:szCs w:val="18"/>
              </w:rPr>
              <w:t xml:space="preserve"> </w:t>
            </w:r>
            <w:r w:rsidR="001A576D" w:rsidRPr="00B8506F">
              <w:rPr>
                <w:bCs/>
                <w:sz w:val="18"/>
                <w:szCs w:val="18"/>
              </w:rPr>
              <w:t>t</w:t>
            </w:r>
            <w:r w:rsidR="008D2FBE" w:rsidRPr="00B8506F">
              <w:rPr>
                <w:bCs/>
                <w:sz w:val="18"/>
                <w:szCs w:val="18"/>
              </w:rPr>
              <w:t xml:space="preserve">rust </w:t>
            </w:r>
            <w:r w:rsidR="001A576D" w:rsidRPr="00B8506F">
              <w:rPr>
                <w:bCs/>
                <w:sz w:val="18"/>
                <w:szCs w:val="18"/>
              </w:rPr>
              <w:t>f</w:t>
            </w:r>
            <w:r w:rsidR="008D2FBE" w:rsidRPr="00B8506F">
              <w:rPr>
                <w:bCs/>
                <w:sz w:val="18"/>
                <w:szCs w:val="18"/>
              </w:rPr>
              <w:t>und</w:t>
            </w:r>
            <w:r>
              <w:rPr>
                <w:bCs/>
                <w:sz w:val="18"/>
                <w:szCs w:val="18"/>
              </w:rPr>
              <w:t>;</w:t>
            </w:r>
          </w:p>
          <w:p w14:paraId="056F74A6" w14:textId="57442C13" w:rsidR="00E141C8" w:rsidRPr="0029126E" w:rsidRDefault="008353CA"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bCs/>
                <w:sz w:val="18"/>
                <w:szCs w:val="18"/>
              </w:rPr>
            </w:pPr>
            <w:r>
              <w:rPr>
                <w:bCs/>
                <w:sz w:val="18"/>
                <w:szCs w:val="18"/>
              </w:rPr>
              <w:t>(b)</w:t>
            </w:r>
            <w:r w:rsidR="008D2FBE" w:rsidRPr="00B8506F">
              <w:rPr>
                <w:bCs/>
                <w:sz w:val="18"/>
                <w:szCs w:val="18"/>
              </w:rPr>
              <w:t xml:space="preserve"> </w:t>
            </w:r>
            <w:r w:rsidR="00C449EE">
              <w:rPr>
                <w:bCs/>
                <w:sz w:val="18"/>
                <w:szCs w:val="18"/>
              </w:rPr>
              <w:t>T</w:t>
            </w:r>
            <w:r w:rsidR="008D2FBE" w:rsidRPr="00B8506F">
              <w:rPr>
                <w:bCs/>
                <w:sz w:val="18"/>
                <w:szCs w:val="18"/>
              </w:rPr>
              <w:t xml:space="preserve">he </w:t>
            </w:r>
            <w:r w:rsidR="001A576D" w:rsidRPr="00B8506F">
              <w:rPr>
                <w:bCs/>
                <w:sz w:val="18"/>
                <w:szCs w:val="18"/>
              </w:rPr>
              <w:t>v</w:t>
            </w:r>
            <w:r w:rsidR="008D2FBE" w:rsidRPr="00B8506F">
              <w:rPr>
                <w:bCs/>
                <w:sz w:val="18"/>
                <w:szCs w:val="18"/>
              </w:rPr>
              <w:t xml:space="preserve">oluntary </w:t>
            </w:r>
            <w:r w:rsidR="001A576D" w:rsidRPr="00B8506F">
              <w:rPr>
                <w:bCs/>
                <w:sz w:val="18"/>
                <w:szCs w:val="18"/>
              </w:rPr>
              <w:t>t</w:t>
            </w:r>
            <w:r w:rsidR="008D2FBE" w:rsidRPr="00B8506F">
              <w:rPr>
                <w:bCs/>
                <w:sz w:val="18"/>
                <w:szCs w:val="18"/>
              </w:rPr>
              <w:t xml:space="preserve">rust </w:t>
            </w:r>
            <w:r w:rsidR="001A576D" w:rsidRPr="00B8506F">
              <w:rPr>
                <w:bCs/>
                <w:sz w:val="18"/>
                <w:szCs w:val="18"/>
              </w:rPr>
              <w:t>f</w:t>
            </w:r>
            <w:r w:rsidR="008D2FBE" w:rsidRPr="00B8506F">
              <w:rPr>
                <w:bCs/>
                <w:sz w:val="18"/>
                <w:szCs w:val="18"/>
              </w:rPr>
              <w:t>und</w:t>
            </w:r>
            <w:r w:rsidR="001A576D" w:rsidRPr="00B8506F">
              <w:rPr>
                <w:bCs/>
                <w:sz w:val="18"/>
                <w:szCs w:val="18"/>
              </w:rPr>
              <w:t xml:space="preserve"> is set up under the Convention</w:t>
            </w:r>
            <w:r w:rsidR="00C449EE">
              <w:rPr>
                <w:bCs/>
                <w:sz w:val="18"/>
                <w:szCs w:val="18"/>
              </w:rPr>
              <w:t xml:space="preserve"> and</w:t>
            </w:r>
            <w:r w:rsidR="008D2FBE" w:rsidRPr="00B8506F">
              <w:rPr>
                <w:bCs/>
                <w:sz w:val="18"/>
                <w:szCs w:val="18"/>
              </w:rPr>
              <w:t xml:space="preserve"> the Convention secretariat submit</w:t>
            </w:r>
            <w:r w:rsidR="00C449EE">
              <w:rPr>
                <w:bCs/>
                <w:sz w:val="18"/>
                <w:szCs w:val="18"/>
              </w:rPr>
              <w:t>s</w:t>
            </w:r>
            <w:r w:rsidR="008D2FBE" w:rsidRPr="00B8506F">
              <w:rPr>
                <w:bCs/>
                <w:sz w:val="18"/>
                <w:szCs w:val="18"/>
              </w:rPr>
              <w:t xml:space="preserve"> a second application to create a separate trust fund dedicated to the</w:t>
            </w:r>
            <w:r w:rsidR="00ED3E70" w:rsidRPr="00B8506F">
              <w:rPr>
                <w:bCs/>
                <w:sz w:val="18"/>
                <w:szCs w:val="18"/>
              </w:rPr>
              <w:t xml:space="preserve"> specific international</w:t>
            </w:r>
            <w:r w:rsidR="008D2FBE" w:rsidRPr="00B8506F">
              <w:rPr>
                <w:bCs/>
                <w:sz w:val="18"/>
                <w:szCs w:val="18"/>
              </w:rPr>
              <w:t xml:space="preserve"> programme. </w:t>
            </w:r>
          </w:p>
        </w:tc>
      </w:tr>
    </w:tbl>
    <w:p w14:paraId="5D4ED77C" w14:textId="4DFB025E" w:rsidR="00CB2B2B" w:rsidRPr="002E371D" w:rsidRDefault="002E371D" w:rsidP="00BD69FE">
      <w:pPr>
        <w:pStyle w:val="CH1"/>
      </w:pPr>
      <w:r>
        <w:tab/>
      </w:r>
      <w:r w:rsidR="005A61B9">
        <w:t>III</w:t>
      </w:r>
      <w:r>
        <w:t>.</w:t>
      </w:r>
      <w:r>
        <w:tab/>
      </w:r>
      <w:r w:rsidR="001575F4">
        <w:t>D</w:t>
      </w:r>
      <w:r w:rsidR="00CB2B2B" w:rsidRPr="002E371D">
        <w:t xml:space="preserve">uration of the specific international programme </w:t>
      </w:r>
    </w:p>
    <w:p w14:paraId="0BA44DDA" w14:textId="6B2D9590" w:rsidR="004529F3" w:rsidRDefault="00C144B8" w:rsidP="00E20196">
      <w:pPr>
        <w:pStyle w:val="Normalnumber"/>
      </w:pPr>
      <w:r>
        <w:t>At the conclusion of the seventh session of the intergovernmental negotiating committee</w:t>
      </w:r>
      <w:r w:rsidR="00CC52C1">
        <w:t>,</w:t>
      </w:r>
      <w:r>
        <w:t xml:space="preserve"> the duration of the specific international programme was left </w:t>
      </w:r>
      <w:r w:rsidR="006319AA">
        <w:t xml:space="preserve">in square </w:t>
      </w:r>
      <w:r>
        <w:t>bracket</w:t>
      </w:r>
      <w:r w:rsidR="006319AA">
        <w:t>s</w:t>
      </w:r>
      <w:r>
        <w:t xml:space="preserve"> to </w:t>
      </w:r>
      <w:r w:rsidR="006319AA">
        <w:t xml:space="preserve">show </w:t>
      </w:r>
      <w:r w:rsidR="00CC52C1">
        <w:t>three options. T</w:t>
      </w:r>
      <w:r>
        <w:t>he programme could be open to receive voluntary contributions and applications for support for</w:t>
      </w:r>
      <w:r w:rsidR="001A576D">
        <w:t>:</w:t>
      </w:r>
      <w:r>
        <w:t xml:space="preserve"> </w:t>
      </w:r>
    </w:p>
    <w:p w14:paraId="0D7E3436" w14:textId="4F29C0F4" w:rsidR="004529F3" w:rsidRDefault="004529F3" w:rsidP="00E20196">
      <w:pPr>
        <w:pStyle w:val="Normalnumber"/>
        <w:numPr>
          <w:ilvl w:val="1"/>
          <w:numId w:val="5"/>
        </w:numPr>
      </w:pPr>
      <w:r>
        <w:t xml:space="preserve">A </w:t>
      </w:r>
      <w:r w:rsidR="00C144B8">
        <w:t>fixed period</w:t>
      </w:r>
      <w:r w:rsidR="001A576D">
        <w:t>;</w:t>
      </w:r>
      <w:r w:rsidR="00C144B8">
        <w:t xml:space="preserve"> </w:t>
      </w:r>
    </w:p>
    <w:p w14:paraId="36E6FFB3" w14:textId="1146E2AB" w:rsidR="004529F3" w:rsidRDefault="004529F3" w:rsidP="00E20196">
      <w:pPr>
        <w:pStyle w:val="Normalnumber"/>
        <w:numPr>
          <w:ilvl w:val="1"/>
          <w:numId w:val="5"/>
        </w:numPr>
      </w:pPr>
      <w:r>
        <w:t>A</w:t>
      </w:r>
      <w:r w:rsidR="00C144B8">
        <w:t>n unlimited period</w:t>
      </w:r>
      <w:r w:rsidR="001A576D">
        <w:t>;</w:t>
      </w:r>
      <w:r w:rsidR="00C144B8">
        <w:t xml:space="preserve"> </w:t>
      </w:r>
    </w:p>
    <w:p w14:paraId="50B56C63" w14:textId="452F1710" w:rsidR="00A42B32" w:rsidRDefault="004529F3" w:rsidP="00E20196">
      <w:pPr>
        <w:pStyle w:val="Normalnumber"/>
        <w:numPr>
          <w:ilvl w:val="1"/>
          <w:numId w:val="5"/>
        </w:numPr>
      </w:pPr>
      <w:r>
        <w:t>A</w:t>
      </w:r>
      <w:r w:rsidR="00C144B8">
        <w:t xml:space="preserve"> period determined as part of the review of the financial mechanism in accordance with paragraph 11 of article 13</w:t>
      </w:r>
      <w:r w:rsidR="001A576D">
        <w:t xml:space="preserve"> of the Convention</w:t>
      </w:r>
      <w:r w:rsidR="00C144B8">
        <w:t xml:space="preserve">. </w:t>
      </w:r>
    </w:p>
    <w:p w14:paraId="5A5632F2" w14:textId="6B11170C" w:rsidR="00AE35B6" w:rsidRDefault="00CC52C1" w:rsidP="00E20196">
      <w:pPr>
        <w:pStyle w:val="Normalnumber"/>
      </w:pPr>
      <w:r>
        <w:t>T</w:t>
      </w:r>
      <w:r w:rsidR="00141C3E">
        <w:t>he</w:t>
      </w:r>
      <w:r w:rsidR="00C144B8">
        <w:t xml:space="preserve"> ad hoc working gr</w:t>
      </w:r>
      <w:r w:rsidR="00141C3E">
        <w:t>oup of experts on financing</w:t>
      </w:r>
      <w:r>
        <w:t>,</w:t>
      </w:r>
      <w:r w:rsidR="00141C3E">
        <w:t xml:space="preserve"> </w:t>
      </w:r>
      <w:r w:rsidR="00AE35B6">
        <w:t xml:space="preserve">which met in </w:t>
      </w:r>
      <w:r w:rsidR="00AE35B6" w:rsidRPr="00AE35B6">
        <w:t>S</w:t>
      </w:r>
      <w:r w:rsidR="006035A3">
        <w:t>ã</w:t>
      </w:r>
      <w:r w:rsidR="00AE35B6" w:rsidRPr="00AE35B6">
        <w:t xml:space="preserve">o Paulo, Brazil, from 26 to 29 October 2015, </w:t>
      </w:r>
      <w:r w:rsidR="00764537">
        <w:t>considered it premature to discuss the duration of the specifi</w:t>
      </w:r>
      <w:r>
        <w:t>c international programme. T</w:t>
      </w:r>
      <w:r w:rsidR="00764537">
        <w:t>he committee also did not delv</w:t>
      </w:r>
      <w:r>
        <w:t>e deeper into this question</w:t>
      </w:r>
      <w:r w:rsidR="001A576D" w:rsidRPr="001A576D">
        <w:t xml:space="preserve"> </w:t>
      </w:r>
      <w:r w:rsidR="001A576D">
        <w:t>at its seventh session</w:t>
      </w:r>
      <w:r>
        <w:t>. It</w:t>
      </w:r>
      <w:r w:rsidR="00764537">
        <w:t xml:space="preserve"> is noteworthy that the ad hoc working group reached </w:t>
      </w:r>
      <w:r w:rsidR="001A576D">
        <w:t xml:space="preserve">a </w:t>
      </w:r>
      <w:r w:rsidR="00764537">
        <w:t xml:space="preserve">common understanding that the programme should consider adopting a programme for its implementation, which could be revised as necessary, and would indicate areas of the Convention on which to focus during a specific period. </w:t>
      </w:r>
      <w:r w:rsidR="003F4ADD">
        <w:t>Some o</w:t>
      </w:r>
      <w:r w:rsidR="00764537">
        <w:t xml:space="preserve">bligations </w:t>
      </w:r>
      <w:r w:rsidR="007362CD">
        <w:t xml:space="preserve">under </w:t>
      </w:r>
      <w:r w:rsidR="00764537">
        <w:t>some articles of the Convention are time</w:t>
      </w:r>
      <w:r w:rsidR="007362CD">
        <w:t>-</w:t>
      </w:r>
      <w:r w:rsidR="00764537">
        <w:t xml:space="preserve">bound and their duration is limited. </w:t>
      </w:r>
      <w:r w:rsidR="003F4ADD">
        <w:t>Accordingly, a</w:t>
      </w:r>
      <w:r w:rsidR="00764537">
        <w:t xml:space="preserve"> programmatic approach, informed by phase-down periods set out in </w:t>
      </w:r>
      <w:r w:rsidR="007362CD">
        <w:t xml:space="preserve">the </w:t>
      </w:r>
      <w:r w:rsidR="00764537">
        <w:t xml:space="preserve">time-bound articles of the Convention could be a way to identify duration parameters appropriate for the implementation of the Convention through </w:t>
      </w:r>
      <w:r w:rsidR="007362CD">
        <w:t xml:space="preserve">capacity-building and technical assistance funded under the </w:t>
      </w:r>
      <w:r w:rsidR="00764537">
        <w:t>specific international programme.</w:t>
      </w:r>
      <w:r w:rsidR="00764537" w:rsidRPr="0029126E">
        <w:rPr>
          <w:vertAlign w:val="superscript"/>
        </w:rPr>
        <w:footnoteReference w:id="4"/>
      </w:r>
    </w:p>
    <w:p w14:paraId="238DCCEF" w14:textId="1E3FB05A" w:rsidR="004D0B6A" w:rsidRDefault="00ED3E70" w:rsidP="006F65A4">
      <w:pPr>
        <w:pStyle w:val="Normalnumber"/>
        <w:keepNext/>
        <w:keepLines/>
      </w:pPr>
      <w:r>
        <w:lastRenderedPageBreak/>
        <w:t>The following t</w:t>
      </w:r>
      <w:r w:rsidR="004D0B6A">
        <w:t>able</w:t>
      </w:r>
      <w:r w:rsidR="00900D32">
        <w:t xml:space="preserve"> </w:t>
      </w:r>
      <w:r w:rsidR="007362CD">
        <w:t xml:space="preserve">provides </w:t>
      </w:r>
      <w:r w:rsidR="004D0B6A">
        <w:t>a</w:t>
      </w:r>
      <w:r w:rsidR="007362CD">
        <w:t>n</w:t>
      </w:r>
      <w:r w:rsidR="004D0B6A">
        <w:t xml:space="preserve"> overview of </w:t>
      </w:r>
      <w:r w:rsidR="00FF33A3">
        <w:t>phase-out dates and</w:t>
      </w:r>
      <w:r w:rsidR="004D0B6A">
        <w:t xml:space="preserve"> time-bound articles</w:t>
      </w:r>
      <w:r w:rsidR="007362CD">
        <w:t>.</w:t>
      </w:r>
      <w:r w:rsidR="004D0B6A">
        <w:t xml:space="preserve"> </w:t>
      </w:r>
    </w:p>
    <w:p w14:paraId="2CEEF9E0" w14:textId="0C5D4018" w:rsidR="00DA5F41" w:rsidRDefault="00DA5F41" w:rsidP="006F65A4">
      <w:pPr>
        <w:pStyle w:val="Titlefigure"/>
      </w:pPr>
      <w:r w:rsidRPr="00DA5F41">
        <w:rPr>
          <w:b w:val="0"/>
        </w:rPr>
        <w:t xml:space="preserve">Table </w:t>
      </w:r>
      <w:r w:rsidRPr="00DA5F41">
        <w:rPr>
          <w:b w:val="0"/>
        </w:rPr>
        <w:br/>
      </w:r>
      <w:r>
        <w:t>Phase-out dates and time-bound articles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3151"/>
        <w:gridCol w:w="3919"/>
      </w:tblGrid>
      <w:tr w:rsidR="00457F03" w:rsidRPr="00DA5F41" w14:paraId="0B6230C4" w14:textId="77777777" w:rsidTr="00DA5F41">
        <w:tc>
          <w:tcPr>
            <w:tcW w:w="1150" w:type="dxa"/>
            <w:tcBorders>
              <w:top w:val="single" w:sz="4" w:space="0" w:color="auto"/>
              <w:bottom w:val="single" w:sz="12" w:space="0" w:color="auto"/>
            </w:tcBorders>
            <w:shd w:val="clear" w:color="auto" w:fill="auto"/>
          </w:tcPr>
          <w:p w14:paraId="751B116C" w14:textId="50F590C4" w:rsidR="00457F03" w:rsidRPr="00DA5F41"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rPr>
            </w:pPr>
            <w:r w:rsidRPr="00DA5F41">
              <w:rPr>
                <w:i/>
                <w:sz w:val="18"/>
                <w:szCs w:val="18"/>
              </w:rPr>
              <w:t>Date</w:t>
            </w:r>
          </w:p>
        </w:tc>
        <w:tc>
          <w:tcPr>
            <w:tcW w:w="3151" w:type="dxa"/>
            <w:tcBorders>
              <w:top w:val="single" w:sz="4" w:space="0" w:color="auto"/>
              <w:bottom w:val="single" w:sz="12" w:space="0" w:color="auto"/>
            </w:tcBorders>
            <w:shd w:val="clear" w:color="auto" w:fill="auto"/>
          </w:tcPr>
          <w:p w14:paraId="2A7843B6" w14:textId="7D2C3342" w:rsidR="00457F03" w:rsidRPr="00DA5F41"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rPr>
            </w:pPr>
            <w:r w:rsidRPr="00DA5F41">
              <w:rPr>
                <w:i/>
                <w:sz w:val="18"/>
                <w:szCs w:val="18"/>
              </w:rPr>
              <w:t xml:space="preserve">Article </w:t>
            </w:r>
            <w:r w:rsidR="007362CD">
              <w:rPr>
                <w:i/>
                <w:sz w:val="18"/>
                <w:szCs w:val="18"/>
              </w:rPr>
              <w:t>of</w:t>
            </w:r>
            <w:r w:rsidR="007362CD" w:rsidRPr="00DA5F41">
              <w:rPr>
                <w:i/>
                <w:sz w:val="18"/>
                <w:szCs w:val="18"/>
              </w:rPr>
              <w:t xml:space="preserve"> </w:t>
            </w:r>
            <w:r w:rsidR="00484216">
              <w:rPr>
                <w:i/>
                <w:sz w:val="18"/>
                <w:szCs w:val="18"/>
              </w:rPr>
              <w:t xml:space="preserve">and annex to </w:t>
            </w:r>
            <w:r w:rsidRPr="00DA5F41">
              <w:rPr>
                <w:i/>
                <w:sz w:val="18"/>
                <w:szCs w:val="18"/>
              </w:rPr>
              <w:t>the Convention</w:t>
            </w:r>
          </w:p>
        </w:tc>
        <w:tc>
          <w:tcPr>
            <w:tcW w:w="3919" w:type="dxa"/>
            <w:tcBorders>
              <w:top w:val="single" w:sz="4" w:space="0" w:color="auto"/>
              <w:bottom w:val="single" w:sz="12" w:space="0" w:color="auto"/>
            </w:tcBorders>
            <w:shd w:val="clear" w:color="auto" w:fill="auto"/>
          </w:tcPr>
          <w:p w14:paraId="62CA711C" w14:textId="099A60F0" w:rsidR="00457F03" w:rsidRPr="00DA5F41"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rPr>
            </w:pPr>
            <w:r w:rsidRPr="00DA5F41">
              <w:rPr>
                <w:i/>
                <w:sz w:val="18"/>
                <w:szCs w:val="18"/>
              </w:rPr>
              <w:t>Description</w:t>
            </w:r>
          </w:p>
        </w:tc>
      </w:tr>
      <w:tr w:rsidR="002B66A3" w:rsidRPr="00DA5F41" w14:paraId="2311ECED" w14:textId="77777777" w:rsidTr="00DA5F41">
        <w:trPr>
          <w:trHeight w:val="494"/>
        </w:trPr>
        <w:tc>
          <w:tcPr>
            <w:tcW w:w="1150" w:type="dxa"/>
            <w:tcBorders>
              <w:top w:val="single" w:sz="12" w:space="0" w:color="auto"/>
            </w:tcBorders>
            <w:shd w:val="clear" w:color="auto" w:fill="auto"/>
          </w:tcPr>
          <w:p w14:paraId="6DFEE0FA" w14:textId="1B515411" w:rsidR="002B66A3" w:rsidRPr="00DA5F41" w:rsidRDefault="002B66A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2018</w:t>
            </w:r>
          </w:p>
        </w:tc>
        <w:tc>
          <w:tcPr>
            <w:tcW w:w="3151" w:type="dxa"/>
            <w:tcBorders>
              <w:top w:val="single" w:sz="12" w:space="0" w:color="auto"/>
            </w:tcBorders>
            <w:shd w:val="clear" w:color="auto" w:fill="auto"/>
          </w:tcPr>
          <w:p w14:paraId="480255A8" w14:textId="208FC53E" w:rsidR="002B66A3" w:rsidRPr="00DA5F41" w:rsidRDefault="004B7FCF"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5</w:t>
            </w:r>
            <w:r w:rsidR="009C2177">
              <w:rPr>
                <w:sz w:val="18"/>
                <w:szCs w:val="18"/>
              </w:rPr>
              <w:t xml:space="preserve"> (</w:t>
            </w:r>
            <w:r w:rsidR="002B66A3" w:rsidRPr="00DA5F41">
              <w:rPr>
                <w:sz w:val="18"/>
                <w:szCs w:val="18"/>
              </w:rPr>
              <w:t>2</w:t>
            </w:r>
            <w:r w:rsidR="009C2177">
              <w:rPr>
                <w:sz w:val="18"/>
                <w:szCs w:val="18"/>
              </w:rPr>
              <w:t xml:space="preserve">) and </w:t>
            </w:r>
            <w:r w:rsidR="00484216">
              <w:rPr>
                <w:sz w:val="18"/>
                <w:szCs w:val="18"/>
              </w:rPr>
              <w:t>a</w:t>
            </w:r>
            <w:r w:rsidR="002B66A3" w:rsidRPr="00DA5F41">
              <w:rPr>
                <w:sz w:val="18"/>
                <w:szCs w:val="18"/>
              </w:rPr>
              <w:t>nnex B</w:t>
            </w:r>
          </w:p>
        </w:tc>
        <w:tc>
          <w:tcPr>
            <w:tcW w:w="3919" w:type="dxa"/>
            <w:tcBorders>
              <w:top w:val="single" w:sz="12" w:space="0" w:color="auto"/>
            </w:tcBorders>
            <w:shd w:val="clear" w:color="auto" w:fill="auto"/>
          </w:tcPr>
          <w:p w14:paraId="6609DA8B" w14:textId="335775B8" w:rsidR="002B66A3" w:rsidRPr="00DA5F41" w:rsidRDefault="002B66A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Acetaldehyde production in which mercury or mercury compounds are used as a catalyst</w:t>
            </w:r>
          </w:p>
        </w:tc>
      </w:tr>
      <w:tr w:rsidR="003F3DD9" w:rsidRPr="00DA5F41" w14:paraId="6D55819B" w14:textId="77777777" w:rsidTr="00DA5F41">
        <w:tc>
          <w:tcPr>
            <w:tcW w:w="1150" w:type="dxa"/>
            <w:vMerge w:val="restart"/>
            <w:shd w:val="clear" w:color="auto" w:fill="auto"/>
          </w:tcPr>
          <w:p w14:paraId="7AF1DE78" w14:textId="0459FDE4" w:rsidR="003F3DD9" w:rsidRPr="00DA5F41"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2020</w:t>
            </w:r>
          </w:p>
        </w:tc>
        <w:tc>
          <w:tcPr>
            <w:tcW w:w="3151" w:type="dxa"/>
            <w:shd w:val="clear" w:color="auto" w:fill="auto"/>
          </w:tcPr>
          <w:p w14:paraId="2BF0A77E" w14:textId="0379B7A1" w:rsidR="003F3DD9" w:rsidRPr="00DA5F41"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4</w:t>
            </w:r>
            <w:r w:rsidR="009C2177">
              <w:rPr>
                <w:sz w:val="18"/>
                <w:szCs w:val="18"/>
              </w:rPr>
              <w:t xml:space="preserve"> (</w:t>
            </w:r>
            <w:r w:rsidRPr="00DA5F41">
              <w:rPr>
                <w:sz w:val="18"/>
                <w:szCs w:val="18"/>
              </w:rPr>
              <w:t>1</w:t>
            </w:r>
            <w:r w:rsidR="009C2177">
              <w:rPr>
                <w:sz w:val="18"/>
                <w:szCs w:val="18"/>
              </w:rPr>
              <w:t>) and</w:t>
            </w:r>
            <w:r w:rsidRPr="00DA5F41">
              <w:rPr>
                <w:sz w:val="18"/>
                <w:szCs w:val="18"/>
              </w:rPr>
              <w:t xml:space="preserve"> </w:t>
            </w:r>
            <w:r w:rsidR="00484216">
              <w:rPr>
                <w:sz w:val="18"/>
                <w:szCs w:val="18"/>
              </w:rPr>
              <w:t>a</w:t>
            </w:r>
            <w:r w:rsidRPr="00DA5F41">
              <w:rPr>
                <w:sz w:val="18"/>
                <w:szCs w:val="18"/>
              </w:rPr>
              <w:t>nnex A</w:t>
            </w:r>
          </w:p>
        </w:tc>
        <w:tc>
          <w:tcPr>
            <w:tcW w:w="3919" w:type="dxa"/>
            <w:shd w:val="clear" w:color="auto" w:fill="auto"/>
          </w:tcPr>
          <w:p w14:paraId="4A565707" w14:textId="52364348" w:rsidR="003F3DD9" w:rsidRPr="00DA5F41"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Manufacture, import or export of various mercury-added products shall not be allowed (including of batteries, switches and relays, compact and linear fluorescent lamps, high pressure mercury vapour lamps, cold cathode fluorescent lamps and external electrode fluorescent lamps for electronic displays, cosmetics, pesticides</w:t>
            </w:r>
            <w:r w:rsidR="005023B8">
              <w:rPr>
                <w:sz w:val="18"/>
                <w:szCs w:val="18"/>
              </w:rPr>
              <w:t>, biocides</w:t>
            </w:r>
            <w:r w:rsidRPr="00DA5F41">
              <w:rPr>
                <w:sz w:val="18"/>
                <w:szCs w:val="18"/>
              </w:rPr>
              <w:t xml:space="preserve"> and topical antiseptics, as well as barometers, hygrometers, manometers, thermometers and sphygmomanometers) </w:t>
            </w:r>
          </w:p>
        </w:tc>
      </w:tr>
      <w:tr w:rsidR="003F3DD9" w:rsidRPr="00DA5F41" w14:paraId="15C06F5A" w14:textId="77777777" w:rsidTr="00DA5F41">
        <w:tc>
          <w:tcPr>
            <w:tcW w:w="1150" w:type="dxa"/>
            <w:vMerge/>
            <w:shd w:val="clear" w:color="auto" w:fill="auto"/>
          </w:tcPr>
          <w:p w14:paraId="01BAFF31" w14:textId="2EF20666" w:rsidR="003F3DD9" w:rsidRPr="00DA5F41"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p>
        </w:tc>
        <w:tc>
          <w:tcPr>
            <w:tcW w:w="3151" w:type="dxa"/>
            <w:vMerge w:val="restart"/>
            <w:shd w:val="clear" w:color="auto" w:fill="auto"/>
          </w:tcPr>
          <w:p w14:paraId="4C5DF1D4" w14:textId="2ED2FAED" w:rsidR="003F3DD9" w:rsidRPr="00DA5F41"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5</w:t>
            </w:r>
            <w:r w:rsidR="009C2177">
              <w:rPr>
                <w:sz w:val="18"/>
                <w:szCs w:val="18"/>
              </w:rPr>
              <w:t xml:space="preserve"> (</w:t>
            </w:r>
            <w:r w:rsidRPr="00DA5F41">
              <w:rPr>
                <w:sz w:val="18"/>
                <w:szCs w:val="18"/>
              </w:rPr>
              <w:t>3</w:t>
            </w:r>
            <w:r w:rsidR="009C2177">
              <w:rPr>
                <w:sz w:val="18"/>
                <w:szCs w:val="18"/>
              </w:rPr>
              <w:t>) and</w:t>
            </w:r>
            <w:r w:rsidRPr="00DA5F41">
              <w:rPr>
                <w:sz w:val="18"/>
                <w:szCs w:val="18"/>
              </w:rPr>
              <w:t xml:space="preserve"> </w:t>
            </w:r>
            <w:r w:rsidR="00484216">
              <w:rPr>
                <w:sz w:val="18"/>
                <w:szCs w:val="18"/>
              </w:rPr>
              <w:t>a</w:t>
            </w:r>
            <w:r w:rsidRPr="00DA5F41">
              <w:rPr>
                <w:sz w:val="18"/>
                <w:szCs w:val="18"/>
              </w:rPr>
              <w:t>nnex B</w:t>
            </w:r>
          </w:p>
        </w:tc>
        <w:tc>
          <w:tcPr>
            <w:tcW w:w="3919" w:type="dxa"/>
            <w:shd w:val="clear" w:color="auto" w:fill="auto"/>
          </w:tcPr>
          <w:p w14:paraId="7DDCAC06" w14:textId="6EF112DD" w:rsidR="003F3DD9" w:rsidRPr="00DA5F41"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In vinyl chloride monomer production</w:t>
            </w:r>
            <w:r w:rsidR="00E97D2F">
              <w:rPr>
                <w:sz w:val="18"/>
                <w:szCs w:val="18"/>
              </w:rPr>
              <w:t>,</w:t>
            </w:r>
            <w:r w:rsidRPr="00DA5F41">
              <w:rPr>
                <w:sz w:val="18"/>
                <w:szCs w:val="18"/>
              </w:rPr>
              <w:t xml:space="preserve"> reduce the use of mercury in terms of per unit production by 50 per cent by 2020 against 2010 use</w:t>
            </w:r>
          </w:p>
        </w:tc>
      </w:tr>
      <w:tr w:rsidR="003F3DD9" w:rsidRPr="00DA5F41" w14:paraId="6B9FBEA7" w14:textId="77777777" w:rsidTr="00DA5F41">
        <w:tc>
          <w:tcPr>
            <w:tcW w:w="1150" w:type="dxa"/>
            <w:vMerge/>
            <w:shd w:val="clear" w:color="auto" w:fill="auto"/>
          </w:tcPr>
          <w:p w14:paraId="3E271612" w14:textId="241662FB" w:rsidR="003F3DD9" w:rsidRPr="00DA5F41"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p>
        </w:tc>
        <w:tc>
          <w:tcPr>
            <w:tcW w:w="3151" w:type="dxa"/>
            <w:vMerge/>
            <w:shd w:val="clear" w:color="auto" w:fill="auto"/>
          </w:tcPr>
          <w:p w14:paraId="7C868A00" w14:textId="0432EBD9" w:rsidR="003F3DD9" w:rsidRPr="00DA5F41"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p>
        </w:tc>
        <w:tc>
          <w:tcPr>
            <w:tcW w:w="3919" w:type="dxa"/>
            <w:shd w:val="clear" w:color="auto" w:fill="auto"/>
          </w:tcPr>
          <w:p w14:paraId="50691D8E" w14:textId="316D8E0A" w:rsidR="003F3DD9" w:rsidRPr="00DA5F41"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For sodium or potassium methylate or ethylate</w:t>
            </w:r>
            <w:r w:rsidR="00630927">
              <w:rPr>
                <w:sz w:val="18"/>
                <w:szCs w:val="18"/>
              </w:rPr>
              <w:t>,</w:t>
            </w:r>
            <w:r w:rsidRPr="00DA5F41">
              <w:rPr>
                <w:sz w:val="18"/>
                <w:szCs w:val="18"/>
              </w:rPr>
              <w:t xml:space="preserve"> reduce emissions and releases in terms of per unit production by 50 per cent by 2020 compared </w:t>
            </w:r>
            <w:r w:rsidR="00607DD3">
              <w:rPr>
                <w:sz w:val="18"/>
                <w:szCs w:val="18"/>
              </w:rPr>
              <w:t>with</w:t>
            </w:r>
            <w:r w:rsidR="00607DD3" w:rsidRPr="00DA5F41">
              <w:rPr>
                <w:sz w:val="18"/>
                <w:szCs w:val="18"/>
              </w:rPr>
              <w:t xml:space="preserve"> </w:t>
            </w:r>
            <w:r w:rsidRPr="00DA5F41">
              <w:rPr>
                <w:sz w:val="18"/>
                <w:szCs w:val="18"/>
              </w:rPr>
              <w:t>2010</w:t>
            </w:r>
          </w:p>
        </w:tc>
      </w:tr>
      <w:tr w:rsidR="002B66A3" w:rsidRPr="00DA5F41" w14:paraId="25DB50EB" w14:textId="77777777" w:rsidTr="00DA5F41">
        <w:tc>
          <w:tcPr>
            <w:tcW w:w="1150" w:type="dxa"/>
            <w:shd w:val="clear" w:color="auto" w:fill="auto"/>
          </w:tcPr>
          <w:p w14:paraId="127C7BFB" w14:textId="29E03BBB" w:rsidR="002B66A3" w:rsidRPr="00DA5F41" w:rsidRDefault="002B66A3"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2025</w:t>
            </w:r>
          </w:p>
        </w:tc>
        <w:tc>
          <w:tcPr>
            <w:tcW w:w="3151" w:type="dxa"/>
            <w:shd w:val="clear" w:color="auto" w:fill="auto"/>
          </w:tcPr>
          <w:p w14:paraId="3891ED39" w14:textId="168E9BBF" w:rsidR="002B66A3" w:rsidRPr="00DA5F41" w:rsidRDefault="004B7FCF">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5</w:t>
            </w:r>
            <w:r w:rsidR="009C2177">
              <w:rPr>
                <w:sz w:val="18"/>
                <w:szCs w:val="18"/>
              </w:rPr>
              <w:t xml:space="preserve"> (</w:t>
            </w:r>
            <w:r w:rsidR="002B66A3" w:rsidRPr="00DA5F41">
              <w:rPr>
                <w:sz w:val="18"/>
                <w:szCs w:val="18"/>
              </w:rPr>
              <w:t>2</w:t>
            </w:r>
            <w:r w:rsidR="009C2177">
              <w:rPr>
                <w:sz w:val="18"/>
                <w:szCs w:val="18"/>
              </w:rPr>
              <w:t>) and</w:t>
            </w:r>
            <w:r w:rsidR="002B66A3" w:rsidRPr="00DA5F41">
              <w:rPr>
                <w:sz w:val="18"/>
                <w:szCs w:val="18"/>
              </w:rPr>
              <w:t xml:space="preserve"> </w:t>
            </w:r>
            <w:r w:rsidR="00484216">
              <w:rPr>
                <w:sz w:val="18"/>
                <w:szCs w:val="18"/>
              </w:rPr>
              <w:t>a</w:t>
            </w:r>
            <w:r w:rsidR="002B66A3" w:rsidRPr="00DA5F41">
              <w:rPr>
                <w:sz w:val="18"/>
                <w:szCs w:val="18"/>
              </w:rPr>
              <w:t>nnex B</w:t>
            </w:r>
          </w:p>
        </w:tc>
        <w:tc>
          <w:tcPr>
            <w:tcW w:w="3919" w:type="dxa"/>
            <w:shd w:val="clear" w:color="auto" w:fill="auto"/>
          </w:tcPr>
          <w:p w14:paraId="4CAD0D12" w14:textId="3ACDC2FC" w:rsidR="002B66A3" w:rsidRPr="00DA5F41" w:rsidRDefault="002B66A3"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Chlor-</w:t>
            </w:r>
            <w:r w:rsidR="0017600F" w:rsidRPr="00DA5F41">
              <w:rPr>
                <w:sz w:val="18"/>
                <w:szCs w:val="18"/>
              </w:rPr>
              <w:t>alkali</w:t>
            </w:r>
            <w:r w:rsidRPr="00DA5F41">
              <w:rPr>
                <w:sz w:val="18"/>
                <w:szCs w:val="18"/>
              </w:rPr>
              <w:t xml:space="preserve"> production</w:t>
            </w:r>
          </w:p>
        </w:tc>
      </w:tr>
      <w:tr w:rsidR="002B66A3" w:rsidRPr="00DA5F41" w14:paraId="18849DB9" w14:textId="77777777" w:rsidTr="00DA5F41">
        <w:trPr>
          <w:trHeight w:val="784"/>
        </w:trPr>
        <w:tc>
          <w:tcPr>
            <w:tcW w:w="1150" w:type="dxa"/>
            <w:tcBorders>
              <w:bottom w:val="single" w:sz="12" w:space="0" w:color="auto"/>
            </w:tcBorders>
            <w:shd w:val="clear" w:color="auto" w:fill="auto"/>
          </w:tcPr>
          <w:p w14:paraId="69BC17FE" w14:textId="4C06FFC4" w:rsidR="002B66A3" w:rsidRPr="00DA5F41" w:rsidRDefault="004B7FCF"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2027</w:t>
            </w:r>
          </w:p>
        </w:tc>
        <w:tc>
          <w:tcPr>
            <w:tcW w:w="3151" w:type="dxa"/>
            <w:tcBorders>
              <w:bottom w:val="single" w:sz="12" w:space="0" w:color="auto"/>
            </w:tcBorders>
            <w:shd w:val="clear" w:color="auto" w:fill="auto"/>
          </w:tcPr>
          <w:p w14:paraId="18FA8DA5" w14:textId="657B0A04" w:rsidR="002B66A3" w:rsidRPr="00DA5F41"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5</w:t>
            </w:r>
            <w:r w:rsidR="009C2177">
              <w:rPr>
                <w:sz w:val="18"/>
                <w:szCs w:val="18"/>
              </w:rPr>
              <w:t xml:space="preserve"> (</w:t>
            </w:r>
            <w:r w:rsidRPr="00DA5F41">
              <w:rPr>
                <w:sz w:val="18"/>
                <w:szCs w:val="18"/>
              </w:rPr>
              <w:t>3</w:t>
            </w:r>
            <w:r w:rsidR="009C2177">
              <w:rPr>
                <w:sz w:val="18"/>
                <w:szCs w:val="18"/>
              </w:rPr>
              <w:t>) and</w:t>
            </w:r>
            <w:r w:rsidRPr="00DA5F41">
              <w:rPr>
                <w:sz w:val="18"/>
                <w:szCs w:val="18"/>
              </w:rPr>
              <w:t xml:space="preserve"> </w:t>
            </w:r>
            <w:r w:rsidR="00484216">
              <w:rPr>
                <w:sz w:val="18"/>
                <w:szCs w:val="18"/>
              </w:rPr>
              <w:t>a</w:t>
            </w:r>
            <w:r w:rsidRPr="00DA5F41">
              <w:rPr>
                <w:sz w:val="18"/>
                <w:szCs w:val="18"/>
              </w:rPr>
              <w:t>nnex B</w:t>
            </w:r>
          </w:p>
        </w:tc>
        <w:tc>
          <w:tcPr>
            <w:tcW w:w="3919" w:type="dxa"/>
            <w:tcBorders>
              <w:bottom w:val="single" w:sz="12" w:space="0" w:color="auto"/>
            </w:tcBorders>
            <w:shd w:val="clear" w:color="auto" w:fill="auto"/>
          </w:tcPr>
          <w:p w14:paraId="6FF15632" w14:textId="4A4C6286" w:rsidR="002B66A3" w:rsidRPr="00DA5F41" w:rsidRDefault="004B7FCF">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rPr>
            </w:pPr>
            <w:r w:rsidRPr="00DA5F41">
              <w:rPr>
                <w:sz w:val="18"/>
                <w:szCs w:val="18"/>
              </w:rPr>
              <w:t>For sodium or potassium methylate or ethylate, reduce the use of mercury aiming at phas</w:t>
            </w:r>
            <w:r w:rsidR="009008D9">
              <w:rPr>
                <w:sz w:val="18"/>
                <w:szCs w:val="18"/>
              </w:rPr>
              <w:t>ing</w:t>
            </w:r>
            <w:r w:rsidRPr="00DA5F41">
              <w:rPr>
                <w:sz w:val="18"/>
                <w:szCs w:val="18"/>
              </w:rPr>
              <w:t xml:space="preserve"> out </w:t>
            </w:r>
            <w:r w:rsidR="009008D9">
              <w:rPr>
                <w:sz w:val="18"/>
                <w:szCs w:val="18"/>
              </w:rPr>
              <w:t>such</w:t>
            </w:r>
            <w:r w:rsidRPr="00DA5F41">
              <w:rPr>
                <w:sz w:val="18"/>
                <w:szCs w:val="18"/>
              </w:rPr>
              <w:t xml:space="preserve"> use as </w:t>
            </w:r>
            <w:r w:rsidR="009008D9">
              <w:rPr>
                <w:sz w:val="18"/>
                <w:szCs w:val="18"/>
              </w:rPr>
              <w:t>swiftly</w:t>
            </w:r>
            <w:r w:rsidR="009008D9" w:rsidRPr="00DA5F41">
              <w:rPr>
                <w:sz w:val="18"/>
                <w:szCs w:val="18"/>
              </w:rPr>
              <w:t xml:space="preserve"> </w:t>
            </w:r>
            <w:r w:rsidRPr="00DA5F41">
              <w:rPr>
                <w:sz w:val="18"/>
                <w:szCs w:val="18"/>
              </w:rPr>
              <w:t xml:space="preserve">as possible and within 10 years of </w:t>
            </w:r>
            <w:r w:rsidR="009008D9">
              <w:rPr>
                <w:sz w:val="18"/>
                <w:szCs w:val="18"/>
              </w:rPr>
              <w:t xml:space="preserve">the </w:t>
            </w:r>
            <w:r w:rsidRPr="00DA5F41">
              <w:rPr>
                <w:sz w:val="18"/>
                <w:szCs w:val="18"/>
              </w:rPr>
              <w:t>entry into force of the Convention</w:t>
            </w:r>
          </w:p>
        </w:tc>
      </w:tr>
    </w:tbl>
    <w:p w14:paraId="7596F540" w14:textId="6D1A46C0" w:rsidR="00EA291A" w:rsidRDefault="00EA291A" w:rsidP="0029126E">
      <w:pPr>
        <w:pStyle w:val="Normalnumber"/>
        <w:spacing w:before="120"/>
      </w:pPr>
      <w:r>
        <w:t xml:space="preserve">Obligations for reporting under </w:t>
      </w:r>
      <w:r w:rsidR="008E1572">
        <w:t>a</w:t>
      </w:r>
      <w:r>
        <w:t>rticle 21 have not been included in the table</w:t>
      </w:r>
      <w:r w:rsidR="00CC52C1">
        <w:t>s</w:t>
      </w:r>
      <w:r>
        <w:t xml:space="preserve"> </w:t>
      </w:r>
      <w:r w:rsidR="00AE2987">
        <w:t xml:space="preserve">because </w:t>
      </w:r>
      <w:r>
        <w:t xml:space="preserve">the Conference of the Parties has not yet agreed on the timing or frequency of reporting. </w:t>
      </w:r>
    </w:p>
    <w:p w14:paraId="3B09C2FB" w14:textId="6B8EFDCA" w:rsidR="00720825" w:rsidRDefault="00BD69FE" w:rsidP="00E20196">
      <w:pPr>
        <w:pStyle w:val="CH1"/>
      </w:pPr>
      <w:r>
        <w:tab/>
      </w:r>
      <w:r w:rsidR="00720825">
        <w:t>IV</w:t>
      </w:r>
      <w:r w:rsidR="003C6839">
        <w:t>.</w:t>
      </w:r>
      <w:r>
        <w:tab/>
      </w:r>
      <w:r w:rsidR="00720825">
        <w:t>Suggested action by the Conference of the Parties</w:t>
      </w:r>
    </w:p>
    <w:p w14:paraId="769395E8" w14:textId="5DD35D33" w:rsidR="00720825" w:rsidRDefault="00720825" w:rsidP="00E20196">
      <w:pPr>
        <w:pStyle w:val="Normalnumber"/>
      </w:pPr>
      <w:r>
        <w:t>The Conference of the Parties may wish to consider the present note in relation to the information set out in document UNEP/MC/COP.1/9, in particular appendix II, to finalize its consideration of the establishment of the specific international programme as part of the overall decision to give effect to the financial mechanism of the Convention</w:t>
      </w:r>
      <w:r w:rsidR="0069025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1"/>
        <w:gridCol w:w="1941"/>
        <w:gridCol w:w="1941"/>
        <w:gridCol w:w="1942"/>
      </w:tblGrid>
      <w:tr w:rsidR="002E371D" w14:paraId="66D34452" w14:textId="77777777" w:rsidTr="002E371D">
        <w:tc>
          <w:tcPr>
            <w:tcW w:w="1941" w:type="dxa"/>
          </w:tcPr>
          <w:p w14:paraId="3639C00D" w14:textId="77777777" w:rsidR="002E371D" w:rsidRDefault="002E371D" w:rsidP="002E371D">
            <w:pPr>
              <w:pStyle w:val="Normal-pool"/>
              <w:spacing w:before="520"/>
            </w:pPr>
          </w:p>
        </w:tc>
        <w:tc>
          <w:tcPr>
            <w:tcW w:w="1941" w:type="dxa"/>
          </w:tcPr>
          <w:p w14:paraId="60897914" w14:textId="77777777" w:rsidR="002E371D" w:rsidRDefault="002E371D" w:rsidP="002E371D">
            <w:pPr>
              <w:pStyle w:val="Normal-pool"/>
              <w:spacing w:before="520"/>
            </w:pPr>
          </w:p>
        </w:tc>
        <w:tc>
          <w:tcPr>
            <w:tcW w:w="1941" w:type="dxa"/>
            <w:tcBorders>
              <w:bottom w:val="single" w:sz="4" w:space="0" w:color="auto"/>
            </w:tcBorders>
          </w:tcPr>
          <w:p w14:paraId="14F6E39D" w14:textId="77777777" w:rsidR="002E371D" w:rsidRDefault="002E371D" w:rsidP="002E371D">
            <w:pPr>
              <w:pStyle w:val="Normal-pool"/>
              <w:spacing w:before="520"/>
            </w:pPr>
          </w:p>
        </w:tc>
        <w:tc>
          <w:tcPr>
            <w:tcW w:w="1941" w:type="dxa"/>
          </w:tcPr>
          <w:p w14:paraId="5E86AE5D" w14:textId="77777777" w:rsidR="002E371D" w:rsidRDefault="002E371D" w:rsidP="002E371D">
            <w:pPr>
              <w:pStyle w:val="Normal-pool"/>
              <w:spacing w:before="520"/>
            </w:pPr>
          </w:p>
        </w:tc>
        <w:tc>
          <w:tcPr>
            <w:tcW w:w="1942" w:type="dxa"/>
          </w:tcPr>
          <w:p w14:paraId="6FDC05B1" w14:textId="77777777" w:rsidR="002E371D" w:rsidRDefault="002E371D" w:rsidP="002E371D">
            <w:pPr>
              <w:pStyle w:val="Normal-pool"/>
              <w:spacing w:before="520"/>
            </w:pPr>
          </w:p>
        </w:tc>
      </w:tr>
    </w:tbl>
    <w:p w14:paraId="09FE60DE" w14:textId="77777777" w:rsidR="00677B7A" w:rsidRDefault="00677B7A" w:rsidP="002E371D">
      <w:pPr>
        <w:pStyle w:val="Normal-pool"/>
      </w:pPr>
    </w:p>
    <w:sectPr w:rsidR="00677B7A" w:rsidSect="00A17EF3">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0" w:h="16840"/>
      <w:pgMar w:top="907" w:right="992" w:bottom="1418" w:left="1418" w:header="539" w:footer="975"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CB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EDDC" w14:textId="77777777" w:rsidR="00C670F9" w:rsidRDefault="00C670F9">
      <w:r>
        <w:separator/>
      </w:r>
    </w:p>
  </w:endnote>
  <w:endnote w:type="continuationSeparator" w:id="0">
    <w:p w14:paraId="43C1AC03" w14:textId="77777777" w:rsidR="00C670F9" w:rsidRDefault="00C6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0C97D995" w:rsidR="00C670F9" w:rsidRDefault="00C670F9">
    <w:pPr>
      <w:pStyle w:val="Footer"/>
    </w:pPr>
    <w:r>
      <w:rPr>
        <w:rStyle w:val="PageNumber"/>
      </w:rPr>
      <w:fldChar w:fldCharType="begin"/>
    </w:r>
    <w:r>
      <w:rPr>
        <w:rStyle w:val="PageNumber"/>
      </w:rPr>
      <w:instrText xml:space="preserve"> PAGE </w:instrText>
    </w:r>
    <w:r>
      <w:rPr>
        <w:rStyle w:val="PageNumber"/>
      </w:rPr>
      <w:fldChar w:fldCharType="separate"/>
    </w:r>
    <w:r w:rsidR="003A1BBB">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11F3B9DA" w:rsidR="00C670F9" w:rsidRDefault="00C670F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A1BB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9AC4" w14:textId="32CF69EF" w:rsidR="00C670F9" w:rsidRPr="002E371D" w:rsidRDefault="00C670F9" w:rsidP="002E371D">
    <w:pPr>
      <w:pStyle w:val="Footer"/>
      <w:tabs>
        <w:tab w:val="clear" w:pos="1247"/>
        <w:tab w:val="clear" w:pos="1814"/>
        <w:tab w:val="clear" w:pos="2381"/>
        <w:tab w:val="clear" w:pos="2948"/>
        <w:tab w:val="clear" w:pos="3515"/>
        <w:tab w:val="clear" w:pos="4320"/>
        <w:tab w:val="clear" w:pos="8640"/>
        <w:tab w:val="left" w:pos="624"/>
      </w:tabs>
      <w:rPr>
        <w:sz w:val="20"/>
      </w:rPr>
    </w:pPr>
    <w:r w:rsidRPr="002E371D">
      <w:rPr>
        <w:sz w:val="20"/>
      </w:rPr>
      <w:t>K1707059</w:t>
    </w:r>
    <w:r w:rsidRPr="002E371D">
      <w:rPr>
        <w:sz w:val="20"/>
      </w:rPr>
      <w:tab/>
    </w:r>
    <w:r w:rsidR="0000565C">
      <w:rPr>
        <w:sz w:val="20"/>
      </w:rPr>
      <w:t>0708</w:t>
    </w:r>
    <w:r w:rsidRPr="002E371D">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7452" w14:textId="77777777" w:rsidR="00C670F9" w:rsidRDefault="00C670F9" w:rsidP="002E371D">
      <w:pPr>
        <w:spacing w:before="60"/>
        <w:ind w:left="624"/>
      </w:pPr>
      <w:r>
        <w:separator/>
      </w:r>
    </w:p>
  </w:footnote>
  <w:footnote w:type="continuationSeparator" w:id="0">
    <w:p w14:paraId="227D7BED" w14:textId="77777777" w:rsidR="00C670F9" w:rsidRDefault="00C670F9">
      <w:r>
        <w:continuationSeparator/>
      </w:r>
    </w:p>
  </w:footnote>
  <w:footnote w:id="1">
    <w:p w14:paraId="7BE29B76" w14:textId="77777777" w:rsidR="00C670F9" w:rsidRPr="002E371D" w:rsidRDefault="00C670F9" w:rsidP="004B4518">
      <w:pPr>
        <w:tabs>
          <w:tab w:val="left" w:pos="624"/>
        </w:tabs>
        <w:spacing w:before="20" w:after="40"/>
        <w:ind w:left="1247"/>
        <w:rPr>
          <w:sz w:val="18"/>
          <w:szCs w:val="18"/>
        </w:rPr>
      </w:pPr>
      <w:proofErr w:type="gramStart"/>
      <w:r w:rsidRPr="002E371D">
        <w:rPr>
          <w:sz w:val="18"/>
          <w:szCs w:val="18"/>
        </w:rPr>
        <w:t>* UNEP/MC/COP.1/1.</w:t>
      </w:r>
      <w:proofErr w:type="gramEnd"/>
    </w:p>
  </w:footnote>
  <w:footnote w:id="2">
    <w:p w14:paraId="4C7E893E" w14:textId="36834F82" w:rsidR="00C670F9" w:rsidRPr="002E371D" w:rsidRDefault="00C670F9" w:rsidP="00126067">
      <w:pPr>
        <w:pStyle w:val="FootnoteText"/>
        <w:rPr>
          <w:szCs w:val="18"/>
          <w:lang w:val="en-GB"/>
        </w:rPr>
      </w:pPr>
      <w:r w:rsidRPr="002E371D">
        <w:rPr>
          <w:rStyle w:val="FootnoteReference"/>
          <w:sz w:val="18"/>
          <w:lang w:val="en-GB"/>
        </w:rPr>
        <w:footnoteRef/>
      </w:r>
      <w:r w:rsidRPr="002E371D">
        <w:rPr>
          <w:szCs w:val="18"/>
          <w:lang w:val="en-GB"/>
        </w:rPr>
        <w:t xml:space="preserve"> </w:t>
      </w:r>
      <w:r>
        <w:rPr>
          <w:szCs w:val="18"/>
          <w:lang w:val="en-GB"/>
        </w:rPr>
        <w:t>S</w:t>
      </w:r>
      <w:r w:rsidRPr="002E371D">
        <w:rPr>
          <w:szCs w:val="18"/>
          <w:lang w:val="en-GB"/>
        </w:rPr>
        <w:t>ee</w:t>
      </w:r>
      <w:r>
        <w:rPr>
          <w:szCs w:val="18"/>
          <w:lang w:val="en-GB"/>
        </w:rPr>
        <w:t xml:space="preserve"> document</w:t>
      </w:r>
      <w:r w:rsidRPr="002E371D">
        <w:rPr>
          <w:szCs w:val="18"/>
          <w:lang w:val="en-GB"/>
        </w:rPr>
        <w:t xml:space="preserve"> UNEP/MC/COP.1/9, in particular appendix II</w:t>
      </w:r>
      <w:r>
        <w:rPr>
          <w:szCs w:val="18"/>
          <w:lang w:val="en-GB"/>
        </w:rPr>
        <w:t>,</w:t>
      </w:r>
      <w:r w:rsidRPr="002E371D">
        <w:rPr>
          <w:szCs w:val="18"/>
          <w:lang w:val="en-GB"/>
        </w:rPr>
        <w:t xml:space="preserve"> for the text developed at the seventh session of the committee. </w:t>
      </w:r>
    </w:p>
  </w:footnote>
  <w:footnote w:id="3">
    <w:p w14:paraId="620ED92C" w14:textId="40642C81" w:rsidR="00C670F9" w:rsidRPr="002E371D" w:rsidRDefault="00C670F9">
      <w:pPr>
        <w:pStyle w:val="FootnoteText"/>
        <w:rPr>
          <w:szCs w:val="18"/>
          <w:lang w:val="en-GB"/>
        </w:rPr>
      </w:pPr>
      <w:r w:rsidRPr="002E371D">
        <w:rPr>
          <w:rStyle w:val="FootnoteReference"/>
          <w:sz w:val="18"/>
          <w:lang w:val="en-GB"/>
        </w:rPr>
        <w:footnoteRef/>
      </w:r>
      <w:r w:rsidRPr="002E371D">
        <w:rPr>
          <w:szCs w:val="18"/>
          <w:lang w:val="en-GB"/>
        </w:rPr>
        <w:t xml:space="preserve"> In 2017</w:t>
      </w:r>
      <w:r>
        <w:rPr>
          <w:szCs w:val="18"/>
          <w:lang w:val="en-GB"/>
        </w:rPr>
        <w:t>,</w:t>
      </w:r>
      <w:r w:rsidRPr="002E371D">
        <w:rPr>
          <w:szCs w:val="18"/>
          <w:lang w:val="en-GB"/>
        </w:rPr>
        <w:t xml:space="preserve"> the Chemicals and Waste Branch was renamed the Chemicals and Health Branch, while the Division of Technology, Industry and Economics was renamed the Economy Division.</w:t>
      </w:r>
    </w:p>
  </w:footnote>
  <w:footnote w:id="4">
    <w:p w14:paraId="7469C5D6" w14:textId="449CA75C" w:rsidR="00C670F9" w:rsidRPr="002E371D" w:rsidRDefault="00C670F9">
      <w:pPr>
        <w:pStyle w:val="FootnoteText"/>
        <w:rPr>
          <w:szCs w:val="18"/>
          <w:lang w:val="en-US"/>
        </w:rPr>
      </w:pPr>
      <w:r w:rsidRPr="002E371D">
        <w:rPr>
          <w:rStyle w:val="FootnoteReference"/>
          <w:sz w:val="18"/>
        </w:rPr>
        <w:footnoteRef/>
      </w:r>
      <w:r w:rsidRPr="002E371D">
        <w:rPr>
          <w:szCs w:val="18"/>
          <w:lang w:val="en-US"/>
        </w:rPr>
        <w:t xml:space="preserve"> A programmatic approach </w:t>
      </w:r>
      <w:r w:rsidRPr="0029126E">
        <w:rPr>
          <w:szCs w:val="18"/>
          <w:lang w:val="en-US"/>
        </w:rPr>
        <w:t xml:space="preserve">informs, for example, the trust fund for the Intergovernmental Science-Policy Platform on Biodiversity and Ecosystem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717A0B33" w:rsidR="00C670F9" w:rsidRPr="00CA5CA9" w:rsidRDefault="00C670F9"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720CA17B" w:rsidR="00C670F9" w:rsidRPr="00CA5CA9" w:rsidRDefault="00C670F9" w:rsidP="00312543">
    <w:pPr>
      <w:pStyle w:val="Header"/>
      <w:jc w:val="right"/>
      <w:rPr>
        <w:szCs w:val="18"/>
      </w:rPr>
    </w:pPr>
    <w:r>
      <w:rPr>
        <w:bCs/>
        <w:szCs w:val="18"/>
      </w:rPr>
      <w:t>UNEP/MC/COP.1.9/Add.1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5DCBE0C0" w:rsidR="00C670F9" w:rsidRDefault="00C670F9"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1907B63"/>
    <w:multiLevelType w:val="hybridMultilevel"/>
    <w:tmpl w:val="E7BA5328"/>
    <w:lvl w:ilvl="0" w:tplc="BF521CC4">
      <w:start w:val="1"/>
      <w:numFmt w:val="upperLetter"/>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19D95965"/>
    <w:multiLevelType w:val="hybridMultilevel"/>
    <w:tmpl w:val="F044000E"/>
    <w:numStyleLink w:val="Importeradestilen8"/>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8">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9">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EAD5BAD"/>
    <w:multiLevelType w:val="hybridMultilevel"/>
    <w:tmpl w:val="5622D6EE"/>
    <w:lvl w:ilvl="0" w:tplc="C0B0BEF4">
      <w:start w:val="1"/>
      <w:numFmt w:val="upperLetter"/>
      <w:lvlText w:val="%1."/>
      <w:lvlJc w:val="left"/>
      <w:pPr>
        <w:ind w:left="1215" w:hanging="855"/>
      </w:pPr>
      <w:rPr>
        <w:rFont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4">
    <w:nsid w:val="472805C1"/>
    <w:multiLevelType w:val="hybridMultilevel"/>
    <w:tmpl w:val="3F200CE6"/>
    <w:lvl w:ilvl="0" w:tplc="C0B0BEF4">
      <w:start w:val="1"/>
      <w:numFmt w:val="upperLetter"/>
      <w:lvlText w:val="%1."/>
      <w:lvlJc w:val="left"/>
      <w:pPr>
        <w:ind w:left="1215" w:hanging="855"/>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7F0F77"/>
    <w:multiLevelType w:val="hybridMultilevel"/>
    <w:tmpl w:val="63900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7">
    <w:nsid w:val="4A0608AF"/>
    <w:multiLevelType w:val="hybridMultilevel"/>
    <w:tmpl w:val="156885FC"/>
    <w:numStyleLink w:val="Importeradestilen3"/>
  </w:abstractNum>
  <w:abstractNum w:abstractNumId="18">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58AA3667"/>
    <w:multiLevelType w:val="hybridMultilevel"/>
    <w:tmpl w:val="A72A60C0"/>
    <w:numStyleLink w:val="Importeradestilen7"/>
  </w:abstractNum>
  <w:abstractNum w:abstractNumId="21">
    <w:nsid w:val="5BF5183E"/>
    <w:multiLevelType w:val="hybridMultilevel"/>
    <w:tmpl w:val="686C86F4"/>
    <w:numStyleLink w:val="Importeradestilen4"/>
  </w:abstractNum>
  <w:abstractNum w:abstractNumId="22">
    <w:nsid w:val="5DBF43B4"/>
    <w:multiLevelType w:val="hybridMultilevel"/>
    <w:tmpl w:val="19925C48"/>
    <w:lvl w:ilvl="0" w:tplc="C6880616">
      <w:start w:val="1"/>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16D7B"/>
    <w:multiLevelType w:val="hybridMultilevel"/>
    <w:tmpl w:val="0B422B62"/>
    <w:numStyleLink w:val="Importeradestilen9"/>
  </w:abstractNum>
  <w:abstractNum w:abstractNumId="24">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25">
    <w:nsid w:val="5FE34526"/>
    <w:multiLevelType w:val="hybridMultilevel"/>
    <w:tmpl w:val="D07A6E4C"/>
    <w:numStyleLink w:val="Normallist"/>
  </w:abstractNum>
  <w:abstractNum w:abstractNumId="26">
    <w:nsid w:val="61DD32C7"/>
    <w:multiLevelType w:val="hybridMultilevel"/>
    <w:tmpl w:val="9458A21E"/>
    <w:lvl w:ilvl="0" w:tplc="BEE606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1">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9"/>
  </w:num>
  <w:num w:numId="2">
    <w:abstractNumId w:val="6"/>
  </w:num>
  <w:num w:numId="3">
    <w:abstractNumId w:val="12"/>
  </w:num>
  <w:num w:numId="4">
    <w:abstractNumId w:val="19"/>
  </w:num>
  <w:num w:numId="5">
    <w:abstractNumId w:val="19"/>
  </w:num>
  <w:num w:numId="6">
    <w:abstractNumId w:val="9"/>
  </w:num>
  <w:num w:numId="7">
    <w:abstractNumId w:val="4"/>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8"/>
  </w:num>
  <w:num w:numId="13">
    <w:abstractNumId w:val="28"/>
  </w:num>
  <w:num w:numId="14">
    <w:abstractNumId w:val="30"/>
  </w:num>
  <w:num w:numId="15">
    <w:abstractNumId w:val="17"/>
  </w:num>
  <w:num w:numId="16">
    <w:abstractNumId w:val="0"/>
  </w:num>
  <w:num w:numId="17">
    <w:abstractNumId w:val="21"/>
  </w:num>
  <w:num w:numId="18">
    <w:abstractNumId w:val="8"/>
  </w:num>
  <w:num w:numId="19">
    <w:abstractNumId w:val="2"/>
  </w:num>
  <w:num w:numId="20">
    <w:abstractNumId w:val="13"/>
  </w:num>
  <w:num w:numId="21">
    <w:abstractNumId w:val="1"/>
  </w:num>
  <w:num w:numId="22">
    <w:abstractNumId w:val="29"/>
  </w:num>
  <w:num w:numId="23">
    <w:abstractNumId w:val="20"/>
  </w:num>
  <w:num w:numId="24">
    <w:abstractNumId w:val="1"/>
    <w:lvlOverride w:ilvl="0">
      <w:startOverride w:val="10"/>
      <w:lvl w:ilvl="0" w:tplc="3F609C7C">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ACA6CF38">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40D0E468">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E9CCE1F8">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A11C3D28">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BA1678B8">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B128E0A8">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3A868E56">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1F986E4E">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6"/>
  </w:num>
  <w:num w:numId="26">
    <w:abstractNumId w:val="5"/>
  </w:num>
  <w:num w:numId="27">
    <w:abstractNumId w:val="1"/>
    <w:lvlOverride w:ilvl="0">
      <w:startOverride w:val="12"/>
    </w:lvlOverride>
  </w:num>
  <w:num w:numId="28">
    <w:abstractNumId w:val="7"/>
  </w:num>
  <w:num w:numId="29">
    <w:abstractNumId w:val="23"/>
  </w:num>
  <w:num w:numId="30">
    <w:abstractNumId w:val="19"/>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tplc="28023E1A">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288D4A4">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501CCD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1F6AFC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1F8F0AA">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2AA7230">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A46688C">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2FBA5254">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5CA5DBA">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25"/>
    <w:lvlOverride w:ilvl="0">
      <w:startOverride w:val="10"/>
      <w:lvl w:ilvl="0" w:tplc="28023E1A">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288D4A4">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501CCDA4">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1F6AFC4">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1F8F0AA">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2AA7230">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A46688C">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2FBA5254">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5CA5DBA">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25"/>
    <w:lvlOverride w:ilvl="0">
      <w:lvl w:ilvl="0" w:tplc="28023E1A">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288D4A4">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01CCD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1F6AFC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1F8F0AA">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2AA7230">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A46688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FBA5254">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5CA5DBA">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0"/>
  </w:num>
  <w:num w:numId="35">
    <w:abstractNumId w:val="24"/>
  </w:num>
  <w:num w:numId="36">
    <w:abstractNumId w:val="19"/>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25"/>
    <w:lvlOverride w:ilvl="0">
      <w:startOverride w:val="1"/>
      <w:lvl w:ilvl="0" w:tplc="28023E1A">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288D4A4">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501CCDA4">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1F6AFC4">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61F8F0AA">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72AA7230">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1A46688C">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2FBA5254">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5CA5DBA">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25"/>
    <w:lvlOverride w:ilvl="0">
      <w:lvl w:ilvl="0" w:tplc="28023E1A">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288D4A4">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01CCDA4">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1F6AFC4">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1F8F0AA">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2AA7230">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A46688C">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FBA5254">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5CA5DBA">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25"/>
    <w:lvlOverride w:ilvl="0">
      <w:lvl w:ilvl="0" w:tplc="28023E1A">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288D4A4">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01CCDA4">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1F6AFC4">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1F8F0AA">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2AA7230">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A46688C">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FBA5254">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5CA5DBA">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25"/>
    <w:lvlOverride w:ilvl="0">
      <w:lvl w:ilvl="0" w:tplc="28023E1A">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288D4A4">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01CCDA4">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1F6AFC4">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1F8F0AA">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2AA7230">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A46688C">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2FBA5254">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5CA5DBA">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19"/>
  </w:num>
  <w:num w:numId="42">
    <w:abstractNumId w:val="19"/>
  </w:num>
  <w:num w:numId="43">
    <w:abstractNumId w:val="15"/>
  </w:num>
  <w:num w:numId="44">
    <w:abstractNumId w:val="11"/>
  </w:num>
  <w:num w:numId="45">
    <w:abstractNumId w:val="14"/>
  </w:num>
  <w:num w:numId="46">
    <w:abstractNumId w:val="22"/>
  </w:num>
  <w:num w:numId="47">
    <w:abstractNumId w:val="26"/>
  </w:num>
  <w:num w:numId="48">
    <w:abstractNumId w:val="19"/>
  </w:num>
  <w:num w:numId="49">
    <w:abstractNumId w:val="3"/>
  </w:num>
  <w:num w:numId="50">
    <w:abstractNumId w:val="19"/>
  </w:num>
  <w:num w:numId="51">
    <w:abstractNumId w:val="19"/>
  </w:num>
  <w:num w:numId="52">
    <w:abstractNumId w:val="19"/>
  </w:num>
  <w:num w:numId="53">
    <w:abstractNumId w:val="19"/>
  </w:num>
  <w:num w:numId="54">
    <w:abstractNumId w:val="19"/>
  </w:num>
  <w:num w:numId="55">
    <w:abstractNumId w:val="19"/>
  </w:num>
  <w:num w:numId="56">
    <w:abstractNumId w:val="1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52"/>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73C"/>
    <w:rsid w:val="000024A3"/>
    <w:rsid w:val="0000565C"/>
    <w:rsid w:val="00007070"/>
    <w:rsid w:val="0000730E"/>
    <w:rsid w:val="00011C84"/>
    <w:rsid w:val="0001242D"/>
    <w:rsid w:val="00012BD1"/>
    <w:rsid w:val="00013B94"/>
    <w:rsid w:val="00014194"/>
    <w:rsid w:val="000149E6"/>
    <w:rsid w:val="00015484"/>
    <w:rsid w:val="00016C6C"/>
    <w:rsid w:val="000179C0"/>
    <w:rsid w:val="00020EEC"/>
    <w:rsid w:val="00021211"/>
    <w:rsid w:val="0002253F"/>
    <w:rsid w:val="00023DA9"/>
    <w:rsid w:val="000247B0"/>
    <w:rsid w:val="00025A60"/>
    <w:rsid w:val="00026997"/>
    <w:rsid w:val="00026A08"/>
    <w:rsid w:val="00032E4E"/>
    <w:rsid w:val="00033E0B"/>
    <w:rsid w:val="0003414E"/>
    <w:rsid w:val="00035EDE"/>
    <w:rsid w:val="00046B89"/>
    <w:rsid w:val="00046E83"/>
    <w:rsid w:val="000509B4"/>
    <w:rsid w:val="00053227"/>
    <w:rsid w:val="0006035B"/>
    <w:rsid w:val="0006096F"/>
    <w:rsid w:val="00062F77"/>
    <w:rsid w:val="000649C5"/>
    <w:rsid w:val="00071886"/>
    <w:rsid w:val="0007282C"/>
    <w:rsid w:val="00073C01"/>
    <w:rsid w:val="000742BC"/>
    <w:rsid w:val="000742CF"/>
    <w:rsid w:val="00075AA7"/>
    <w:rsid w:val="00076CC6"/>
    <w:rsid w:val="00081F16"/>
    <w:rsid w:val="00082699"/>
    <w:rsid w:val="00082A0C"/>
    <w:rsid w:val="00083504"/>
    <w:rsid w:val="0008504A"/>
    <w:rsid w:val="00091F8F"/>
    <w:rsid w:val="0009640C"/>
    <w:rsid w:val="0009740E"/>
    <w:rsid w:val="000A4383"/>
    <w:rsid w:val="000B122B"/>
    <w:rsid w:val="000B1972"/>
    <w:rsid w:val="000B22A2"/>
    <w:rsid w:val="000B42A1"/>
    <w:rsid w:val="000B6F10"/>
    <w:rsid w:val="000B73F9"/>
    <w:rsid w:val="000C257A"/>
    <w:rsid w:val="000C2838"/>
    <w:rsid w:val="000C2A52"/>
    <w:rsid w:val="000D22CA"/>
    <w:rsid w:val="000D2429"/>
    <w:rsid w:val="000D26D7"/>
    <w:rsid w:val="000D33C0"/>
    <w:rsid w:val="000D4CF6"/>
    <w:rsid w:val="000D63C8"/>
    <w:rsid w:val="000D6941"/>
    <w:rsid w:val="000E0657"/>
    <w:rsid w:val="000E282C"/>
    <w:rsid w:val="000E5B95"/>
    <w:rsid w:val="000E7773"/>
    <w:rsid w:val="000F36ED"/>
    <w:rsid w:val="000F4829"/>
    <w:rsid w:val="000F4F37"/>
    <w:rsid w:val="000F5807"/>
    <w:rsid w:val="000F767A"/>
    <w:rsid w:val="00100AD8"/>
    <w:rsid w:val="00102A55"/>
    <w:rsid w:val="00102C7D"/>
    <w:rsid w:val="001052DE"/>
    <w:rsid w:val="00110A3A"/>
    <w:rsid w:val="001202E3"/>
    <w:rsid w:val="0012047C"/>
    <w:rsid w:val="00120793"/>
    <w:rsid w:val="00120A8C"/>
    <w:rsid w:val="00123699"/>
    <w:rsid w:val="00123983"/>
    <w:rsid w:val="001241FB"/>
    <w:rsid w:val="00126067"/>
    <w:rsid w:val="00127707"/>
    <w:rsid w:val="00127BAA"/>
    <w:rsid w:val="0013059D"/>
    <w:rsid w:val="00134BAE"/>
    <w:rsid w:val="00136187"/>
    <w:rsid w:val="00136503"/>
    <w:rsid w:val="00137C47"/>
    <w:rsid w:val="00141A55"/>
    <w:rsid w:val="00141C3E"/>
    <w:rsid w:val="0014293F"/>
    <w:rsid w:val="00142E7F"/>
    <w:rsid w:val="0014397D"/>
    <w:rsid w:val="00143ADA"/>
    <w:rsid w:val="001446A3"/>
    <w:rsid w:val="00151B1B"/>
    <w:rsid w:val="00152B6B"/>
    <w:rsid w:val="00154C85"/>
    <w:rsid w:val="00155095"/>
    <w:rsid w:val="00155395"/>
    <w:rsid w:val="00156B6B"/>
    <w:rsid w:val="00156D61"/>
    <w:rsid w:val="001575F4"/>
    <w:rsid w:val="00160D74"/>
    <w:rsid w:val="0016132B"/>
    <w:rsid w:val="00163631"/>
    <w:rsid w:val="001646EA"/>
    <w:rsid w:val="00164C04"/>
    <w:rsid w:val="00167D02"/>
    <w:rsid w:val="001759D8"/>
    <w:rsid w:val="0017600F"/>
    <w:rsid w:val="00177010"/>
    <w:rsid w:val="00177D7F"/>
    <w:rsid w:val="00180C3F"/>
    <w:rsid w:val="00181EC8"/>
    <w:rsid w:val="00182605"/>
    <w:rsid w:val="00184349"/>
    <w:rsid w:val="00186352"/>
    <w:rsid w:val="001872F0"/>
    <w:rsid w:val="00190CD7"/>
    <w:rsid w:val="00193786"/>
    <w:rsid w:val="00195F33"/>
    <w:rsid w:val="001A0EB6"/>
    <w:rsid w:val="001A3EBE"/>
    <w:rsid w:val="001A576D"/>
    <w:rsid w:val="001B1617"/>
    <w:rsid w:val="001B504B"/>
    <w:rsid w:val="001B6160"/>
    <w:rsid w:val="001B6224"/>
    <w:rsid w:val="001B6F98"/>
    <w:rsid w:val="001C191A"/>
    <w:rsid w:val="001C5F20"/>
    <w:rsid w:val="001D119B"/>
    <w:rsid w:val="001D22B6"/>
    <w:rsid w:val="001D3874"/>
    <w:rsid w:val="001D7C7A"/>
    <w:rsid w:val="001D7E75"/>
    <w:rsid w:val="001E0D73"/>
    <w:rsid w:val="001E45BD"/>
    <w:rsid w:val="001E56D2"/>
    <w:rsid w:val="001E7D56"/>
    <w:rsid w:val="001F1A86"/>
    <w:rsid w:val="001F75DE"/>
    <w:rsid w:val="001F7B7B"/>
    <w:rsid w:val="00200D58"/>
    <w:rsid w:val="002011C1"/>
    <w:rsid w:val="002013BE"/>
    <w:rsid w:val="00201EDC"/>
    <w:rsid w:val="002063A4"/>
    <w:rsid w:val="00206B3C"/>
    <w:rsid w:val="0021145B"/>
    <w:rsid w:val="00213993"/>
    <w:rsid w:val="00217D06"/>
    <w:rsid w:val="00220C23"/>
    <w:rsid w:val="002228E0"/>
    <w:rsid w:val="00223B1F"/>
    <w:rsid w:val="002247F6"/>
    <w:rsid w:val="00225E21"/>
    <w:rsid w:val="002343B4"/>
    <w:rsid w:val="00234E78"/>
    <w:rsid w:val="002368A8"/>
    <w:rsid w:val="00241232"/>
    <w:rsid w:val="00243D36"/>
    <w:rsid w:val="0024582D"/>
    <w:rsid w:val="00246151"/>
    <w:rsid w:val="002465AC"/>
    <w:rsid w:val="002469BE"/>
    <w:rsid w:val="00247707"/>
    <w:rsid w:val="0025097E"/>
    <w:rsid w:val="00252E70"/>
    <w:rsid w:val="002539F6"/>
    <w:rsid w:val="0026018E"/>
    <w:rsid w:val="0026553C"/>
    <w:rsid w:val="002676BF"/>
    <w:rsid w:val="00277299"/>
    <w:rsid w:val="00283ED0"/>
    <w:rsid w:val="00286740"/>
    <w:rsid w:val="002878F5"/>
    <w:rsid w:val="0029126E"/>
    <w:rsid w:val="00291EAE"/>
    <w:rsid w:val="002929D8"/>
    <w:rsid w:val="0029570E"/>
    <w:rsid w:val="002A0E16"/>
    <w:rsid w:val="002A237D"/>
    <w:rsid w:val="002A4C53"/>
    <w:rsid w:val="002A5A89"/>
    <w:rsid w:val="002A5E08"/>
    <w:rsid w:val="002B04BD"/>
    <w:rsid w:val="002B0672"/>
    <w:rsid w:val="002B0CEC"/>
    <w:rsid w:val="002B247F"/>
    <w:rsid w:val="002B2DAC"/>
    <w:rsid w:val="002B302D"/>
    <w:rsid w:val="002B50D4"/>
    <w:rsid w:val="002B58A3"/>
    <w:rsid w:val="002B66A3"/>
    <w:rsid w:val="002C10F0"/>
    <w:rsid w:val="002C145D"/>
    <w:rsid w:val="002C2066"/>
    <w:rsid w:val="002C2C3E"/>
    <w:rsid w:val="002C309F"/>
    <w:rsid w:val="002C4F63"/>
    <w:rsid w:val="002C533E"/>
    <w:rsid w:val="002C6870"/>
    <w:rsid w:val="002D027F"/>
    <w:rsid w:val="002D317E"/>
    <w:rsid w:val="002D379C"/>
    <w:rsid w:val="002D3E15"/>
    <w:rsid w:val="002D528D"/>
    <w:rsid w:val="002D66E1"/>
    <w:rsid w:val="002D7A85"/>
    <w:rsid w:val="002D7B60"/>
    <w:rsid w:val="002E01A5"/>
    <w:rsid w:val="002E1A11"/>
    <w:rsid w:val="002E2148"/>
    <w:rsid w:val="002E30AB"/>
    <w:rsid w:val="002E371D"/>
    <w:rsid w:val="002E47C0"/>
    <w:rsid w:val="002E7B6B"/>
    <w:rsid w:val="002F3A73"/>
    <w:rsid w:val="002F458C"/>
    <w:rsid w:val="002F4761"/>
    <w:rsid w:val="002F5C79"/>
    <w:rsid w:val="002F627D"/>
    <w:rsid w:val="002F68EE"/>
    <w:rsid w:val="003019E2"/>
    <w:rsid w:val="00301EAF"/>
    <w:rsid w:val="00303532"/>
    <w:rsid w:val="00307AB7"/>
    <w:rsid w:val="00310BEB"/>
    <w:rsid w:val="003117BE"/>
    <w:rsid w:val="00312543"/>
    <w:rsid w:val="003127E5"/>
    <w:rsid w:val="00313A62"/>
    <w:rsid w:val="0031413F"/>
    <w:rsid w:val="00314854"/>
    <w:rsid w:val="003148BB"/>
    <w:rsid w:val="003160A0"/>
    <w:rsid w:val="00317976"/>
    <w:rsid w:val="003201CF"/>
    <w:rsid w:val="00320F2F"/>
    <w:rsid w:val="00321593"/>
    <w:rsid w:val="003235B3"/>
    <w:rsid w:val="003251B7"/>
    <w:rsid w:val="00326990"/>
    <w:rsid w:val="00333915"/>
    <w:rsid w:val="00335226"/>
    <w:rsid w:val="00343E76"/>
    <w:rsid w:val="003447E7"/>
    <w:rsid w:val="0034653C"/>
    <w:rsid w:val="00346878"/>
    <w:rsid w:val="003529ED"/>
    <w:rsid w:val="00353081"/>
    <w:rsid w:val="00355EA9"/>
    <w:rsid w:val="003578DE"/>
    <w:rsid w:val="00361688"/>
    <w:rsid w:val="003635FE"/>
    <w:rsid w:val="003824BE"/>
    <w:rsid w:val="003825B7"/>
    <w:rsid w:val="00385588"/>
    <w:rsid w:val="003877D5"/>
    <w:rsid w:val="003929B8"/>
    <w:rsid w:val="0039545C"/>
    <w:rsid w:val="00396257"/>
    <w:rsid w:val="00396989"/>
    <w:rsid w:val="00397EB8"/>
    <w:rsid w:val="003A0458"/>
    <w:rsid w:val="003A1BBB"/>
    <w:rsid w:val="003A4FD0"/>
    <w:rsid w:val="003A69D1"/>
    <w:rsid w:val="003A7705"/>
    <w:rsid w:val="003A77F1"/>
    <w:rsid w:val="003B0DC5"/>
    <w:rsid w:val="003B1060"/>
    <w:rsid w:val="003B12DA"/>
    <w:rsid w:val="003B1545"/>
    <w:rsid w:val="003B307D"/>
    <w:rsid w:val="003B5C60"/>
    <w:rsid w:val="003C17AF"/>
    <w:rsid w:val="003C3219"/>
    <w:rsid w:val="003C409D"/>
    <w:rsid w:val="003C46FB"/>
    <w:rsid w:val="003C5583"/>
    <w:rsid w:val="003C5BA6"/>
    <w:rsid w:val="003C6839"/>
    <w:rsid w:val="003C74CF"/>
    <w:rsid w:val="003D3752"/>
    <w:rsid w:val="003D49B8"/>
    <w:rsid w:val="003D4A81"/>
    <w:rsid w:val="003E2AED"/>
    <w:rsid w:val="003E35DA"/>
    <w:rsid w:val="003E3C02"/>
    <w:rsid w:val="003E455D"/>
    <w:rsid w:val="003F01CC"/>
    <w:rsid w:val="003F0566"/>
    <w:rsid w:val="003F0E85"/>
    <w:rsid w:val="003F3DD9"/>
    <w:rsid w:val="003F3E8C"/>
    <w:rsid w:val="003F4ADD"/>
    <w:rsid w:val="003F70FF"/>
    <w:rsid w:val="00401525"/>
    <w:rsid w:val="00403191"/>
    <w:rsid w:val="00406A7D"/>
    <w:rsid w:val="00410B43"/>
    <w:rsid w:val="00410C55"/>
    <w:rsid w:val="0041352A"/>
    <w:rsid w:val="00413FC3"/>
    <w:rsid w:val="00416854"/>
    <w:rsid w:val="00417725"/>
    <w:rsid w:val="0041795B"/>
    <w:rsid w:val="00422A98"/>
    <w:rsid w:val="00426445"/>
    <w:rsid w:val="00430F99"/>
    <w:rsid w:val="00437F26"/>
    <w:rsid w:val="00444097"/>
    <w:rsid w:val="00445487"/>
    <w:rsid w:val="00447E0D"/>
    <w:rsid w:val="004529F3"/>
    <w:rsid w:val="00454769"/>
    <w:rsid w:val="00456952"/>
    <w:rsid w:val="00457F03"/>
    <w:rsid w:val="00465D27"/>
    <w:rsid w:val="004660AF"/>
    <w:rsid w:val="00466991"/>
    <w:rsid w:val="00467497"/>
    <w:rsid w:val="0047064C"/>
    <w:rsid w:val="004738BD"/>
    <w:rsid w:val="00474687"/>
    <w:rsid w:val="00475AA7"/>
    <w:rsid w:val="00476122"/>
    <w:rsid w:val="00480508"/>
    <w:rsid w:val="004822B7"/>
    <w:rsid w:val="00484216"/>
    <w:rsid w:val="00487AC8"/>
    <w:rsid w:val="00487B3F"/>
    <w:rsid w:val="00491432"/>
    <w:rsid w:val="00493784"/>
    <w:rsid w:val="0049469E"/>
    <w:rsid w:val="004A07E6"/>
    <w:rsid w:val="004A2217"/>
    <w:rsid w:val="004A24F9"/>
    <w:rsid w:val="004A2539"/>
    <w:rsid w:val="004A4049"/>
    <w:rsid w:val="004A42E1"/>
    <w:rsid w:val="004A6A62"/>
    <w:rsid w:val="004B162C"/>
    <w:rsid w:val="004B2ABE"/>
    <w:rsid w:val="004B4518"/>
    <w:rsid w:val="004B7FCF"/>
    <w:rsid w:val="004C3DBE"/>
    <w:rsid w:val="004C58DA"/>
    <w:rsid w:val="004C5C96"/>
    <w:rsid w:val="004D06A4"/>
    <w:rsid w:val="004D0B6A"/>
    <w:rsid w:val="004D0FB5"/>
    <w:rsid w:val="004D1BF6"/>
    <w:rsid w:val="004D3102"/>
    <w:rsid w:val="004D49E7"/>
    <w:rsid w:val="004E46F3"/>
    <w:rsid w:val="004E5DAD"/>
    <w:rsid w:val="004F1A81"/>
    <w:rsid w:val="004F3E22"/>
    <w:rsid w:val="004F6934"/>
    <w:rsid w:val="00501761"/>
    <w:rsid w:val="005023B8"/>
    <w:rsid w:val="005050D2"/>
    <w:rsid w:val="0051075E"/>
    <w:rsid w:val="005129FA"/>
    <w:rsid w:val="00513B22"/>
    <w:rsid w:val="005218D9"/>
    <w:rsid w:val="00521B62"/>
    <w:rsid w:val="00527EFE"/>
    <w:rsid w:val="00534604"/>
    <w:rsid w:val="00535E42"/>
    <w:rsid w:val="00535FF4"/>
    <w:rsid w:val="00536186"/>
    <w:rsid w:val="00536F6F"/>
    <w:rsid w:val="005409B1"/>
    <w:rsid w:val="00543AFC"/>
    <w:rsid w:val="00544CBB"/>
    <w:rsid w:val="00550A37"/>
    <w:rsid w:val="005526F1"/>
    <w:rsid w:val="005556EE"/>
    <w:rsid w:val="00557496"/>
    <w:rsid w:val="005608B0"/>
    <w:rsid w:val="00564E38"/>
    <w:rsid w:val="005656D7"/>
    <w:rsid w:val="00565D20"/>
    <w:rsid w:val="00571746"/>
    <w:rsid w:val="0057315F"/>
    <w:rsid w:val="00573D02"/>
    <w:rsid w:val="00576104"/>
    <w:rsid w:val="00576DAA"/>
    <w:rsid w:val="00581AB9"/>
    <w:rsid w:val="00585B6B"/>
    <w:rsid w:val="0059181E"/>
    <w:rsid w:val="00592B21"/>
    <w:rsid w:val="005939D8"/>
    <w:rsid w:val="00595C31"/>
    <w:rsid w:val="005A000C"/>
    <w:rsid w:val="005A1F6B"/>
    <w:rsid w:val="005A61B9"/>
    <w:rsid w:val="005B246C"/>
    <w:rsid w:val="005B306B"/>
    <w:rsid w:val="005B44BF"/>
    <w:rsid w:val="005B7AD3"/>
    <w:rsid w:val="005C4DDE"/>
    <w:rsid w:val="005C51BB"/>
    <w:rsid w:val="005C67C8"/>
    <w:rsid w:val="005C7CC4"/>
    <w:rsid w:val="005D0249"/>
    <w:rsid w:val="005D18FA"/>
    <w:rsid w:val="005D2EBB"/>
    <w:rsid w:val="005D4FD4"/>
    <w:rsid w:val="005D5017"/>
    <w:rsid w:val="005D6E8C"/>
    <w:rsid w:val="005E098A"/>
    <w:rsid w:val="005E1F8B"/>
    <w:rsid w:val="005E3004"/>
    <w:rsid w:val="005E3584"/>
    <w:rsid w:val="005E3881"/>
    <w:rsid w:val="005E3E8B"/>
    <w:rsid w:val="005F100C"/>
    <w:rsid w:val="005F3A64"/>
    <w:rsid w:val="005F4274"/>
    <w:rsid w:val="005F4A86"/>
    <w:rsid w:val="005F6767"/>
    <w:rsid w:val="005F68DA"/>
    <w:rsid w:val="00600363"/>
    <w:rsid w:val="00600A7E"/>
    <w:rsid w:val="00601BC9"/>
    <w:rsid w:val="006020A2"/>
    <w:rsid w:val="00602DB0"/>
    <w:rsid w:val="006035A3"/>
    <w:rsid w:val="006042E7"/>
    <w:rsid w:val="006073E6"/>
    <w:rsid w:val="0060773B"/>
    <w:rsid w:val="00607DD3"/>
    <w:rsid w:val="00613FD6"/>
    <w:rsid w:val="006157B5"/>
    <w:rsid w:val="00615D0B"/>
    <w:rsid w:val="0061659A"/>
    <w:rsid w:val="00617224"/>
    <w:rsid w:val="00620D92"/>
    <w:rsid w:val="006255E0"/>
    <w:rsid w:val="006267AF"/>
    <w:rsid w:val="00626A57"/>
    <w:rsid w:val="00626FC6"/>
    <w:rsid w:val="006303B4"/>
    <w:rsid w:val="00630927"/>
    <w:rsid w:val="00630ADC"/>
    <w:rsid w:val="00631597"/>
    <w:rsid w:val="006319AA"/>
    <w:rsid w:val="00633D3D"/>
    <w:rsid w:val="00641703"/>
    <w:rsid w:val="006431A6"/>
    <w:rsid w:val="006432E0"/>
    <w:rsid w:val="00643E3A"/>
    <w:rsid w:val="006459F6"/>
    <w:rsid w:val="006501AD"/>
    <w:rsid w:val="00650D05"/>
    <w:rsid w:val="00650FD6"/>
    <w:rsid w:val="00651BFA"/>
    <w:rsid w:val="00654475"/>
    <w:rsid w:val="0065554B"/>
    <w:rsid w:val="00655F6B"/>
    <w:rsid w:val="00656D67"/>
    <w:rsid w:val="00656DF0"/>
    <w:rsid w:val="00656F66"/>
    <w:rsid w:val="00657AB7"/>
    <w:rsid w:val="00662B16"/>
    <w:rsid w:val="00665A4B"/>
    <w:rsid w:val="00666255"/>
    <w:rsid w:val="00670249"/>
    <w:rsid w:val="00670896"/>
    <w:rsid w:val="006723B7"/>
    <w:rsid w:val="00673E28"/>
    <w:rsid w:val="00673E6D"/>
    <w:rsid w:val="00676D9D"/>
    <w:rsid w:val="00677B7A"/>
    <w:rsid w:val="00680825"/>
    <w:rsid w:val="006811A4"/>
    <w:rsid w:val="00681AC0"/>
    <w:rsid w:val="00682B0B"/>
    <w:rsid w:val="00690250"/>
    <w:rsid w:val="00690B69"/>
    <w:rsid w:val="00692E2A"/>
    <w:rsid w:val="00693794"/>
    <w:rsid w:val="00693B53"/>
    <w:rsid w:val="006A0361"/>
    <w:rsid w:val="006A6E23"/>
    <w:rsid w:val="006A76F2"/>
    <w:rsid w:val="006A77B7"/>
    <w:rsid w:val="006B0583"/>
    <w:rsid w:val="006B0B7E"/>
    <w:rsid w:val="006B1418"/>
    <w:rsid w:val="006B4D3E"/>
    <w:rsid w:val="006C2824"/>
    <w:rsid w:val="006C415B"/>
    <w:rsid w:val="006D09F1"/>
    <w:rsid w:val="006D19D4"/>
    <w:rsid w:val="006D4328"/>
    <w:rsid w:val="006D5095"/>
    <w:rsid w:val="006D5141"/>
    <w:rsid w:val="006D7EFB"/>
    <w:rsid w:val="006E3ABF"/>
    <w:rsid w:val="006E5956"/>
    <w:rsid w:val="006E6672"/>
    <w:rsid w:val="006E6722"/>
    <w:rsid w:val="006E7B0C"/>
    <w:rsid w:val="006F4413"/>
    <w:rsid w:val="006F65A4"/>
    <w:rsid w:val="006F7AFF"/>
    <w:rsid w:val="0070122D"/>
    <w:rsid w:val="00702064"/>
    <w:rsid w:val="007027B9"/>
    <w:rsid w:val="0070321C"/>
    <w:rsid w:val="00703BD6"/>
    <w:rsid w:val="007066B5"/>
    <w:rsid w:val="007128B0"/>
    <w:rsid w:val="00713F17"/>
    <w:rsid w:val="007145DA"/>
    <w:rsid w:val="00715731"/>
    <w:rsid w:val="00715A5A"/>
    <w:rsid w:val="00715E88"/>
    <w:rsid w:val="007160EE"/>
    <w:rsid w:val="0071731B"/>
    <w:rsid w:val="007206DB"/>
    <w:rsid w:val="00720825"/>
    <w:rsid w:val="007214F9"/>
    <w:rsid w:val="007215A0"/>
    <w:rsid w:val="0072308C"/>
    <w:rsid w:val="00725717"/>
    <w:rsid w:val="0073374C"/>
    <w:rsid w:val="00734CAA"/>
    <w:rsid w:val="007362CD"/>
    <w:rsid w:val="0073700C"/>
    <w:rsid w:val="00741552"/>
    <w:rsid w:val="00742680"/>
    <w:rsid w:val="00746ECE"/>
    <w:rsid w:val="00755202"/>
    <w:rsid w:val="0075533C"/>
    <w:rsid w:val="007573DB"/>
    <w:rsid w:val="00757581"/>
    <w:rsid w:val="007602F5"/>
    <w:rsid w:val="00760D36"/>
    <w:rsid w:val="007611A0"/>
    <w:rsid w:val="00761253"/>
    <w:rsid w:val="007628C1"/>
    <w:rsid w:val="00764537"/>
    <w:rsid w:val="00766D5C"/>
    <w:rsid w:val="00770BB9"/>
    <w:rsid w:val="00770C7B"/>
    <w:rsid w:val="00770F77"/>
    <w:rsid w:val="00773E54"/>
    <w:rsid w:val="00776E9E"/>
    <w:rsid w:val="00781489"/>
    <w:rsid w:val="00781C6B"/>
    <w:rsid w:val="007832AA"/>
    <w:rsid w:val="00787688"/>
    <w:rsid w:val="00791EB3"/>
    <w:rsid w:val="007935E6"/>
    <w:rsid w:val="00794EE2"/>
    <w:rsid w:val="00796BA0"/>
    <w:rsid w:val="00796D3F"/>
    <w:rsid w:val="007A1683"/>
    <w:rsid w:val="007A24FE"/>
    <w:rsid w:val="007A48DC"/>
    <w:rsid w:val="007A5C12"/>
    <w:rsid w:val="007A7595"/>
    <w:rsid w:val="007A7CB0"/>
    <w:rsid w:val="007B1F67"/>
    <w:rsid w:val="007B28A1"/>
    <w:rsid w:val="007B4279"/>
    <w:rsid w:val="007B529C"/>
    <w:rsid w:val="007B6039"/>
    <w:rsid w:val="007B68A3"/>
    <w:rsid w:val="007B6EB6"/>
    <w:rsid w:val="007B7696"/>
    <w:rsid w:val="007B7924"/>
    <w:rsid w:val="007C0E5D"/>
    <w:rsid w:val="007C2541"/>
    <w:rsid w:val="007D4832"/>
    <w:rsid w:val="007D66A8"/>
    <w:rsid w:val="007E003F"/>
    <w:rsid w:val="007E060C"/>
    <w:rsid w:val="007E3A01"/>
    <w:rsid w:val="007E58BB"/>
    <w:rsid w:val="007F0CF8"/>
    <w:rsid w:val="007F322F"/>
    <w:rsid w:val="007F41F5"/>
    <w:rsid w:val="007F62CB"/>
    <w:rsid w:val="007F78E9"/>
    <w:rsid w:val="00805BB0"/>
    <w:rsid w:val="00811FD6"/>
    <w:rsid w:val="00812046"/>
    <w:rsid w:val="008142EC"/>
    <w:rsid w:val="008164F2"/>
    <w:rsid w:val="00817A17"/>
    <w:rsid w:val="00821395"/>
    <w:rsid w:val="008249E8"/>
    <w:rsid w:val="00830E26"/>
    <w:rsid w:val="008313A0"/>
    <w:rsid w:val="0083302D"/>
    <w:rsid w:val="00834D96"/>
    <w:rsid w:val="008350BB"/>
    <w:rsid w:val="008353CA"/>
    <w:rsid w:val="008370FA"/>
    <w:rsid w:val="00837D46"/>
    <w:rsid w:val="00842578"/>
    <w:rsid w:val="00843576"/>
    <w:rsid w:val="00843B64"/>
    <w:rsid w:val="0084666C"/>
    <w:rsid w:val="00846A2A"/>
    <w:rsid w:val="008478FC"/>
    <w:rsid w:val="00850D2C"/>
    <w:rsid w:val="008512FA"/>
    <w:rsid w:val="00851659"/>
    <w:rsid w:val="00851C51"/>
    <w:rsid w:val="00853DB1"/>
    <w:rsid w:val="00856CDB"/>
    <w:rsid w:val="00861A7F"/>
    <w:rsid w:val="0086694D"/>
    <w:rsid w:val="00867BFF"/>
    <w:rsid w:val="00870470"/>
    <w:rsid w:val="00871542"/>
    <w:rsid w:val="00872BF6"/>
    <w:rsid w:val="008758C8"/>
    <w:rsid w:val="0088480A"/>
    <w:rsid w:val="0088757A"/>
    <w:rsid w:val="008900B2"/>
    <w:rsid w:val="00893185"/>
    <w:rsid w:val="00893431"/>
    <w:rsid w:val="00893FB1"/>
    <w:rsid w:val="0089431B"/>
    <w:rsid w:val="00894B22"/>
    <w:rsid w:val="00895668"/>
    <w:rsid w:val="008957DD"/>
    <w:rsid w:val="00897976"/>
    <w:rsid w:val="00897D98"/>
    <w:rsid w:val="008A6DF2"/>
    <w:rsid w:val="008A7807"/>
    <w:rsid w:val="008B0264"/>
    <w:rsid w:val="008B0522"/>
    <w:rsid w:val="008B4CC9"/>
    <w:rsid w:val="008B7623"/>
    <w:rsid w:val="008B7CE9"/>
    <w:rsid w:val="008C362C"/>
    <w:rsid w:val="008C55AF"/>
    <w:rsid w:val="008D12F2"/>
    <w:rsid w:val="008D2FBE"/>
    <w:rsid w:val="008D39EB"/>
    <w:rsid w:val="008D5EF4"/>
    <w:rsid w:val="008D75E4"/>
    <w:rsid w:val="008D7C99"/>
    <w:rsid w:val="008E0FCB"/>
    <w:rsid w:val="008E1572"/>
    <w:rsid w:val="008E5BF8"/>
    <w:rsid w:val="008E7826"/>
    <w:rsid w:val="008E7AD7"/>
    <w:rsid w:val="008F250E"/>
    <w:rsid w:val="008F6DFE"/>
    <w:rsid w:val="009008D9"/>
    <w:rsid w:val="00900D32"/>
    <w:rsid w:val="00902056"/>
    <w:rsid w:val="0090529F"/>
    <w:rsid w:val="0090674F"/>
    <w:rsid w:val="00907795"/>
    <w:rsid w:val="00916C56"/>
    <w:rsid w:val="00917005"/>
    <w:rsid w:val="009206FF"/>
    <w:rsid w:val="0092092A"/>
    <w:rsid w:val="00920B74"/>
    <w:rsid w:val="00921330"/>
    <w:rsid w:val="0092178C"/>
    <w:rsid w:val="00921841"/>
    <w:rsid w:val="00921CA5"/>
    <w:rsid w:val="00924A60"/>
    <w:rsid w:val="0092778A"/>
    <w:rsid w:val="00930B88"/>
    <w:rsid w:val="00931F11"/>
    <w:rsid w:val="00935845"/>
    <w:rsid w:val="0093672D"/>
    <w:rsid w:val="009377B4"/>
    <w:rsid w:val="009377F6"/>
    <w:rsid w:val="009404C9"/>
    <w:rsid w:val="00940DCC"/>
    <w:rsid w:val="0094179A"/>
    <w:rsid w:val="009424C7"/>
    <w:rsid w:val="0094459E"/>
    <w:rsid w:val="00944DBC"/>
    <w:rsid w:val="00950977"/>
    <w:rsid w:val="00951A7B"/>
    <w:rsid w:val="00951ECA"/>
    <w:rsid w:val="00954868"/>
    <w:rsid w:val="00955A3B"/>
    <w:rsid w:val="009564A6"/>
    <w:rsid w:val="00957461"/>
    <w:rsid w:val="009600D3"/>
    <w:rsid w:val="009604FB"/>
    <w:rsid w:val="00960C99"/>
    <w:rsid w:val="009637E8"/>
    <w:rsid w:val="00966A53"/>
    <w:rsid w:val="00967621"/>
    <w:rsid w:val="00967E6A"/>
    <w:rsid w:val="00977801"/>
    <w:rsid w:val="009825BB"/>
    <w:rsid w:val="009907B9"/>
    <w:rsid w:val="00990918"/>
    <w:rsid w:val="009923E3"/>
    <w:rsid w:val="0099283B"/>
    <w:rsid w:val="009970D2"/>
    <w:rsid w:val="00997B03"/>
    <w:rsid w:val="009A3A83"/>
    <w:rsid w:val="009A554B"/>
    <w:rsid w:val="009A6B67"/>
    <w:rsid w:val="009B4196"/>
    <w:rsid w:val="009B4A0F"/>
    <w:rsid w:val="009B52F4"/>
    <w:rsid w:val="009B7170"/>
    <w:rsid w:val="009C11D2"/>
    <w:rsid w:val="009C1644"/>
    <w:rsid w:val="009C2177"/>
    <w:rsid w:val="009C2AE3"/>
    <w:rsid w:val="009C6C70"/>
    <w:rsid w:val="009C7B0A"/>
    <w:rsid w:val="009D0B63"/>
    <w:rsid w:val="009D485C"/>
    <w:rsid w:val="009D5CB8"/>
    <w:rsid w:val="009E307E"/>
    <w:rsid w:val="009E3138"/>
    <w:rsid w:val="009F13F4"/>
    <w:rsid w:val="009F367D"/>
    <w:rsid w:val="009F3F4F"/>
    <w:rsid w:val="009F53C6"/>
    <w:rsid w:val="00A00029"/>
    <w:rsid w:val="00A0646B"/>
    <w:rsid w:val="00A07870"/>
    <w:rsid w:val="00A07C54"/>
    <w:rsid w:val="00A07F19"/>
    <w:rsid w:val="00A10785"/>
    <w:rsid w:val="00A1348D"/>
    <w:rsid w:val="00A13C99"/>
    <w:rsid w:val="00A17EF3"/>
    <w:rsid w:val="00A20E24"/>
    <w:rsid w:val="00A232EE"/>
    <w:rsid w:val="00A24D71"/>
    <w:rsid w:val="00A31459"/>
    <w:rsid w:val="00A33AC4"/>
    <w:rsid w:val="00A368C4"/>
    <w:rsid w:val="00A414F6"/>
    <w:rsid w:val="00A4175F"/>
    <w:rsid w:val="00A42B32"/>
    <w:rsid w:val="00A44411"/>
    <w:rsid w:val="00A469FA"/>
    <w:rsid w:val="00A50AAD"/>
    <w:rsid w:val="00A5125F"/>
    <w:rsid w:val="00A51CF2"/>
    <w:rsid w:val="00A53662"/>
    <w:rsid w:val="00A53829"/>
    <w:rsid w:val="00A55B01"/>
    <w:rsid w:val="00A56B5B"/>
    <w:rsid w:val="00A577E3"/>
    <w:rsid w:val="00A603FF"/>
    <w:rsid w:val="00A619B6"/>
    <w:rsid w:val="00A61FBD"/>
    <w:rsid w:val="00A63562"/>
    <w:rsid w:val="00A648CA"/>
    <w:rsid w:val="00A657DD"/>
    <w:rsid w:val="00A65E91"/>
    <w:rsid w:val="00A666A6"/>
    <w:rsid w:val="00A675FD"/>
    <w:rsid w:val="00A72437"/>
    <w:rsid w:val="00A76465"/>
    <w:rsid w:val="00A76F84"/>
    <w:rsid w:val="00A8048B"/>
    <w:rsid w:val="00A80611"/>
    <w:rsid w:val="00A82641"/>
    <w:rsid w:val="00A8337B"/>
    <w:rsid w:val="00A91C70"/>
    <w:rsid w:val="00A95EC7"/>
    <w:rsid w:val="00AA25E4"/>
    <w:rsid w:val="00AA423D"/>
    <w:rsid w:val="00AA5BF4"/>
    <w:rsid w:val="00AB09F8"/>
    <w:rsid w:val="00AB1972"/>
    <w:rsid w:val="00AB5340"/>
    <w:rsid w:val="00AB6A2A"/>
    <w:rsid w:val="00AC0A89"/>
    <w:rsid w:val="00AC104B"/>
    <w:rsid w:val="00AC1B84"/>
    <w:rsid w:val="00AC2059"/>
    <w:rsid w:val="00AC3266"/>
    <w:rsid w:val="00AC4D3A"/>
    <w:rsid w:val="00AC7C96"/>
    <w:rsid w:val="00AD17E3"/>
    <w:rsid w:val="00AD7761"/>
    <w:rsid w:val="00AE237D"/>
    <w:rsid w:val="00AE2987"/>
    <w:rsid w:val="00AE2F7E"/>
    <w:rsid w:val="00AE35B6"/>
    <w:rsid w:val="00AE502A"/>
    <w:rsid w:val="00AE5516"/>
    <w:rsid w:val="00AE7F44"/>
    <w:rsid w:val="00AF0010"/>
    <w:rsid w:val="00AF01EB"/>
    <w:rsid w:val="00AF2C1F"/>
    <w:rsid w:val="00AF4DDF"/>
    <w:rsid w:val="00AF5647"/>
    <w:rsid w:val="00AF6C11"/>
    <w:rsid w:val="00AF7C07"/>
    <w:rsid w:val="00AF7C68"/>
    <w:rsid w:val="00B02F7E"/>
    <w:rsid w:val="00B04509"/>
    <w:rsid w:val="00B06B4D"/>
    <w:rsid w:val="00B06C64"/>
    <w:rsid w:val="00B07FCB"/>
    <w:rsid w:val="00B11CAC"/>
    <w:rsid w:val="00B12DDE"/>
    <w:rsid w:val="00B15A29"/>
    <w:rsid w:val="00B2145F"/>
    <w:rsid w:val="00B22253"/>
    <w:rsid w:val="00B22C93"/>
    <w:rsid w:val="00B27589"/>
    <w:rsid w:val="00B33800"/>
    <w:rsid w:val="00B345FD"/>
    <w:rsid w:val="00B405B7"/>
    <w:rsid w:val="00B43CD3"/>
    <w:rsid w:val="00B44408"/>
    <w:rsid w:val="00B46A82"/>
    <w:rsid w:val="00B52222"/>
    <w:rsid w:val="00B523F4"/>
    <w:rsid w:val="00B531DA"/>
    <w:rsid w:val="00B54895"/>
    <w:rsid w:val="00B54FE7"/>
    <w:rsid w:val="00B60418"/>
    <w:rsid w:val="00B6090E"/>
    <w:rsid w:val="00B63100"/>
    <w:rsid w:val="00B647C6"/>
    <w:rsid w:val="00B655F9"/>
    <w:rsid w:val="00B665F1"/>
    <w:rsid w:val="00B66901"/>
    <w:rsid w:val="00B670E9"/>
    <w:rsid w:val="00B679CD"/>
    <w:rsid w:val="00B71E6D"/>
    <w:rsid w:val="00B72049"/>
    <w:rsid w:val="00B72070"/>
    <w:rsid w:val="00B72C1E"/>
    <w:rsid w:val="00B745A7"/>
    <w:rsid w:val="00B77575"/>
    <w:rsid w:val="00B779E1"/>
    <w:rsid w:val="00B81C7A"/>
    <w:rsid w:val="00B81E3A"/>
    <w:rsid w:val="00B8294F"/>
    <w:rsid w:val="00B83DA9"/>
    <w:rsid w:val="00B84355"/>
    <w:rsid w:val="00B8506F"/>
    <w:rsid w:val="00B85CFB"/>
    <w:rsid w:val="00B8656E"/>
    <w:rsid w:val="00B91EE1"/>
    <w:rsid w:val="00B92B3E"/>
    <w:rsid w:val="00B94602"/>
    <w:rsid w:val="00BA0090"/>
    <w:rsid w:val="00BA1A67"/>
    <w:rsid w:val="00BA2021"/>
    <w:rsid w:val="00BA2E2F"/>
    <w:rsid w:val="00BA37ED"/>
    <w:rsid w:val="00BA6A80"/>
    <w:rsid w:val="00BB2D61"/>
    <w:rsid w:val="00BB3D5C"/>
    <w:rsid w:val="00BB4ABB"/>
    <w:rsid w:val="00BB4ABE"/>
    <w:rsid w:val="00BC0773"/>
    <w:rsid w:val="00BC13D0"/>
    <w:rsid w:val="00BD1743"/>
    <w:rsid w:val="00BD59FA"/>
    <w:rsid w:val="00BD69FE"/>
    <w:rsid w:val="00BE3FD8"/>
    <w:rsid w:val="00BE5B5F"/>
    <w:rsid w:val="00BE7993"/>
    <w:rsid w:val="00BF03AE"/>
    <w:rsid w:val="00BF30CD"/>
    <w:rsid w:val="00BF6CAD"/>
    <w:rsid w:val="00BF71FF"/>
    <w:rsid w:val="00C01B5C"/>
    <w:rsid w:val="00C038F6"/>
    <w:rsid w:val="00C144B8"/>
    <w:rsid w:val="00C1470E"/>
    <w:rsid w:val="00C16E61"/>
    <w:rsid w:val="00C211CB"/>
    <w:rsid w:val="00C24101"/>
    <w:rsid w:val="00C24774"/>
    <w:rsid w:val="00C26F55"/>
    <w:rsid w:val="00C272B6"/>
    <w:rsid w:val="00C30C63"/>
    <w:rsid w:val="00C30FA6"/>
    <w:rsid w:val="00C30FF3"/>
    <w:rsid w:val="00C364D7"/>
    <w:rsid w:val="00C36B8B"/>
    <w:rsid w:val="00C415C1"/>
    <w:rsid w:val="00C449EE"/>
    <w:rsid w:val="00C46DD8"/>
    <w:rsid w:val="00C4702C"/>
    <w:rsid w:val="00C47DBF"/>
    <w:rsid w:val="00C51CCE"/>
    <w:rsid w:val="00C52876"/>
    <w:rsid w:val="00C54B9A"/>
    <w:rsid w:val="00C552FF"/>
    <w:rsid w:val="00C558DA"/>
    <w:rsid w:val="00C55AF3"/>
    <w:rsid w:val="00C568B0"/>
    <w:rsid w:val="00C604A6"/>
    <w:rsid w:val="00C6119D"/>
    <w:rsid w:val="00C6685F"/>
    <w:rsid w:val="00C670F9"/>
    <w:rsid w:val="00C71040"/>
    <w:rsid w:val="00C721CB"/>
    <w:rsid w:val="00C74C8C"/>
    <w:rsid w:val="00C75188"/>
    <w:rsid w:val="00C76FD1"/>
    <w:rsid w:val="00C771A9"/>
    <w:rsid w:val="00C77687"/>
    <w:rsid w:val="00C832CE"/>
    <w:rsid w:val="00C84759"/>
    <w:rsid w:val="00C9124D"/>
    <w:rsid w:val="00C927B9"/>
    <w:rsid w:val="00C97E90"/>
    <w:rsid w:val="00CA3A35"/>
    <w:rsid w:val="00CA5161"/>
    <w:rsid w:val="00CA58FD"/>
    <w:rsid w:val="00CA5CA9"/>
    <w:rsid w:val="00CA65DF"/>
    <w:rsid w:val="00CA6C7F"/>
    <w:rsid w:val="00CA75B3"/>
    <w:rsid w:val="00CB0607"/>
    <w:rsid w:val="00CB2B2B"/>
    <w:rsid w:val="00CB4DB9"/>
    <w:rsid w:val="00CB6B35"/>
    <w:rsid w:val="00CB6D80"/>
    <w:rsid w:val="00CC0E62"/>
    <w:rsid w:val="00CC0FC7"/>
    <w:rsid w:val="00CC10A6"/>
    <w:rsid w:val="00CC21C5"/>
    <w:rsid w:val="00CC26DF"/>
    <w:rsid w:val="00CC52C1"/>
    <w:rsid w:val="00CC6C56"/>
    <w:rsid w:val="00CD0814"/>
    <w:rsid w:val="00CD1258"/>
    <w:rsid w:val="00CD5EB8"/>
    <w:rsid w:val="00CD7044"/>
    <w:rsid w:val="00CD7134"/>
    <w:rsid w:val="00CE08B9"/>
    <w:rsid w:val="00CE460E"/>
    <w:rsid w:val="00CE5069"/>
    <w:rsid w:val="00CE524C"/>
    <w:rsid w:val="00CE7F94"/>
    <w:rsid w:val="00CF0122"/>
    <w:rsid w:val="00CF141F"/>
    <w:rsid w:val="00CF2646"/>
    <w:rsid w:val="00CF27B0"/>
    <w:rsid w:val="00CF358E"/>
    <w:rsid w:val="00CF4777"/>
    <w:rsid w:val="00CF65C8"/>
    <w:rsid w:val="00D006F7"/>
    <w:rsid w:val="00D00E37"/>
    <w:rsid w:val="00D013F5"/>
    <w:rsid w:val="00D01C66"/>
    <w:rsid w:val="00D03953"/>
    <w:rsid w:val="00D03D32"/>
    <w:rsid w:val="00D05492"/>
    <w:rsid w:val="00D05E3F"/>
    <w:rsid w:val="00D067BB"/>
    <w:rsid w:val="00D06C5B"/>
    <w:rsid w:val="00D11038"/>
    <w:rsid w:val="00D1352A"/>
    <w:rsid w:val="00D169AF"/>
    <w:rsid w:val="00D17E7B"/>
    <w:rsid w:val="00D21F50"/>
    <w:rsid w:val="00D225C6"/>
    <w:rsid w:val="00D24CE8"/>
    <w:rsid w:val="00D25249"/>
    <w:rsid w:val="00D265E4"/>
    <w:rsid w:val="00D35E1A"/>
    <w:rsid w:val="00D35E88"/>
    <w:rsid w:val="00D3697C"/>
    <w:rsid w:val="00D434F0"/>
    <w:rsid w:val="00D44172"/>
    <w:rsid w:val="00D466EE"/>
    <w:rsid w:val="00D468C8"/>
    <w:rsid w:val="00D47BE3"/>
    <w:rsid w:val="00D47ECC"/>
    <w:rsid w:val="00D50731"/>
    <w:rsid w:val="00D52FB9"/>
    <w:rsid w:val="00D540B8"/>
    <w:rsid w:val="00D5636E"/>
    <w:rsid w:val="00D604E3"/>
    <w:rsid w:val="00D63B8C"/>
    <w:rsid w:val="00D663A4"/>
    <w:rsid w:val="00D673F7"/>
    <w:rsid w:val="00D67BFE"/>
    <w:rsid w:val="00D739CC"/>
    <w:rsid w:val="00D775AA"/>
    <w:rsid w:val="00D8093D"/>
    <w:rsid w:val="00D8108C"/>
    <w:rsid w:val="00D832FC"/>
    <w:rsid w:val="00D842AE"/>
    <w:rsid w:val="00D87EE1"/>
    <w:rsid w:val="00D9211C"/>
    <w:rsid w:val="00D92DE0"/>
    <w:rsid w:val="00D92FEF"/>
    <w:rsid w:val="00D93A0F"/>
    <w:rsid w:val="00D97581"/>
    <w:rsid w:val="00D97F8D"/>
    <w:rsid w:val="00DA0F8E"/>
    <w:rsid w:val="00DA1630"/>
    <w:rsid w:val="00DA1BCA"/>
    <w:rsid w:val="00DA2325"/>
    <w:rsid w:val="00DA33F3"/>
    <w:rsid w:val="00DA5D66"/>
    <w:rsid w:val="00DA5F41"/>
    <w:rsid w:val="00DB004B"/>
    <w:rsid w:val="00DB1328"/>
    <w:rsid w:val="00DB13FA"/>
    <w:rsid w:val="00DB2061"/>
    <w:rsid w:val="00DB278B"/>
    <w:rsid w:val="00DB38D0"/>
    <w:rsid w:val="00DB4FAA"/>
    <w:rsid w:val="00DB5270"/>
    <w:rsid w:val="00DC46FF"/>
    <w:rsid w:val="00DC509D"/>
    <w:rsid w:val="00DC5254"/>
    <w:rsid w:val="00DC5257"/>
    <w:rsid w:val="00DC569D"/>
    <w:rsid w:val="00DC5841"/>
    <w:rsid w:val="00DD1A4F"/>
    <w:rsid w:val="00DD3107"/>
    <w:rsid w:val="00DD431C"/>
    <w:rsid w:val="00DD49A4"/>
    <w:rsid w:val="00DD5DF8"/>
    <w:rsid w:val="00DD6E80"/>
    <w:rsid w:val="00DD7C2C"/>
    <w:rsid w:val="00DE03C3"/>
    <w:rsid w:val="00DE265F"/>
    <w:rsid w:val="00DE5BDA"/>
    <w:rsid w:val="00DE6006"/>
    <w:rsid w:val="00DF23BC"/>
    <w:rsid w:val="00DF433C"/>
    <w:rsid w:val="00DF768A"/>
    <w:rsid w:val="00DF7E29"/>
    <w:rsid w:val="00E0035A"/>
    <w:rsid w:val="00E016D8"/>
    <w:rsid w:val="00E05E58"/>
    <w:rsid w:val="00E060D7"/>
    <w:rsid w:val="00E06797"/>
    <w:rsid w:val="00E12361"/>
    <w:rsid w:val="00E1265B"/>
    <w:rsid w:val="00E13B48"/>
    <w:rsid w:val="00E1404F"/>
    <w:rsid w:val="00E141C8"/>
    <w:rsid w:val="00E15DF7"/>
    <w:rsid w:val="00E16C65"/>
    <w:rsid w:val="00E20196"/>
    <w:rsid w:val="00E21C83"/>
    <w:rsid w:val="00E21E54"/>
    <w:rsid w:val="00E24ADA"/>
    <w:rsid w:val="00E32F59"/>
    <w:rsid w:val="00E3729A"/>
    <w:rsid w:val="00E41908"/>
    <w:rsid w:val="00E430A4"/>
    <w:rsid w:val="00E45719"/>
    <w:rsid w:val="00E46585"/>
    <w:rsid w:val="00E46D9A"/>
    <w:rsid w:val="00E50AEC"/>
    <w:rsid w:val="00E54144"/>
    <w:rsid w:val="00E565FF"/>
    <w:rsid w:val="00E5689E"/>
    <w:rsid w:val="00E6378B"/>
    <w:rsid w:val="00E63DD4"/>
    <w:rsid w:val="00E65388"/>
    <w:rsid w:val="00E65ADB"/>
    <w:rsid w:val="00E7490E"/>
    <w:rsid w:val="00E74AF6"/>
    <w:rsid w:val="00E75AFC"/>
    <w:rsid w:val="00E7741D"/>
    <w:rsid w:val="00E808CD"/>
    <w:rsid w:val="00E81067"/>
    <w:rsid w:val="00E8348F"/>
    <w:rsid w:val="00E85B7D"/>
    <w:rsid w:val="00E879BF"/>
    <w:rsid w:val="00E90A76"/>
    <w:rsid w:val="00E9121B"/>
    <w:rsid w:val="00E9302E"/>
    <w:rsid w:val="00E938A2"/>
    <w:rsid w:val="00E94ACC"/>
    <w:rsid w:val="00E976AB"/>
    <w:rsid w:val="00E97D2F"/>
    <w:rsid w:val="00EA0AE2"/>
    <w:rsid w:val="00EA13F8"/>
    <w:rsid w:val="00EA157A"/>
    <w:rsid w:val="00EA24D3"/>
    <w:rsid w:val="00EA291A"/>
    <w:rsid w:val="00EA39E5"/>
    <w:rsid w:val="00EA4CC1"/>
    <w:rsid w:val="00EA4F39"/>
    <w:rsid w:val="00EA57A3"/>
    <w:rsid w:val="00EA798B"/>
    <w:rsid w:val="00EB0F30"/>
    <w:rsid w:val="00EB3269"/>
    <w:rsid w:val="00EB7F13"/>
    <w:rsid w:val="00EC2813"/>
    <w:rsid w:val="00EC3208"/>
    <w:rsid w:val="00EC5A46"/>
    <w:rsid w:val="00EC63E2"/>
    <w:rsid w:val="00ED366A"/>
    <w:rsid w:val="00ED3E70"/>
    <w:rsid w:val="00ED6BB7"/>
    <w:rsid w:val="00EE1723"/>
    <w:rsid w:val="00EE204B"/>
    <w:rsid w:val="00EE48A1"/>
    <w:rsid w:val="00EE4FF7"/>
    <w:rsid w:val="00EF0092"/>
    <w:rsid w:val="00EF22B3"/>
    <w:rsid w:val="00EF3121"/>
    <w:rsid w:val="00F00314"/>
    <w:rsid w:val="00F014A2"/>
    <w:rsid w:val="00F03B69"/>
    <w:rsid w:val="00F052AF"/>
    <w:rsid w:val="00F07A50"/>
    <w:rsid w:val="00F10F3E"/>
    <w:rsid w:val="00F111C9"/>
    <w:rsid w:val="00F113DA"/>
    <w:rsid w:val="00F20541"/>
    <w:rsid w:val="00F21D9E"/>
    <w:rsid w:val="00F266FC"/>
    <w:rsid w:val="00F3037A"/>
    <w:rsid w:val="00F3465A"/>
    <w:rsid w:val="00F37DC8"/>
    <w:rsid w:val="00F40F4B"/>
    <w:rsid w:val="00F41B03"/>
    <w:rsid w:val="00F4388B"/>
    <w:rsid w:val="00F439B3"/>
    <w:rsid w:val="00F47133"/>
    <w:rsid w:val="00F52E11"/>
    <w:rsid w:val="00F547CA"/>
    <w:rsid w:val="00F5785A"/>
    <w:rsid w:val="00F60465"/>
    <w:rsid w:val="00F62473"/>
    <w:rsid w:val="00F6323C"/>
    <w:rsid w:val="00F650C3"/>
    <w:rsid w:val="00F65D85"/>
    <w:rsid w:val="00F6700B"/>
    <w:rsid w:val="00F727B0"/>
    <w:rsid w:val="00F728BC"/>
    <w:rsid w:val="00F76F6C"/>
    <w:rsid w:val="00F8091E"/>
    <w:rsid w:val="00F809C0"/>
    <w:rsid w:val="00F80B1B"/>
    <w:rsid w:val="00F811DB"/>
    <w:rsid w:val="00F82906"/>
    <w:rsid w:val="00F84EEE"/>
    <w:rsid w:val="00F85B53"/>
    <w:rsid w:val="00F85F21"/>
    <w:rsid w:val="00F8615C"/>
    <w:rsid w:val="00F90FEB"/>
    <w:rsid w:val="00F94D5C"/>
    <w:rsid w:val="00F969E5"/>
    <w:rsid w:val="00FA0122"/>
    <w:rsid w:val="00FA1164"/>
    <w:rsid w:val="00FA4972"/>
    <w:rsid w:val="00FA6BB0"/>
    <w:rsid w:val="00FB0444"/>
    <w:rsid w:val="00FB2C77"/>
    <w:rsid w:val="00FB2DBD"/>
    <w:rsid w:val="00FB2FB5"/>
    <w:rsid w:val="00FB53D9"/>
    <w:rsid w:val="00FB5616"/>
    <w:rsid w:val="00FC30DC"/>
    <w:rsid w:val="00FC60B6"/>
    <w:rsid w:val="00FC7DFA"/>
    <w:rsid w:val="00FD0CA1"/>
    <w:rsid w:val="00FD48DF"/>
    <w:rsid w:val="00FD5860"/>
    <w:rsid w:val="00FE1DD5"/>
    <w:rsid w:val="00FE352D"/>
    <w:rsid w:val="00FE40EB"/>
    <w:rsid w:val="00FE489F"/>
    <w:rsid w:val="00FE4D02"/>
    <w:rsid w:val="00FE7D62"/>
    <w:rsid w:val="00FF2734"/>
    <w:rsid w:val="00FF33A3"/>
    <w:rsid w:val="00FF3819"/>
    <w:rsid w:val="00FF4AC9"/>
    <w:rsid w:val="00FF5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paragraph" w:styleId="Revision">
    <w:name w:val="Revision"/>
    <w:hidden/>
    <w:uiPriority w:val="99"/>
    <w:semiHidden/>
    <w:rsid w:val="00B6310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paragraph" w:styleId="Revision">
    <w:name w:val="Revision"/>
    <w:hidden/>
    <w:uiPriority w:val="99"/>
    <w:semiHidden/>
    <w:rsid w:val="00B631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00190680">
      <w:bodyDiv w:val="1"/>
      <w:marLeft w:val="0"/>
      <w:marRight w:val="0"/>
      <w:marTop w:val="0"/>
      <w:marBottom w:val="0"/>
      <w:divBdr>
        <w:top w:val="none" w:sz="0" w:space="0" w:color="auto"/>
        <w:left w:val="none" w:sz="0" w:space="0" w:color="auto"/>
        <w:bottom w:val="none" w:sz="0" w:space="0" w:color="auto"/>
        <w:right w:val="none" w:sz="0" w:space="0" w:color="auto"/>
      </w:divBdr>
      <w:divsChild>
        <w:div w:id="542527046">
          <w:marLeft w:val="0"/>
          <w:marRight w:val="0"/>
          <w:marTop w:val="0"/>
          <w:marBottom w:val="0"/>
          <w:divBdr>
            <w:top w:val="none" w:sz="0" w:space="0" w:color="auto"/>
            <w:left w:val="none" w:sz="0" w:space="0" w:color="auto"/>
            <w:bottom w:val="none" w:sz="0" w:space="0" w:color="auto"/>
            <w:right w:val="none" w:sz="0" w:space="0" w:color="auto"/>
          </w:divBdr>
        </w:div>
        <w:div w:id="79178246">
          <w:marLeft w:val="0"/>
          <w:marRight w:val="0"/>
          <w:marTop w:val="0"/>
          <w:marBottom w:val="0"/>
          <w:divBdr>
            <w:top w:val="none" w:sz="0" w:space="0" w:color="auto"/>
            <w:left w:val="none" w:sz="0" w:space="0" w:color="auto"/>
            <w:bottom w:val="none" w:sz="0" w:space="0" w:color="auto"/>
            <w:right w:val="none" w:sz="0" w:space="0" w:color="auto"/>
          </w:divBdr>
        </w:div>
        <w:div w:id="986859926">
          <w:marLeft w:val="0"/>
          <w:marRight w:val="0"/>
          <w:marTop w:val="0"/>
          <w:marBottom w:val="0"/>
          <w:divBdr>
            <w:top w:val="none" w:sz="0" w:space="0" w:color="auto"/>
            <w:left w:val="none" w:sz="0" w:space="0" w:color="auto"/>
            <w:bottom w:val="none" w:sz="0" w:space="0" w:color="auto"/>
            <w:right w:val="none" w:sz="0" w:space="0" w:color="auto"/>
          </w:divBdr>
        </w:div>
        <w:div w:id="718822617">
          <w:marLeft w:val="0"/>
          <w:marRight w:val="0"/>
          <w:marTop w:val="0"/>
          <w:marBottom w:val="0"/>
          <w:divBdr>
            <w:top w:val="none" w:sz="0" w:space="0" w:color="auto"/>
            <w:left w:val="none" w:sz="0" w:space="0" w:color="auto"/>
            <w:bottom w:val="none" w:sz="0" w:space="0" w:color="auto"/>
            <w:right w:val="none" w:sz="0" w:space="0" w:color="auto"/>
          </w:divBdr>
        </w:div>
        <w:div w:id="62404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9ABA-A5DE-486B-9889-12E2BAC4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4441A3AB.dotm</Template>
  <TotalTime>3</TotalTime>
  <Pages>7</Pages>
  <Words>3501</Words>
  <Characters>20399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23853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Cynthia Mwanza</cp:lastModifiedBy>
  <cp:revision>6</cp:revision>
  <cp:lastPrinted>2017-08-07T13:25:00Z</cp:lastPrinted>
  <dcterms:created xsi:type="dcterms:W3CDTF">2017-08-07T13:23:00Z</dcterms:created>
  <dcterms:modified xsi:type="dcterms:W3CDTF">2017-08-07T13:26:00Z</dcterms:modified>
</cp:coreProperties>
</file>