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49"/>
        <w:gridCol w:w="4748"/>
        <w:gridCol w:w="3409"/>
      </w:tblGrid>
      <w:tr w:rsidR="00032E4E" w:rsidRPr="00AF02C8" w14:paraId="73055160" w14:textId="77777777" w:rsidTr="006C5226">
        <w:trPr>
          <w:cantSplit/>
          <w:trHeight w:val="850"/>
          <w:jc w:val="right"/>
        </w:trPr>
        <w:tc>
          <w:tcPr>
            <w:tcW w:w="1549" w:type="dxa"/>
          </w:tcPr>
          <w:p w14:paraId="2C204163" w14:textId="77777777" w:rsidR="00032E4E" w:rsidRPr="00AF02C8" w:rsidRDefault="00032E4E" w:rsidP="00023DA9">
            <w:pPr>
              <w:rPr>
                <w:rFonts w:ascii="Univers" w:hAnsi="Univers"/>
                <w:b/>
                <w:noProof/>
                <w:sz w:val="27"/>
                <w:szCs w:val="27"/>
              </w:rPr>
            </w:pPr>
            <w:r w:rsidRPr="00AF02C8">
              <w:rPr>
                <w:rFonts w:ascii="Arial" w:hAnsi="Arial" w:cs="Arial"/>
                <w:b/>
                <w:noProof/>
                <w:sz w:val="27"/>
                <w:szCs w:val="27"/>
              </w:rPr>
              <w:t>UNITED</w:t>
            </w:r>
            <w:r w:rsidRPr="00AF02C8">
              <w:rPr>
                <w:rFonts w:ascii="Arial" w:hAnsi="Arial" w:cs="Arial"/>
                <w:b/>
                <w:noProof/>
                <w:sz w:val="27"/>
                <w:szCs w:val="27"/>
              </w:rPr>
              <w:br/>
              <w:t>NATIONS</w:t>
            </w:r>
          </w:p>
        </w:tc>
        <w:tc>
          <w:tcPr>
            <w:tcW w:w="4748" w:type="dxa"/>
          </w:tcPr>
          <w:p w14:paraId="6C792CCF" w14:textId="77777777" w:rsidR="00032E4E" w:rsidRPr="00AF02C8" w:rsidRDefault="00032E4E" w:rsidP="00023DA9">
            <w:pPr>
              <w:rPr>
                <w:rFonts w:ascii="Univers" w:hAnsi="Univers"/>
                <w:b/>
                <w:sz w:val="27"/>
                <w:szCs w:val="27"/>
              </w:rPr>
            </w:pPr>
          </w:p>
        </w:tc>
        <w:tc>
          <w:tcPr>
            <w:tcW w:w="3409" w:type="dxa"/>
          </w:tcPr>
          <w:p w14:paraId="7FB8E3BA" w14:textId="77777777" w:rsidR="00032E4E" w:rsidRPr="00AF02C8" w:rsidRDefault="00787688" w:rsidP="00023DA9">
            <w:pPr>
              <w:jc w:val="right"/>
              <w:rPr>
                <w:rFonts w:ascii="Arial" w:hAnsi="Arial" w:cs="Arial"/>
                <w:b/>
                <w:sz w:val="64"/>
                <w:szCs w:val="64"/>
              </w:rPr>
            </w:pPr>
            <w:r w:rsidRPr="00AF02C8">
              <w:rPr>
                <w:rFonts w:ascii="Arial" w:hAnsi="Arial" w:cs="Arial"/>
                <w:b/>
                <w:sz w:val="64"/>
                <w:szCs w:val="64"/>
              </w:rPr>
              <w:t>MC</w:t>
            </w:r>
          </w:p>
        </w:tc>
      </w:tr>
      <w:tr w:rsidR="00032E4E" w:rsidRPr="00AF02C8" w14:paraId="0DAFF7E0" w14:textId="77777777" w:rsidTr="006C5226">
        <w:trPr>
          <w:cantSplit/>
          <w:trHeight w:val="281"/>
          <w:jc w:val="right"/>
        </w:trPr>
        <w:tc>
          <w:tcPr>
            <w:tcW w:w="1549" w:type="dxa"/>
            <w:tcBorders>
              <w:bottom w:val="single" w:sz="4" w:space="0" w:color="auto"/>
            </w:tcBorders>
          </w:tcPr>
          <w:p w14:paraId="2E0FC4FD" w14:textId="77777777" w:rsidR="00032E4E" w:rsidRPr="00AF02C8" w:rsidRDefault="00032E4E" w:rsidP="00023DA9">
            <w:pPr>
              <w:rPr>
                <w:noProof/>
                <w:sz w:val="18"/>
                <w:szCs w:val="18"/>
              </w:rPr>
            </w:pPr>
          </w:p>
        </w:tc>
        <w:tc>
          <w:tcPr>
            <w:tcW w:w="4748" w:type="dxa"/>
            <w:tcBorders>
              <w:bottom w:val="single" w:sz="4" w:space="0" w:color="auto"/>
            </w:tcBorders>
          </w:tcPr>
          <w:p w14:paraId="2E04F427" w14:textId="77777777" w:rsidR="00032E4E" w:rsidRPr="00AF02C8" w:rsidRDefault="00032E4E" w:rsidP="00023DA9">
            <w:pPr>
              <w:rPr>
                <w:rFonts w:ascii="Univers" w:hAnsi="Univers"/>
                <w:b/>
                <w:sz w:val="18"/>
                <w:szCs w:val="18"/>
              </w:rPr>
            </w:pPr>
          </w:p>
        </w:tc>
        <w:tc>
          <w:tcPr>
            <w:tcW w:w="3409" w:type="dxa"/>
            <w:tcBorders>
              <w:bottom w:val="single" w:sz="4" w:space="0" w:color="auto"/>
            </w:tcBorders>
          </w:tcPr>
          <w:p w14:paraId="0F1758A2" w14:textId="2492C83C" w:rsidR="00032E4E" w:rsidRPr="00AF02C8" w:rsidRDefault="00032E4E" w:rsidP="000F35D8">
            <w:pPr>
              <w:rPr>
                <w:noProof/>
                <w:sz w:val="18"/>
                <w:szCs w:val="18"/>
              </w:rPr>
            </w:pPr>
            <w:bookmarkStart w:id="0" w:name="_GoBack"/>
            <w:r w:rsidRPr="00AF02C8">
              <w:rPr>
                <w:b/>
                <w:bCs/>
                <w:sz w:val="28"/>
              </w:rPr>
              <w:t>UNEP</w:t>
            </w:r>
            <w:bookmarkStart w:id="1" w:name="OLE_LINK1"/>
            <w:bookmarkStart w:id="2" w:name="OLE_LINK2"/>
            <w:r w:rsidR="00787688" w:rsidRPr="00AF02C8">
              <w:rPr>
                <w:b/>
                <w:bCs/>
                <w:sz w:val="28"/>
              </w:rPr>
              <w:t>/</w:t>
            </w:r>
            <w:r w:rsidR="00787688" w:rsidRPr="00AF02C8">
              <w:t>MC</w:t>
            </w:r>
            <w:r w:rsidRPr="00AF02C8">
              <w:t>/</w:t>
            </w:r>
            <w:bookmarkEnd w:id="1"/>
            <w:bookmarkEnd w:id="2"/>
            <w:r w:rsidR="00787688" w:rsidRPr="00AF02C8">
              <w:t>COP.1</w:t>
            </w:r>
            <w:r w:rsidRPr="00AF02C8">
              <w:t>/</w:t>
            </w:r>
            <w:r w:rsidR="00604A8B">
              <w:t>INF/9</w:t>
            </w:r>
            <w:bookmarkEnd w:id="0"/>
          </w:p>
        </w:tc>
      </w:tr>
      <w:bookmarkStart w:id="3" w:name="_MON_1021710482"/>
      <w:bookmarkStart w:id="4" w:name="_MON_1021710510"/>
      <w:bookmarkEnd w:id="3"/>
      <w:bookmarkEnd w:id="4"/>
      <w:tr w:rsidR="00032E4E" w:rsidRPr="00AF02C8" w14:paraId="35DC53D9" w14:textId="77777777" w:rsidTr="006C5226">
        <w:trPr>
          <w:cantSplit/>
          <w:trHeight w:val="2549"/>
          <w:jc w:val="right"/>
        </w:trPr>
        <w:tc>
          <w:tcPr>
            <w:tcW w:w="1549" w:type="dxa"/>
            <w:tcBorders>
              <w:top w:val="single" w:sz="4" w:space="0" w:color="auto"/>
              <w:bottom w:val="single" w:sz="24" w:space="0" w:color="auto"/>
            </w:tcBorders>
          </w:tcPr>
          <w:p w14:paraId="32C5089E" w14:textId="77777777" w:rsidR="00032E4E" w:rsidRPr="00AF02C8" w:rsidRDefault="00032E4E" w:rsidP="00023DA9">
            <w:pPr>
              <w:rPr>
                <w:noProof/>
              </w:rPr>
            </w:pPr>
            <w:r w:rsidRPr="00AF02C8">
              <w:rPr>
                <w:noProof/>
              </w:rPr>
              <w:object w:dxaOrig="1831" w:dyaOrig="1726" w14:anchorId="29FD9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1.8pt" o:ole="" fillcolor="window">
                  <v:imagedata r:id="rId9" o:title=""/>
                </v:shape>
                <o:OLEObject Type="Embed" ProgID="Word.Picture.8" ShapeID="_x0000_i1025" DrawAspect="Content" ObjectID="_1564551111" r:id="rId10"/>
              </w:object>
            </w:r>
            <w:r w:rsidR="00011A16" w:rsidRPr="00AF02C8">
              <w:rPr>
                <w:noProof/>
                <w:lang w:val="en-US"/>
              </w:rPr>
              <w:drawing>
                <wp:inline distT="0" distB="0" distL="0" distR="0" wp14:anchorId="0090FE65" wp14:editId="557C09F5">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4BE870BC" w14:textId="77777777" w:rsidR="00032E4E" w:rsidRPr="00AF02C8" w:rsidRDefault="00032E4E" w:rsidP="00023DA9">
            <w:pPr>
              <w:spacing w:before="1200"/>
              <w:rPr>
                <w:rFonts w:ascii="Arial" w:hAnsi="Arial" w:cs="Arial"/>
                <w:b/>
                <w:sz w:val="28"/>
              </w:rPr>
            </w:pPr>
            <w:r w:rsidRPr="00AF02C8">
              <w:rPr>
                <w:rFonts w:ascii="Arial" w:hAnsi="Arial" w:cs="Arial"/>
                <w:b/>
                <w:sz w:val="32"/>
                <w:szCs w:val="32"/>
              </w:rPr>
              <w:t>United Nations</w:t>
            </w:r>
            <w:r w:rsidRPr="00AF02C8">
              <w:rPr>
                <w:rFonts w:ascii="Arial" w:hAnsi="Arial" w:cs="Arial"/>
                <w:b/>
                <w:sz w:val="32"/>
                <w:szCs w:val="32"/>
              </w:rPr>
              <w:br w:type="textWrapping" w:clear="all"/>
              <w:t>Environment</w:t>
            </w:r>
            <w:r w:rsidRPr="00AF02C8">
              <w:rPr>
                <w:rFonts w:ascii="Arial" w:hAnsi="Arial" w:cs="Arial"/>
                <w:b/>
                <w:sz w:val="32"/>
                <w:szCs w:val="32"/>
              </w:rPr>
              <w:br w:type="textWrapping" w:clear="all"/>
              <w:t>Programme</w:t>
            </w:r>
          </w:p>
        </w:tc>
        <w:tc>
          <w:tcPr>
            <w:tcW w:w="3409" w:type="dxa"/>
            <w:tcBorders>
              <w:top w:val="single" w:sz="4" w:space="0" w:color="auto"/>
              <w:bottom w:val="single" w:sz="24" w:space="0" w:color="auto"/>
            </w:tcBorders>
          </w:tcPr>
          <w:p w14:paraId="2F39C63F" w14:textId="363D71E7" w:rsidR="00032E4E" w:rsidRPr="00AF02C8" w:rsidRDefault="00032E4E" w:rsidP="00787688">
            <w:pPr>
              <w:spacing w:before="120"/>
            </w:pPr>
            <w:r w:rsidRPr="00AF02C8">
              <w:t>Distr.: General</w:t>
            </w:r>
            <w:r w:rsidRPr="00AF02C8">
              <w:br w:type="textWrapping" w:clear="all"/>
            </w:r>
            <w:r w:rsidR="00604A8B">
              <w:t xml:space="preserve">15 August </w:t>
            </w:r>
            <w:r w:rsidR="006E549D" w:rsidRPr="00AF02C8">
              <w:t>2017</w:t>
            </w:r>
          </w:p>
          <w:p w14:paraId="56773295" w14:textId="46AECFD1" w:rsidR="00032E4E" w:rsidRPr="00AF02C8" w:rsidRDefault="00032E4E" w:rsidP="00023DA9">
            <w:pPr>
              <w:spacing w:before="240"/>
            </w:pPr>
            <w:r w:rsidRPr="00AF02C8">
              <w:t>English</w:t>
            </w:r>
            <w:r w:rsidR="00604A8B">
              <w:t xml:space="preserve"> only</w:t>
            </w:r>
          </w:p>
        </w:tc>
      </w:tr>
    </w:tbl>
    <w:p w14:paraId="750DF2CE" w14:textId="3C03319E" w:rsidR="006C5226" w:rsidRPr="00AF02C8" w:rsidRDefault="006C5226" w:rsidP="006C5226">
      <w:pPr>
        <w:pStyle w:val="AATitle"/>
        <w:keepNext w:val="0"/>
        <w:keepLines w:val="0"/>
      </w:pPr>
      <w:r w:rsidRPr="00AF02C8">
        <w:t>Conference of the Parties to the</w:t>
      </w:r>
    </w:p>
    <w:p w14:paraId="60897DE0" w14:textId="77777777" w:rsidR="00E976AB" w:rsidRPr="00AF02C8" w:rsidRDefault="00787688" w:rsidP="00E976AB">
      <w:pPr>
        <w:pStyle w:val="AATitle"/>
        <w:keepNext w:val="0"/>
        <w:keepLines w:val="0"/>
      </w:pPr>
      <w:proofErr w:type="spellStart"/>
      <w:r w:rsidRPr="00AF02C8">
        <w:t>Minamata</w:t>
      </w:r>
      <w:proofErr w:type="spellEnd"/>
      <w:r w:rsidRPr="00AF02C8">
        <w:t xml:space="preserve"> Convention on Mercury</w:t>
      </w:r>
    </w:p>
    <w:p w14:paraId="7437784A" w14:textId="77777777" w:rsidR="00E976AB" w:rsidRPr="00AF02C8" w:rsidRDefault="00787688" w:rsidP="00E976AB">
      <w:pPr>
        <w:pStyle w:val="AATitle"/>
        <w:keepNext w:val="0"/>
        <w:keepLines w:val="0"/>
      </w:pPr>
      <w:r w:rsidRPr="00AF02C8">
        <w:t>First meeting</w:t>
      </w:r>
    </w:p>
    <w:p w14:paraId="0F0EA2E0" w14:textId="333A2EDD" w:rsidR="00E976AB" w:rsidRPr="00AF02C8" w:rsidRDefault="00787688" w:rsidP="00787688">
      <w:pPr>
        <w:pStyle w:val="AATitle"/>
        <w:rPr>
          <w:b w:val="0"/>
        </w:rPr>
      </w:pPr>
      <w:r w:rsidRPr="00AF02C8">
        <w:rPr>
          <w:b w:val="0"/>
        </w:rPr>
        <w:t>Geneva</w:t>
      </w:r>
      <w:r w:rsidR="00E976AB" w:rsidRPr="00AF02C8">
        <w:rPr>
          <w:b w:val="0"/>
        </w:rPr>
        <w:t xml:space="preserve">, </w:t>
      </w:r>
      <w:r w:rsidR="00325D38" w:rsidRPr="00AF02C8">
        <w:rPr>
          <w:b w:val="0"/>
        </w:rPr>
        <w:t xml:space="preserve">24–29 September </w:t>
      </w:r>
      <w:r w:rsidRPr="00AF02C8">
        <w:rPr>
          <w:b w:val="0"/>
        </w:rPr>
        <w:t>2017</w:t>
      </w:r>
    </w:p>
    <w:p w14:paraId="5AAE9360" w14:textId="3B69A630" w:rsidR="00604A8B" w:rsidRPr="00604A8B" w:rsidRDefault="00604A8B" w:rsidP="00604A8B">
      <w:pPr>
        <w:pStyle w:val="AATitle"/>
        <w:keepNext w:val="0"/>
        <w:keepLines w:val="0"/>
        <w:rPr>
          <w:b w:val="0"/>
          <w:lang w:val="en-US"/>
        </w:rPr>
      </w:pPr>
      <w:r w:rsidRPr="00604A8B">
        <w:rPr>
          <w:b w:val="0"/>
        </w:rPr>
        <w:t>Item</w:t>
      </w:r>
      <w:r w:rsidRPr="00604A8B">
        <w:rPr>
          <w:b w:val="0"/>
          <w:lang w:val="en-US"/>
        </w:rPr>
        <w:t xml:space="preserve"> 5</w:t>
      </w:r>
      <w:r w:rsidRPr="00604A8B">
        <w:rPr>
          <w:b w:val="0"/>
        </w:rPr>
        <w:t xml:space="preserve"> (a)</w:t>
      </w:r>
      <w:r w:rsidR="00475989">
        <w:rPr>
          <w:b w:val="0"/>
        </w:rPr>
        <w:t xml:space="preserve"> </w:t>
      </w:r>
      <w:r w:rsidRPr="00604A8B">
        <w:rPr>
          <w:b w:val="0"/>
        </w:rPr>
        <w:t xml:space="preserve">(viii) </w:t>
      </w:r>
      <w:r w:rsidRPr="00604A8B">
        <w:rPr>
          <w:b w:val="0"/>
          <w:lang w:val="en-US"/>
        </w:rPr>
        <w:t>of the provisional agenda</w:t>
      </w:r>
      <w:r w:rsidRPr="00604A8B">
        <w:rPr>
          <w:b w:val="0"/>
          <w:lang w:val="en-US"/>
        </w:rPr>
        <w:footnoteReference w:customMarkFollows="1" w:id="1"/>
        <w:t>*</w:t>
      </w:r>
    </w:p>
    <w:p w14:paraId="7658A822" w14:textId="0DB60CD8" w:rsidR="00604A8B" w:rsidRPr="002B5885" w:rsidRDefault="00604A8B" w:rsidP="001B1877">
      <w:pPr>
        <w:pStyle w:val="AATitle2"/>
      </w:pPr>
      <w:r w:rsidRPr="00F178FD">
        <w:t>Matters for action by the Conference of the Parties</w:t>
      </w:r>
      <w:r>
        <w:t xml:space="preserve"> </w:t>
      </w:r>
      <w:r w:rsidRPr="00F178FD">
        <w:t>at its first meeting</w:t>
      </w:r>
      <w:r w:rsidRPr="002B5885">
        <w:t xml:space="preserve">: </w:t>
      </w:r>
      <w:r w:rsidR="001B1877">
        <w:t>m</w:t>
      </w:r>
      <w:r w:rsidR="001B1877" w:rsidRPr="00F178FD">
        <w:t xml:space="preserve">atters </w:t>
      </w:r>
      <w:r w:rsidRPr="00F178FD">
        <w:t>stipulated under the Convention:</w:t>
      </w:r>
      <w:r>
        <w:t xml:space="preserve"> </w:t>
      </w:r>
      <w:r w:rsidR="001B1877">
        <w:t>f</w:t>
      </w:r>
      <w:r w:rsidRPr="00F178FD">
        <w:t>inancial rules for the Conference of the Parties and any of its subsidiary bodies, as well as financial provisions governing the functioning of the secretariat, as referred to in paragraph 4 of article 23</w:t>
      </w:r>
      <w:r w:rsidR="007C7C6B">
        <w:t xml:space="preserve"> </w:t>
      </w:r>
    </w:p>
    <w:p w14:paraId="42370D86" w14:textId="77777777" w:rsidR="00604A8B" w:rsidRPr="006C6705" w:rsidRDefault="00604A8B" w:rsidP="00604A8B">
      <w:pPr>
        <w:pStyle w:val="BBTitle"/>
      </w:pPr>
      <w:r>
        <w:t>Relationship between the United Nations Environment Programme and the multilateral environmental agreements for which it provides the secretariats</w:t>
      </w:r>
    </w:p>
    <w:p w14:paraId="550E9A2E" w14:textId="4C5FD1E0" w:rsidR="00604A8B" w:rsidRPr="002B5885" w:rsidRDefault="00604A8B" w:rsidP="00604A8B">
      <w:pPr>
        <w:pStyle w:val="CH2"/>
      </w:pPr>
      <w:r w:rsidRPr="002B5885">
        <w:tab/>
      </w:r>
      <w:r w:rsidRPr="002B5885">
        <w:tab/>
      </w:r>
      <w:bookmarkStart w:id="5" w:name="_Toc442198078"/>
      <w:bookmarkStart w:id="6" w:name="_Toc442198487"/>
      <w:r w:rsidRPr="002B5885">
        <w:t>Note by the secretariat</w:t>
      </w:r>
      <w:bookmarkEnd w:id="5"/>
      <w:bookmarkEnd w:id="6"/>
    </w:p>
    <w:p w14:paraId="2C3DC203" w14:textId="38F302D1" w:rsidR="00604A8B" w:rsidRPr="002B5885" w:rsidRDefault="00604A8B" w:rsidP="00604A8B">
      <w:pPr>
        <w:pStyle w:val="NormalNonumber"/>
        <w:tabs>
          <w:tab w:val="clear" w:pos="1247"/>
          <w:tab w:val="clear" w:pos="1814"/>
          <w:tab w:val="clear" w:pos="2381"/>
          <w:tab w:val="clear" w:pos="2948"/>
          <w:tab w:val="clear" w:pos="3515"/>
          <w:tab w:val="left" w:pos="624"/>
        </w:tabs>
        <w:ind w:firstLine="624"/>
        <w:rPr>
          <w:bCs/>
        </w:rPr>
      </w:pPr>
      <w:r>
        <w:t xml:space="preserve">The second United Nations Environment Assembly </w:t>
      </w:r>
      <w:r w:rsidR="00475989">
        <w:t xml:space="preserve">of the United Nations Environment Programme </w:t>
      </w:r>
      <w:r>
        <w:t xml:space="preserve">adopted </w:t>
      </w:r>
      <w:r w:rsidR="00475989">
        <w:t>r</w:t>
      </w:r>
      <w:r>
        <w:t xml:space="preserve">esolution 2/18 on the </w:t>
      </w:r>
      <w:r w:rsidR="00475989">
        <w:t>r</w:t>
      </w:r>
      <w:r>
        <w:t xml:space="preserve">elationship between the United Nations Environment Programme and the multilateral environmental agreements for which it provides the secretariats, which </w:t>
      </w:r>
      <w:r w:rsidR="00475989">
        <w:t xml:space="preserve">makes </w:t>
      </w:r>
      <w:r>
        <w:t>reference</w:t>
      </w:r>
      <w:r w:rsidR="00475989">
        <w:t xml:space="preserve"> to</w:t>
      </w:r>
      <w:r>
        <w:t xml:space="preserve"> the </w:t>
      </w:r>
      <w:proofErr w:type="spellStart"/>
      <w:r>
        <w:t>Minamata</w:t>
      </w:r>
      <w:proofErr w:type="spellEnd"/>
      <w:r>
        <w:t xml:space="preserve"> Convention on Mercury</w:t>
      </w:r>
      <w:r w:rsidR="00475989" w:rsidRPr="00475989">
        <w:t xml:space="preserve"> </w:t>
      </w:r>
      <w:r w:rsidR="00475989">
        <w:t>as an agreement that specifies</w:t>
      </w:r>
      <w:r w:rsidR="00475989" w:rsidRPr="00DD05D5">
        <w:t xml:space="preserve"> that the United Nations Environment Programme should provide the secretariat </w:t>
      </w:r>
      <w:r w:rsidR="0005059A">
        <w:t xml:space="preserve">therefor </w:t>
      </w:r>
      <w:r w:rsidR="00475989" w:rsidRPr="00DD05D5">
        <w:t>upon entry into force</w:t>
      </w:r>
      <w:r>
        <w:t>. The text of th</w:t>
      </w:r>
      <w:r w:rsidR="00226317">
        <w:t>at</w:t>
      </w:r>
      <w:r>
        <w:t xml:space="preserve"> resolution is annexed to th</w:t>
      </w:r>
      <w:r w:rsidR="00226317">
        <w:t>e present</w:t>
      </w:r>
      <w:r>
        <w:t xml:space="preserve"> note for consideration </w:t>
      </w:r>
      <w:r w:rsidR="0005059A">
        <w:t xml:space="preserve">at </w:t>
      </w:r>
      <w:r>
        <w:t xml:space="preserve">the first meeting of the Conference of the Parties </w:t>
      </w:r>
      <w:r w:rsidR="0005059A">
        <w:t xml:space="preserve">to </w:t>
      </w:r>
      <w:r>
        <w:t xml:space="preserve">the </w:t>
      </w:r>
      <w:proofErr w:type="spellStart"/>
      <w:r>
        <w:t>Minamata</w:t>
      </w:r>
      <w:proofErr w:type="spellEnd"/>
      <w:r>
        <w:t xml:space="preserve"> Convention on Mercury, </w:t>
      </w:r>
      <w:r w:rsidR="0005059A">
        <w:t xml:space="preserve">in </w:t>
      </w:r>
      <w:r>
        <w:t xml:space="preserve">particular in its deliberations on the financial rules for the Conference of the Parties and any of its subsidiary bodies, as well as financial provisions governing the functioning of the secretariat, as referred to in paragraph 4 of article 23. </w:t>
      </w:r>
    </w:p>
    <w:p w14:paraId="12E0F1F2" w14:textId="77777777" w:rsidR="00604A8B" w:rsidRPr="00604A8B" w:rsidRDefault="00604A8B" w:rsidP="00604A8B">
      <w:pPr>
        <w:pStyle w:val="Normal-pool"/>
        <w:rPr>
          <w:highlight w:val="yellow"/>
        </w:rPr>
      </w:pPr>
    </w:p>
    <w:p w14:paraId="333950DC" w14:textId="286972CB" w:rsidR="00034F89" w:rsidRPr="00AF02C8" w:rsidRDefault="00034F89" w:rsidP="00AF02C8">
      <w:pPr>
        <w:pStyle w:val="Normal-pool"/>
        <w:sectPr w:rsidR="00034F89" w:rsidRPr="00AF02C8" w:rsidSect="00034F89">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0" w:h="16840"/>
          <w:pgMar w:top="907" w:right="992" w:bottom="1418" w:left="1418" w:header="539" w:footer="975" w:gutter="0"/>
          <w:cols w:space="720"/>
          <w:titlePg/>
          <w:rtlGutter/>
        </w:sectPr>
      </w:pPr>
    </w:p>
    <w:p w14:paraId="38DFDCD1" w14:textId="71C965DA" w:rsidR="008E0141" w:rsidRPr="00AF02C8" w:rsidRDefault="00604A8B" w:rsidP="00F30C06">
      <w:pPr>
        <w:pStyle w:val="ZZAnxheader"/>
      </w:pPr>
      <w:r>
        <w:lastRenderedPageBreak/>
        <w:t>Annex</w:t>
      </w:r>
    </w:p>
    <w:p w14:paraId="3D463907" w14:textId="77777777" w:rsidR="00604A8B" w:rsidRPr="00DD05D5" w:rsidRDefault="00604A8B" w:rsidP="00D77909">
      <w:pPr>
        <w:pStyle w:val="ZZAnxtitle"/>
        <w:rPr>
          <w:rFonts w:eastAsia="Batang"/>
        </w:rPr>
      </w:pPr>
      <w:r w:rsidRPr="00DD05D5">
        <w:rPr>
          <w:rFonts w:eastAsia="Batang"/>
        </w:rPr>
        <w:t>2/18.</w:t>
      </w:r>
      <w:r w:rsidRPr="00DD05D5">
        <w:rPr>
          <w:rFonts w:eastAsia="Batang"/>
        </w:rPr>
        <w:tab/>
        <w:t xml:space="preserve">Relationship between the United Nations Environment Programme and the multilateral environmental agreements for which it </w:t>
      </w:r>
      <w:r w:rsidRPr="007B10BC">
        <w:rPr>
          <w:rFonts w:eastAsia="Batang"/>
        </w:rPr>
        <w:t>provides the secretariats</w:t>
      </w:r>
    </w:p>
    <w:p w14:paraId="4A0685BA" w14:textId="77777777" w:rsidR="00604A8B" w:rsidRPr="001E3350" w:rsidRDefault="00604A8B" w:rsidP="00604A8B">
      <w:pPr>
        <w:pStyle w:val="Normal-pool"/>
        <w:tabs>
          <w:tab w:val="clear" w:pos="1814"/>
          <w:tab w:val="clear" w:pos="2381"/>
          <w:tab w:val="clear" w:pos="2948"/>
          <w:tab w:val="clear" w:pos="3515"/>
          <w:tab w:val="clear" w:pos="4082"/>
          <w:tab w:val="left" w:pos="624"/>
          <w:tab w:val="left" w:pos="1871"/>
          <w:tab w:val="left" w:pos="2495"/>
          <w:tab w:val="left" w:pos="3119"/>
          <w:tab w:val="left" w:pos="3742"/>
        </w:tabs>
        <w:spacing w:after="120"/>
        <w:ind w:left="1247" w:firstLine="624"/>
        <w:rPr>
          <w:i/>
        </w:rPr>
      </w:pPr>
      <w:r w:rsidRPr="001E3350">
        <w:rPr>
          <w:i/>
        </w:rPr>
        <w:t>The United Nations Environment Assembly,</w:t>
      </w:r>
    </w:p>
    <w:p w14:paraId="774515A5" w14:textId="77777777" w:rsidR="00604A8B" w:rsidRPr="001E3350" w:rsidRDefault="00604A8B" w:rsidP="00604A8B">
      <w:pPr>
        <w:pStyle w:val="NormalNonumber"/>
        <w:ind w:firstLine="624"/>
        <w:rPr>
          <w:rFonts w:eastAsia="Calibri"/>
          <w:shd w:val="clear" w:color="auto" w:fill="FFFFFF"/>
        </w:rPr>
      </w:pPr>
      <w:r w:rsidRPr="0051530E">
        <w:rPr>
          <w:rFonts w:eastAsia="Calibri"/>
          <w:i/>
          <w:shd w:val="clear" w:color="auto" w:fill="FFFFFF"/>
        </w:rPr>
        <w:t>Recalling</w:t>
      </w:r>
      <w:r w:rsidRPr="0051530E">
        <w:rPr>
          <w:rFonts w:eastAsia="Calibri"/>
          <w:shd w:val="clear" w:color="auto" w:fill="FFFFFF"/>
        </w:rPr>
        <w:t xml:space="preserve"> Governing</w:t>
      </w:r>
      <w:r w:rsidRPr="001E3350">
        <w:rPr>
          <w:rFonts w:eastAsia="Calibri"/>
          <w:shd w:val="clear" w:color="auto" w:fill="FFFFFF"/>
        </w:rPr>
        <w:t xml:space="preserve"> </w:t>
      </w:r>
      <w:r w:rsidRPr="007B10BC">
        <w:rPr>
          <w:rFonts w:eastAsia="Calibri"/>
          <w:shd w:val="clear" w:color="auto" w:fill="FFFFFF"/>
        </w:rPr>
        <w:t>Council decisions 26/9, SS.XII/1, SS.XII/3 and</w:t>
      </w:r>
      <w:r w:rsidRPr="001E3350">
        <w:rPr>
          <w:rFonts w:eastAsia="Calibri"/>
          <w:shd w:val="clear" w:color="auto" w:fill="FFFFFF"/>
        </w:rPr>
        <w:t xml:space="preserve"> 27/13 as well as its own resolution 1/12, in which the Executive Director was requested to produce reports on the relationship between the United Nations Environment Programme and the multilateral environmental agreements for which it provides the secretariats, </w:t>
      </w:r>
    </w:p>
    <w:p w14:paraId="305C5C6B" w14:textId="77777777" w:rsidR="00604A8B" w:rsidRPr="00EB270D" w:rsidRDefault="00604A8B" w:rsidP="00604A8B">
      <w:pPr>
        <w:pStyle w:val="NormalNonumber"/>
        <w:ind w:firstLine="624"/>
        <w:rPr>
          <w:rFonts w:eastAsia="Calibri"/>
          <w:shd w:val="clear" w:color="auto" w:fill="FFFFFF"/>
        </w:rPr>
      </w:pPr>
      <w:r w:rsidRPr="001E3350">
        <w:rPr>
          <w:rFonts w:eastAsia="Calibri"/>
          <w:i/>
          <w:shd w:val="clear" w:color="auto" w:fill="FFFFFF"/>
        </w:rPr>
        <w:t>Acknowledging</w:t>
      </w:r>
      <w:r w:rsidRPr="001E3350">
        <w:rPr>
          <w:rFonts w:eastAsia="Calibri"/>
          <w:shd w:val="clear" w:color="auto" w:fill="FFFFFF"/>
        </w:rPr>
        <w:t xml:space="preserve"> </w:t>
      </w:r>
      <w:r w:rsidRPr="00F3681E">
        <w:rPr>
          <w:rFonts w:eastAsia="Calibri"/>
          <w:shd w:val="clear" w:color="auto" w:fill="FFFFFF"/>
        </w:rPr>
        <w:t>that since</w:t>
      </w:r>
      <w:r w:rsidRPr="001E3350">
        <w:rPr>
          <w:rFonts w:eastAsia="Calibri"/>
          <w:shd w:val="clear" w:color="auto" w:fill="FFFFFF"/>
        </w:rPr>
        <w:t xml:space="preserve"> the United Nations Environment Programme and each of the multilateral environmental agreements have their own legally independent governance structures, decision</w:t>
      </w:r>
      <w:r w:rsidRPr="001E3350">
        <w:rPr>
          <w:rFonts w:eastAsia="Calibri"/>
          <w:shd w:val="clear" w:color="auto" w:fill="FFFFFF"/>
        </w:rPr>
        <w:noBreakHyphen/>
        <w:t xml:space="preserve">making bodies and procedures, it is beneficial for </w:t>
      </w:r>
      <w:r>
        <w:rPr>
          <w:rFonts w:eastAsia="Calibri"/>
          <w:shd w:val="clear" w:color="auto" w:fill="FFFFFF"/>
        </w:rPr>
        <w:t>G</w:t>
      </w:r>
      <w:r w:rsidRPr="001E3350">
        <w:rPr>
          <w:rFonts w:eastAsia="Calibri"/>
          <w:shd w:val="clear" w:color="auto" w:fill="FFFFFF"/>
        </w:rPr>
        <w:t xml:space="preserve">overnments to ensure that their </w:t>
      </w:r>
      <w:r>
        <w:rPr>
          <w:rFonts w:eastAsia="Calibri"/>
          <w:shd w:val="clear" w:color="auto" w:fill="FFFFFF"/>
        </w:rPr>
        <w:br/>
      </w:r>
      <w:r w:rsidRPr="001E3350">
        <w:rPr>
          <w:rFonts w:eastAsia="Calibri"/>
          <w:shd w:val="clear" w:color="auto" w:fill="FFFFFF"/>
        </w:rPr>
        <w:t xml:space="preserve">policymaking on, and implementation of, relevant resolutions of the United Nations Environment Assembly and decisions of multilateral environmental agreements are mutually supportive, </w:t>
      </w:r>
    </w:p>
    <w:p w14:paraId="625249EA" w14:textId="77777777" w:rsidR="00604A8B" w:rsidRPr="00EB270D" w:rsidRDefault="00604A8B" w:rsidP="00604A8B">
      <w:pPr>
        <w:pStyle w:val="NormalNonumber"/>
        <w:ind w:firstLine="624"/>
        <w:rPr>
          <w:rFonts w:eastAsia="Calibri"/>
          <w:shd w:val="clear" w:color="auto" w:fill="FFFFFF"/>
        </w:rPr>
      </w:pPr>
      <w:r w:rsidRPr="001E3350">
        <w:rPr>
          <w:rFonts w:eastAsia="Calibri"/>
          <w:i/>
          <w:shd w:val="clear" w:color="auto" w:fill="FFFFFF"/>
        </w:rPr>
        <w:t>Noting</w:t>
      </w:r>
      <w:r w:rsidRPr="001E3350">
        <w:rPr>
          <w:rFonts w:eastAsia="Calibri"/>
          <w:shd w:val="clear" w:color="auto" w:fill="FFFFFF"/>
        </w:rPr>
        <w:t xml:space="preserve"> that specific provisions contained in each multilateral environmental agreement stipulate the key functions, prerogatives and responsibilities of the relevant governing bodies and secretariats for the operationalization of the agreements</w:t>
      </w:r>
      <w:r w:rsidRPr="00EB270D">
        <w:rPr>
          <w:rFonts w:eastAsia="Calibri"/>
          <w:shd w:val="clear" w:color="auto" w:fill="FFFFFF"/>
        </w:rPr>
        <w:t xml:space="preserve">, </w:t>
      </w:r>
    </w:p>
    <w:p w14:paraId="09EA7612" w14:textId="77777777" w:rsidR="00604A8B" w:rsidRPr="00EB270D" w:rsidRDefault="00604A8B" w:rsidP="00604A8B">
      <w:pPr>
        <w:pStyle w:val="NormalNonumber"/>
        <w:ind w:firstLine="624"/>
        <w:rPr>
          <w:rFonts w:eastAsia="Calibri"/>
          <w:shd w:val="clear" w:color="auto" w:fill="FFFFFF"/>
        </w:rPr>
      </w:pPr>
      <w:r w:rsidRPr="00EB270D">
        <w:rPr>
          <w:rFonts w:eastAsia="Calibri"/>
          <w:i/>
          <w:shd w:val="clear" w:color="auto" w:fill="FFFFFF"/>
        </w:rPr>
        <w:t>Noting also</w:t>
      </w:r>
      <w:r w:rsidRPr="00EB270D">
        <w:rPr>
          <w:rFonts w:eastAsia="Calibri"/>
          <w:shd w:val="clear" w:color="auto" w:fill="FFFFFF"/>
        </w:rPr>
        <w:t xml:space="preserve"> that when </w:t>
      </w:r>
      <w:r w:rsidRPr="00F3681E">
        <w:rPr>
          <w:rFonts w:eastAsia="Calibri"/>
          <w:shd w:val="clear" w:color="auto" w:fill="FFFFFF"/>
        </w:rPr>
        <w:t>the governing bodies</w:t>
      </w:r>
      <w:r w:rsidRPr="00EB270D">
        <w:rPr>
          <w:rFonts w:eastAsia="Calibri"/>
          <w:shd w:val="clear" w:color="auto" w:fill="FFFFFF"/>
        </w:rPr>
        <w:t xml:space="preserve"> of multilateral environmental agreements decide to request that the Executive Director provide </w:t>
      </w:r>
      <w:r w:rsidRPr="007B10BC">
        <w:rPr>
          <w:rFonts w:eastAsia="Calibri"/>
          <w:shd w:val="clear" w:color="auto" w:fill="FFFFFF"/>
        </w:rPr>
        <w:t>their secretariats, they accept that the multilateral environmental agreements’ secretariats will become subject to the administrative</w:t>
      </w:r>
      <w:r w:rsidRPr="00EB270D">
        <w:rPr>
          <w:rFonts w:eastAsia="Calibri"/>
          <w:shd w:val="clear" w:color="auto" w:fill="FFFFFF"/>
        </w:rPr>
        <w:t xml:space="preserve"> and financial regulations and rules of the United Nations as applied to the United Nations Environment Programme and as supplemented by the multilateral environmental agreements’ own financial rules, </w:t>
      </w:r>
    </w:p>
    <w:p w14:paraId="02C03EC6" w14:textId="77777777" w:rsidR="00604A8B" w:rsidRPr="00C96BDC" w:rsidRDefault="00604A8B" w:rsidP="00604A8B">
      <w:pPr>
        <w:pStyle w:val="NormalNonumber"/>
        <w:ind w:firstLine="624"/>
        <w:rPr>
          <w:rFonts w:eastAsia="Calibri"/>
          <w:shd w:val="clear" w:color="auto" w:fill="FFFFFF"/>
        </w:rPr>
      </w:pPr>
      <w:r w:rsidRPr="00EB270D">
        <w:rPr>
          <w:rFonts w:eastAsia="Calibri"/>
          <w:i/>
          <w:shd w:val="clear" w:color="auto" w:fill="FFFFFF"/>
        </w:rPr>
        <w:t>Recalling</w:t>
      </w:r>
      <w:r w:rsidRPr="00EB270D">
        <w:rPr>
          <w:rFonts w:eastAsia="Calibri"/>
          <w:shd w:val="clear" w:color="auto" w:fill="FFFFFF"/>
        </w:rPr>
        <w:t xml:space="preserve"> that when the Executive Director has been entrusted with providing the secretariat for a multilateral environmental agreement, the Executive </w:t>
      </w:r>
      <w:r w:rsidRPr="007B10BC">
        <w:rPr>
          <w:rFonts w:eastAsia="Calibri"/>
          <w:shd w:val="clear" w:color="auto" w:fill="FFFFFF"/>
        </w:rPr>
        <w:t xml:space="preserve">Director also requires the approval of the governing body of the United Nations Environment Programme to establish appropriate arrangements for carrying out secretariat functions and to establish or extend the trust funds of that multilateral environmental agreement, </w:t>
      </w:r>
    </w:p>
    <w:p w14:paraId="2434E82E" w14:textId="77777777" w:rsidR="00604A8B" w:rsidRPr="00EB270D" w:rsidRDefault="00604A8B" w:rsidP="00604A8B">
      <w:pPr>
        <w:pStyle w:val="NormalNonumber"/>
        <w:ind w:firstLine="624"/>
        <w:rPr>
          <w:rFonts w:eastAsia="Calibri"/>
          <w:shd w:val="clear" w:color="auto" w:fill="FFFFFF"/>
        </w:rPr>
      </w:pPr>
      <w:r w:rsidRPr="00C96BDC">
        <w:rPr>
          <w:rFonts w:eastAsia="Calibri"/>
          <w:i/>
          <w:shd w:val="clear" w:color="auto" w:fill="FFFFFF"/>
        </w:rPr>
        <w:t>Noting</w:t>
      </w:r>
      <w:r w:rsidRPr="00C96BDC">
        <w:rPr>
          <w:rFonts w:eastAsia="Calibri"/>
          <w:shd w:val="clear" w:color="auto" w:fill="FFFFFF"/>
        </w:rPr>
        <w:t xml:space="preserve"> </w:t>
      </w:r>
      <w:r w:rsidRPr="00C96BDC">
        <w:rPr>
          <w:rFonts w:eastAsia="Calibri"/>
          <w:i/>
          <w:iCs/>
          <w:shd w:val="clear" w:color="auto" w:fill="FFFFFF"/>
        </w:rPr>
        <w:t>with appreciation</w:t>
      </w:r>
      <w:r w:rsidRPr="00C96BDC">
        <w:rPr>
          <w:rFonts w:eastAsia="Calibri"/>
          <w:shd w:val="clear" w:color="auto" w:fill="FFFFFF"/>
        </w:rPr>
        <w:t xml:space="preserve"> that the United Nations Environment Programme currently provides or will provide the secretariat for numerous multilateral environmental</w:t>
      </w:r>
      <w:r w:rsidRPr="00EB270D">
        <w:rPr>
          <w:rFonts w:eastAsia="Calibri"/>
          <w:shd w:val="clear" w:color="auto" w:fill="FFFFFF"/>
        </w:rPr>
        <w:t xml:space="preserve"> agreements</w:t>
      </w:r>
      <w:r>
        <w:rPr>
          <w:rFonts w:eastAsia="Calibri"/>
          <w:shd w:val="clear" w:color="auto" w:fill="FFFFFF"/>
        </w:rPr>
        <w:t>,</w:t>
      </w:r>
      <w:r w:rsidRPr="00EB270D">
        <w:rPr>
          <w:rFonts w:eastAsia="Calibri"/>
          <w:shd w:val="clear" w:color="auto" w:fill="FFFFFF"/>
        </w:rPr>
        <w:t xml:space="preserve"> listed in the annex to the present resolution (hereinafter referred to as the “UNEP-administered multilateral environmental agreements”), </w:t>
      </w:r>
    </w:p>
    <w:p w14:paraId="1CBBF3AC" w14:textId="77777777" w:rsidR="00604A8B" w:rsidRPr="00EB270D" w:rsidRDefault="00604A8B" w:rsidP="00604A8B">
      <w:pPr>
        <w:pStyle w:val="NormalNonumber"/>
        <w:ind w:firstLine="624"/>
        <w:rPr>
          <w:rFonts w:eastAsia="Calibri"/>
          <w:shd w:val="clear" w:color="auto" w:fill="FFFFFF"/>
        </w:rPr>
      </w:pPr>
      <w:r w:rsidRPr="00EB270D">
        <w:rPr>
          <w:rFonts w:eastAsia="Calibri"/>
          <w:i/>
          <w:shd w:val="clear" w:color="auto" w:fill="FFFFFF"/>
        </w:rPr>
        <w:t xml:space="preserve">Recalling </w:t>
      </w:r>
      <w:r w:rsidRPr="00EB270D">
        <w:rPr>
          <w:rFonts w:eastAsia="Calibri"/>
          <w:iCs/>
          <w:shd w:val="clear" w:color="auto" w:fill="FFFFFF"/>
        </w:rPr>
        <w:t xml:space="preserve">its </w:t>
      </w:r>
      <w:r w:rsidRPr="00EB270D">
        <w:rPr>
          <w:rFonts w:eastAsia="Calibri"/>
          <w:shd w:val="clear" w:color="auto" w:fill="FFFFFF"/>
        </w:rPr>
        <w:t xml:space="preserve">resolution 1/16, which notes that agreements for which the United Nations Environment Programme carries out the functions of the secretariat must be based on the principle of cost recovery when it comes to administrative costs, in line with the financial regulations and rules of the United Nations, </w:t>
      </w:r>
    </w:p>
    <w:p w14:paraId="717FD87C" w14:textId="77777777" w:rsidR="00604A8B" w:rsidRPr="00EB270D" w:rsidRDefault="00604A8B" w:rsidP="00604A8B">
      <w:pPr>
        <w:pStyle w:val="NormalNonumber"/>
        <w:ind w:firstLine="624"/>
        <w:rPr>
          <w:rFonts w:eastAsia="Calibri"/>
          <w:shd w:val="clear" w:color="auto" w:fill="FFFFFF"/>
        </w:rPr>
      </w:pPr>
      <w:r w:rsidRPr="00EB270D">
        <w:rPr>
          <w:rFonts w:eastAsia="Calibri"/>
          <w:i/>
          <w:shd w:val="clear" w:color="auto" w:fill="FFFFFF"/>
        </w:rPr>
        <w:t xml:space="preserve">Noting </w:t>
      </w:r>
      <w:r w:rsidRPr="00EB270D">
        <w:rPr>
          <w:rFonts w:eastAsia="Calibri"/>
          <w:shd w:val="clear" w:color="auto" w:fill="FFFFFF"/>
        </w:rPr>
        <w:t>the Executive Director's report on the relationship between the United Nations Environment Programme and the UNEP-administered multilateral environmental agreements</w:t>
      </w:r>
      <w:r w:rsidRPr="00EB270D">
        <w:rPr>
          <w:rStyle w:val="FootnoteReference"/>
          <w:rFonts w:eastAsia="Calibri"/>
          <w:color w:val="000000" w:themeColor="text1"/>
          <w:shd w:val="clear" w:color="auto" w:fill="FFFFFF"/>
        </w:rPr>
        <w:footnoteReference w:id="2"/>
      </w:r>
      <w:r w:rsidRPr="00EB270D">
        <w:rPr>
          <w:rFonts w:eastAsia="Calibri"/>
          <w:shd w:val="clear" w:color="auto" w:fill="FFFFFF"/>
        </w:rPr>
        <w:t xml:space="preserve"> and the work of the task team, which was based on close cooperation between the UNEP-administered multilateral environmental agreements and the United Nations Environment Programme in preparing its recommendations, </w:t>
      </w:r>
    </w:p>
    <w:p w14:paraId="50A1066E" w14:textId="77777777" w:rsidR="00604A8B" w:rsidRPr="00EB270D" w:rsidRDefault="00604A8B" w:rsidP="00604A8B">
      <w:pPr>
        <w:pStyle w:val="NormalNonumber"/>
        <w:ind w:firstLine="624"/>
        <w:rPr>
          <w:rFonts w:eastAsia="Calibri"/>
          <w:shd w:val="clear" w:color="auto" w:fill="FFFFFF"/>
        </w:rPr>
      </w:pPr>
      <w:r w:rsidRPr="00EB270D">
        <w:rPr>
          <w:rFonts w:eastAsia="Calibri"/>
          <w:i/>
          <w:shd w:val="clear" w:color="auto" w:fill="FFFFFF"/>
        </w:rPr>
        <w:t xml:space="preserve">Welcoming </w:t>
      </w:r>
      <w:r w:rsidRPr="00EB270D">
        <w:rPr>
          <w:rFonts w:eastAsia="Calibri"/>
          <w:shd w:val="clear" w:color="auto" w:fill="FFFFFF"/>
        </w:rPr>
        <w:t>the steps taken by the Executive Director to improve the effectiveness of administrative arrangements, delivery of service, and the mutual supportiveness of programmes of work between the United Nations Environment Programme and the multilateral environmental agreements for which it provides a secretariat, including taking steps to implement the rec</w:t>
      </w:r>
      <w:r>
        <w:rPr>
          <w:rFonts w:eastAsia="Calibri"/>
          <w:shd w:val="clear" w:color="auto" w:fill="FFFFFF"/>
        </w:rPr>
        <w:t>ommendations of the task team,</w:t>
      </w:r>
    </w:p>
    <w:p w14:paraId="4C808DB1" w14:textId="77777777" w:rsidR="00604A8B" w:rsidRPr="00DD05D5" w:rsidRDefault="00604A8B" w:rsidP="00604A8B">
      <w:pPr>
        <w:pStyle w:val="CH2"/>
        <w:tabs>
          <w:tab w:val="left" w:pos="624"/>
          <w:tab w:val="left" w:pos="1871"/>
          <w:tab w:val="left" w:pos="2495"/>
          <w:tab w:val="left" w:pos="3119"/>
          <w:tab w:val="left" w:pos="3742"/>
        </w:tabs>
        <w:spacing w:after="0"/>
        <w:ind w:firstLine="0"/>
        <w:jc w:val="center"/>
        <w:rPr>
          <w:bCs/>
        </w:rPr>
      </w:pPr>
      <w:r w:rsidRPr="007B10BC">
        <w:t>A</w:t>
      </w:r>
    </w:p>
    <w:p w14:paraId="7AC89012" w14:textId="77777777" w:rsidR="00604A8B" w:rsidRPr="00DD05D5" w:rsidRDefault="00604A8B" w:rsidP="00604A8B">
      <w:pPr>
        <w:pStyle w:val="CH2"/>
        <w:tabs>
          <w:tab w:val="clear" w:pos="1247"/>
          <w:tab w:val="clear" w:pos="1814"/>
          <w:tab w:val="clear" w:pos="2381"/>
          <w:tab w:val="clear" w:pos="2948"/>
          <w:tab w:val="clear" w:pos="3515"/>
          <w:tab w:val="clear" w:pos="4082"/>
          <w:tab w:val="left" w:pos="624"/>
        </w:tabs>
        <w:spacing w:before="0"/>
        <w:ind w:firstLine="0"/>
        <w:jc w:val="center"/>
        <w:rPr>
          <w:bCs/>
        </w:rPr>
      </w:pPr>
      <w:r w:rsidRPr="00DD05D5">
        <w:t>Institutional framework and accountability</w:t>
      </w:r>
    </w:p>
    <w:p w14:paraId="7B4BFB65" w14:textId="77777777" w:rsidR="00604A8B" w:rsidRPr="001E3350" w:rsidRDefault="00604A8B" w:rsidP="00604A8B">
      <w:pPr>
        <w:pStyle w:val="Normal-pool"/>
        <w:numPr>
          <w:ilvl w:val="0"/>
          <w:numId w:val="73"/>
        </w:numPr>
        <w:tabs>
          <w:tab w:val="clear" w:pos="1247"/>
          <w:tab w:val="clear" w:pos="1814"/>
          <w:tab w:val="clear" w:pos="2381"/>
          <w:tab w:val="clear" w:pos="2948"/>
          <w:tab w:val="clear" w:pos="3515"/>
          <w:tab w:val="clear" w:pos="4082"/>
        </w:tabs>
        <w:spacing w:after="120"/>
        <w:ind w:left="1247" w:firstLine="624"/>
        <w:rPr>
          <w:rFonts w:eastAsia="Calibri"/>
          <w:color w:val="000000" w:themeColor="text1"/>
          <w:shd w:val="clear" w:color="auto" w:fill="FFFFFF"/>
        </w:rPr>
      </w:pPr>
      <w:r w:rsidRPr="007B10BC">
        <w:rPr>
          <w:rFonts w:eastAsia="Calibri"/>
          <w:i/>
          <w:shd w:val="clear" w:color="auto" w:fill="FFFFFF"/>
          <w:lang w:val="en-US"/>
        </w:rPr>
        <w:t>Requests</w:t>
      </w:r>
      <w:r w:rsidRPr="007B10BC">
        <w:rPr>
          <w:rFonts w:eastAsia="Calibri"/>
          <w:b/>
          <w:i/>
          <w:shd w:val="clear" w:color="auto" w:fill="FFFFFF"/>
          <w:lang w:val="en-US"/>
        </w:rPr>
        <w:t xml:space="preserve"> </w:t>
      </w:r>
      <w:r w:rsidRPr="007B10BC">
        <w:rPr>
          <w:rFonts w:eastAsia="Calibri"/>
          <w:shd w:val="clear" w:color="auto" w:fill="FFFFFF"/>
          <w:lang w:val="en-US"/>
        </w:rPr>
        <w:t xml:space="preserve">the </w:t>
      </w:r>
      <w:r w:rsidRPr="007B10BC">
        <w:rPr>
          <w:rFonts w:eastAsia="Calibri"/>
          <w:iCs/>
          <w:color w:val="000000"/>
          <w:shd w:val="clear" w:color="auto" w:fill="FFFFFF"/>
          <w:lang w:val="en-US"/>
        </w:rPr>
        <w:t>Executive</w:t>
      </w:r>
      <w:r w:rsidRPr="001E3350">
        <w:rPr>
          <w:rFonts w:eastAsia="Calibri"/>
          <w:shd w:val="clear" w:color="auto" w:fill="FFFFFF"/>
        </w:rPr>
        <w:t xml:space="preserve"> Director, in consultation with the secretariats of the </w:t>
      </w:r>
      <w:r w:rsidRPr="001E3350">
        <w:rPr>
          <w:rFonts w:eastAsia="Calibri"/>
          <w:shd w:val="clear" w:color="auto" w:fill="FFFFFF"/>
        </w:rPr>
        <w:br/>
        <w:t xml:space="preserve">UNEP-administered multilateral environmental agreements, to develop a flexible draft template of options for the provision of secretariat services in an appropriate form, such as a memorandum of understanding between the Executive Director and the conferences </w:t>
      </w:r>
      <w:r w:rsidRPr="001E3350">
        <w:rPr>
          <w:rFonts w:eastAsia="Calibri"/>
          <w:color w:val="000000" w:themeColor="text1"/>
          <w:shd w:val="clear" w:color="auto" w:fill="FFFFFF"/>
        </w:rPr>
        <w:t xml:space="preserve">of the parties or other relevant </w:t>
      </w:r>
      <w:r w:rsidRPr="001E3350">
        <w:rPr>
          <w:rFonts w:eastAsia="Calibri"/>
          <w:color w:val="000000" w:themeColor="text1"/>
          <w:shd w:val="clear" w:color="auto" w:fill="FFFFFF"/>
        </w:rPr>
        <w:lastRenderedPageBreak/>
        <w:t>governing bodies of the UNEP-administered multilateral environmental agreements, for their consideration;</w:t>
      </w:r>
      <w:r w:rsidRPr="001E3350">
        <w:rPr>
          <w:rFonts w:eastAsia="Calibri"/>
          <w:b/>
          <w:i/>
          <w:color w:val="000000" w:themeColor="text1"/>
          <w:shd w:val="clear" w:color="auto" w:fill="FFFFFF"/>
        </w:rPr>
        <w:t xml:space="preserve"> </w:t>
      </w:r>
    </w:p>
    <w:p w14:paraId="2CF85172" w14:textId="77777777" w:rsidR="00604A8B" w:rsidRPr="001E3350" w:rsidRDefault="00604A8B" w:rsidP="00604A8B">
      <w:pPr>
        <w:pStyle w:val="Normal-pool"/>
        <w:numPr>
          <w:ilvl w:val="0"/>
          <w:numId w:val="73"/>
        </w:numPr>
        <w:tabs>
          <w:tab w:val="clear" w:pos="1247"/>
          <w:tab w:val="clear" w:pos="1814"/>
          <w:tab w:val="clear" w:pos="2381"/>
          <w:tab w:val="clear" w:pos="2948"/>
          <w:tab w:val="clear" w:pos="3515"/>
          <w:tab w:val="clear" w:pos="4082"/>
        </w:tabs>
        <w:spacing w:after="120"/>
        <w:ind w:left="1247" w:firstLine="624"/>
        <w:rPr>
          <w:rFonts w:eastAsia="Calibri"/>
          <w:i/>
          <w:shd w:val="clear" w:color="auto" w:fill="FFFFFF"/>
        </w:rPr>
      </w:pPr>
      <w:r w:rsidRPr="001E3350">
        <w:rPr>
          <w:rFonts w:eastAsia="Calibri"/>
          <w:i/>
          <w:iCs/>
          <w:color w:val="000000" w:themeColor="text1"/>
          <w:shd w:val="clear" w:color="auto" w:fill="FFFFFF"/>
        </w:rPr>
        <w:t>Encourages </w:t>
      </w:r>
      <w:r w:rsidRPr="001E3350">
        <w:rPr>
          <w:rFonts w:eastAsia="Calibri"/>
          <w:color w:val="000000" w:themeColor="text1"/>
          <w:shd w:val="clear" w:color="auto" w:fill="FFFFFF"/>
        </w:rPr>
        <w:t xml:space="preserve">the </w:t>
      </w:r>
      <w:r w:rsidRPr="001E3350">
        <w:rPr>
          <w:rFonts w:eastAsia="Calibri"/>
          <w:iCs/>
          <w:color w:val="000000" w:themeColor="text1"/>
          <w:shd w:val="clear" w:color="auto" w:fill="FFFFFF"/>
        </w:rPr>
        <w:t>Executive</w:t>
      </w:r>
      <w:r w:rsidRPr="001E3350">
        <w:rPr>
          <w:rFonts w:eastAsia="Calibri"/>
          <w:color w:val="000000" w:themeColor="text1"/>
          <w:shd w:val="clear" w:color="auto" w:fill="FFFFFF"/>
        </w:rPr>
        <w:t xml:space="preserve"> Director, in establishing </w:t>
      </w:r>
      <w:r w:rsidRPr="007B10BC">
        <w:rPr>
          <w:rFonts w:eastAsia="Calibri"/>
          <w:color w:val="000000" w:themeColor="text1"/>
          <w:shd w:val="clear" w:color="auto" w:fill="FFFFFF"/>
        </w:rPr>
        <w:t>the delegations of authority</w:t>
      </w:r>
      <w:r w:rsidRPr="001E3350">
        <w:rPr>
          <w:rFonts w:eastAsia="Calibri"/>
          <w:color w:val="000000" w:themeColor="text1"/>
          <w:shd w:val="clear" w:color="auto" w:fill="FFFFFF"/>
        </w:rPr>
        <w:t xml:space="preserve"> to the heads of the multilateral environment agreement secretariats, to maintain the flexibility required on a case-by-case basis, including to reflect the size of the multilateral environmental agreement secretariats; </w:t>
      </w:r>
    </w:p>
    <w:p w14:paraId="4D5950B7" w14:textId="77777777" w:rsidR="00604A8B" w:rsidRPr="00DD05D5" w:rsidRDefault="00604A8B" w:rsidP="00604A8B">
      <w:pPr>
        <w:pStyle w:val="CH2"/>
        <w:keepNext w:val="0"/>
        <w:keepLines w:val="0"/>
        <w:tabs>
          <w:tab w:val="left" w:pos="624"/>
          <w:tab w:val="left" w:pos="1871"/>
          <w:tab w:val="left" w:pos="2495"/>
          <w:tab w:val="left" w:pos="3119"/>
          <w:tab w:val="left" w:pos="3742"/>
        </w:tabs>
        <w:spacing w:after="0"/>
        <w:ind w:firstLine="0"/>
        <w:jc w:val="center"/>
        <w:rPr>
          <w:bCs/>
        </w:rPr>
      </w:pPr>
      <w:r w:rsidRPr="00DD05D5">
        <w:t>B</w:t>
      </w:r>
    </w:p>
    <w:p w14:paraId="767A4F33" w14:textId="77777777" w:rsidR="00604A8B" w:rsidRPr="00DD05D5" w:rsidRDefault="00604A8B" w:rsidP="00604A8B">
      <w:pPr>
        <w:pStyle w:val="CH2"/>
        <w:tabs>
          <w:tab w:val="clear" w:pos="1247"/>
          <w:tab w:val="clear" w:pos="1814"/>
          <w:tab w:val="clear" w:pos="2381"/>
          <w:tab w:val="clear" w:pos="2948"/>
          <w:tab w:val="clear" w:pos="3515"/>
          <w:tab w:val="clear" w:pos="4082"/>
          <w:tab w:val="left" w:pos="624"/>
        </w:tabs>
        <w:spacing w:before="0"/>
        <w:ind w:firstLine="0"/>
        <w:jc w:val="center"/>
        <w:rPr>
          <w:bCs/>
        </w:rPr>
      </w:pPr>
      <w:r w:rsidRPr="00DD05D5">
        <w:t>Administrative and financial framework</w:t>
      </w:r>
    </w:p>
    <w:p w14:paraId="4D3D45BF" w14:textId="77777777" w:rsidR="00604A8B" w:rsidRPr="001E3350" w:rsidRDefault="00604A8B" w:rsidP="00604A8B">
      <w:pPr>
        <w:pStyle w:val="Normal-pool"/>
        <w:numPr>
          <w:ilvl w:val="0"/>
          <w:numId w:val="73"/>
        </w:numPr>
        <w:tabs>
          <w:tab w:val="clear" w:pos="1247"/>
          <w:tab w:val="clear" w:pos="1814"/>
          <w:tab w:val="clear" w:pos="2381"/>
          <w:tab w:val="clear" w:pos="2948"/>
          <w:tab w:val="clear" w:pos="3515"/>
          <w:tab w:val="clear" w:pos="4082"/>
          <w:tab w:val="left" w:pos="624"/>
        </w:tabs>
        <w:spacing w:after="120"/>
        <w:ind w:left="1247" w:firstLine="624"/>
        <w:rPr>
          <w:rFonts w:eastAsia="Calibri"/>
          <w:color w:val="000000" w:themeColor="text1"/>
          <w:shd w:val="clear" w:color="auto" w:fill="FFFFFF"/>
        </w:rPr>
      </w:pPr>
      <w:r w:rsidRPr="001E3350">
        <w:rPr>
          <w:rFonts w:eastAsia="Calibri"/>
          <w:i/>
          <w:color w:val="000000" w:themeColor="text1"/>
          <w:shd w:val="clear" w:color="auto" w:fill="FFFFFF"/>
        </w:rPr>
        <w:t xml:space="preserve">Invites </w:t>
      </w:r>
      <w:r w:rsidRPr="001E3350">
        <w:rPr>
          <w:rFonts w:eastAsia="Calibri"/>
          <w:color w:val="000000" w:themeColor="text1"/>
          <w:shd w:val="clear" w:color="auto" w:fill="FFFFFF"/>
        </w:rPr>
        <w:t>the governing bodies of the UNEP-administered multilateral environmental agreements to bring to the attention of the Executive Director any administrative or financial challenges they face as a result of the practical implementation of their memorandums of understanding;</w:t>
      </w:r>
    </w:p>
    <w:p w14:paraId="42A991B8" w14:textId="77777777" w:rsidR="00604A8B" w:rsidRPr="001E3350" w:rsidRDefault="00604A8B" w:rsidP="00604A8B">
      <w:pPr>
        <w:pStyle w:val="Normal-pool"/>
        <w:numPr>
          <w:ilvl w:val="0"/>
          <w:numId w:val="73"/>
        </w:numPr>
        <w:tabs>
          <w:tab w:val="clear" w:pos="1247"/>
          <w:tab w:val="clear" w:pos="1814"/>
          <w:tab w:val="clear" w:pos="2381"/>
          <w:tab w:val="clear" w:pos="2948"/>
          <w:tab w:val="clear" w:pos="3515"/>
          <w:tab w:val="clear" w:pos="4082"/>
          <w:tab w:val="left" w:pos="624"/>
        </w:tabs>
        <w:spacing w:after="120"/>
        <w:ind w:left="1247" w:firstLine="624"/>
        <w:rPr>
          <w:rFonts w:eastAsia="Calibri"/>
          <w:color w:val="000000" w:themeColor="text1"/>
          <w:shd w:val="clear" w:color="auto" w:fill="FFFFFF"/>
        </w:rPr>
      </w:pPr>
      <w:r w:rsidRPr="001E3350">
        <w:rPr>
          <w:rFonts w:eastAsia="Calibri"/>
          <w:i/>
          <w:color w:val="000000" w:themeColor="text1"/>
          <w:shd w:val="clear" w:color="auto" w:fill="FFFFFF"/>
        </w:rPr>
        <w:t>Also invites</w:t>
      </w:r>
      <w:r w:rsidRPr="001E3350">
        <w:rPr>
          <w:rFonts w:eastAsia="Calibri"/>
          <w:color w:val="000000" w:themeColor="text1"/>
          <w:shd w:val="clear" w:color="auto" w:fill="FFFFFF"/>
        </w:rPr>
        <w:t xml:space="preserve"> the governing bodies of the UNEP-administered multilateral environmental agreements to share among themselves good practices in respect of their budget and human resources management; </w:t>
      </w:r>
    </w:p>
    <w:p w14:paraId="7E4817CE" w14:textId="77777777" w:rsidR="00604A8B" w:rsidRPr="001E3350" w:rsidRDefault="00604A8B" w:rsidP="00604A8B">
      <w:pPr>
        <w:pStyle w:val="Normal-pool"/>
        <w:numPr>
          <w:ilvl w:val="0"/>
          <w:numId w:val="73"/>
        </w:numPr>
        <w:tabs>
          <w:tab w:val="clear" w:pos="1247"/>
          <w:tab w:val="clear" w:pos="1814"/>
          <w:tab w:val="clear" w:pos="2381"/>
          <w:tab w:val="clear" w:pos="2948"/>
          <w:tab w:val="clear" w:pos="3515"/>
          <w:tab w:val="clear" w:pos="4082"/>
          <w:tab w:val="left" w:pos="624"/>
        </w:tabs>
        <w:spacing w:after="120"/>
        <w:ind w:left="1247" w:firstLine="624"/>
        <w:rPr>
          <w:rFonts w:eastAsia="Calibri"/>
          <w:color w:val="000000" w:themeColor="text1"/>
          <w:shd w:val="clear" w:color="auto" w:fill="FFFFFF"/>
        </w:rPr>
      </w:pPr>
      <w:r w:rsidRPr="001E3350">
        <w:rPr>
          <w:rFonts w:eastAsia="Calibri"/>
          <w:i/>
          <w:color w:val="000000" w:themeColor="text1"/>
          <w:shd w:val="clear" w:color="auto" w:fill="FFFFFF"/>
        </w:rPr>
        <w:t>Requests</w:t>
      </w:r>
      <w:r w:rsidRPr="001E3350">
        <w:rPr>
          <w:rFonts w:eastAsia="Calibri"/>
          <w:color w:val="000000" w:themeColor="text1"/>
          <w:shd w:val="clear" w:color="auto" w:fill="FFFFFF"/>
        </w:rPr>
        <w:t xml:space="preserve"> </w:t>
      </w:r>
      <w:r w:rsidRPr="001E3350">
        <w:t xml:space="preserve">the </w:t>
      </w:r>
      <w:r w:rsidRPr="001E3350">
        <w:rPr>
          <w:rFonts w:eastAsia="Arial Unicode MS"/>
          <w:kern w:val="2"/>
          <w:bdr w:val="nil"/>
        </w:rPr>
        <w:t>United Nations Environment Programme</w:t>
      </w:r>
      <w:r w:rsidRPr="001E3350">
        <w:rPr>
          <w:rFonts w:eastAsia="Calibri"/>
          <w:color w:val="000000" w:themeColor="text1"/>
          <w:shd w:val="clear" w:color="auto" w:fill="FFFFFF"/>
        </w:rPr>
        <w:t xml:space="preserve"> to waive programme support costs on voluntary contributions for participation costs when </w:t>
      </w:r>
      <w:r w:rsidRPr="001E3350">
        <w:rPr>
          <w:rFonts w:eastAsia="Calibri"/>
          <w:shd w:val="clear" w:color="auto" w:fill="FFFFFF"/>
        </w:rPr>
        <w:t xml:space="preserve">arranging participation is done by administrative staff financed by the programme </w:t>
      </w:r>
      <w:r w:rsidRPr="001E3350">
        <w:rPr>
          <w:rFonts w:eastAsia="Calibri"/>
          <w:color w:val="000000" w:themeColor="text1"/>
          <w:shd w:val="clear" w:color="auto" w:fill="FFFFFF"/>
        </w:rPr>
        <w:t xml:space="preserve">support costs on the operating budget; </w:t>
      </w:r>
    </w:p>
    <w:p w14:paraId="2EC6437B" w14:textId="77777777" w:rsidR="00604A8B" w:rsidRPr="00EB270D" w:rsidRDefault="00604A8B" w:rsidP="00604A8B">
      <w:pPr>
        <w:pStyle w:val="Normal-pool"/>
        <w:numPr>
          <w:ilvl w:val="0"/>
          <w:numId w:val="73"/>
        </w:numPr>
        <w:tabs>
          <w:tab w:val="clear" w:pos="1247"/>
          <w:tab w:val="clear" w:pos="1814"/>
          <w:tab w:val="clear" w:pos="2381"/>
          <w:tab w:val="clear" w:pos="2948"/>
          <w:tab w:val="clear" w:pos="3515"/>
          <w:tab w:val="clear" w:pos="4082"/>
          <w:tab w:val="left" w:pos="624"/>
        </w:tabs>
        <w:spacing w:after="120"/>
        <w:ind w:left="1247" w:firstLine="624"/>
        <w:rPr>
          <w:rFonts w:eastAsia="Calibri"/>
          <w:color w:val="000000" w:themeColor="text1"/>
          <w:shd w:val="clear" w:color="auto" w:fill="FFFFFF"/>
        </w:rPr>
      </w:pPr>
      <w:r w:rsidRPr="001E3350">
        <w:rPr>
          <w:rFonts w:eastAsia="Calibri"/>
          <w:i/>
          <w:iCs/>
          <w:color w:val="000000" w:themeColor="text1"/>
          <w:shd w:val="clear" w:color="auto" w:fill="FFFFFF"/>
        </w:rPr>
        <w:t>Requests </w:t>
      </w:r>
      <w:r w:rsidRPr="001E3350">
        <w:rPr>
          <w:rFonts w:eastAsia="Calibri"/>
          <w:color w:val="000000" w:themeColor="text1"/>
          <w:shd w:val="clear" w:color="auto" w:fill="FFFFFF"/>
        </w:rPr>
        <w:t>the Executive Director to prepare information for the governing bodies of the multilateral environmental agreements on the implications of the International Public Sector Accounting Standards for their operational budgets</w:t>
      </w:r>
      <w:r w:rsidRPr="00EB270D">
        <w:rPr>
          <w:rFonts w:eastAsia="Calibri"/>
          <w:color w:val="000000" w:themeColor="text1"/>
          <w:shd w:val="clear" w:color="auto" w:fill="FFFFFF"/>
        </w:rPr>
        <w:t>;</w:t>
      </w:r>
      <w:r w:rsidRPr="00EB270D">
        <w:rPr>
          <w:rFonts w:eastAsia="Calibri"/>
          <w:i/>
          <w:color w:val="000000" w:themeColor="text1"/>
          <w:shd w:val="clear" w:color="auto" w:fill="FFFFFF"/>
        </w:rPr>
        <w:t xml:space="preserve"> </w:t>
      </w:r>
    </w:p>
    <w:p w14:paraId="07179317" w14:textId="77777777" w:rsidR="00604A8B" w:rsidRPr="00DD05D5" w:rsidRDefault="00604A8B" w:rsidP="00604A8B">
      <w:pPr>
        <w:pStyle w:val="CH2"/>
        <w:keepNext w:val="0"/>
        <w:keepLines w:val="0"/>
        <w:tabs>
          <w:tab w:val="left" w:pos="624"/>
          <w:tab w:val="left" w:pos="1871"/>
          <w:tab w:val="left" w:pos="2495"/>
          <w:tab w:val="left" w:pos="3119"/>
          <w:tab w:val="left" w:pos="3742"/>
        </w:tabs>
        <w:spacing w:after="0"/>
        <w:ind w:firstLine="0"/>
        <w:jc w:val="center"/>
        <w:rPr>
          <w:bCs/>
        </w:rPr>
      </w:pPr>
      <w:r w:rsidRPr="00DD05D5">
        <w:t>C</w:t>
      </w:r>
    </w:p>
    <w:p w14:paraId="2E727ED2" w14:textId="77777777" w:rsidR="00604A8B" w:rsidRPr="00DD05D5" w:rsidRDefault="00604A8B" w:rsidP="00604A8B">
      <w:pPr>
        <w:pStyle w:val="CH2"/>
        <w:tabs>
          <w:tab w:val="clear" w:pos="1247"/>
          <w:tab w:val="clear" w:pos="1814"/>
          <w:tab w:val="clear" w:pos="2381"/>
          <w:tab w:val="clear" w:pos="2948"/>
          <w:tab w:val="clear" w:pos="3515"/>
          <w:tab w:val="clear" w:pos="4082"/>
          <w:tab w:val="left" w:pos="624"/>
        </w:tabs>
        <w:spacing w:before="0"/>
        <w:ind w:firstLine="0"/>
        <w:jc w:val="center"/>
        <w:rPr>
          <w:bCs/>
        </w:rPr>
      </w:pPr>
      <w:r w:rsidRPr="00DD05D5">
        <w:t>Mutual supportiveness of programmes of work</w:t>
      </w:r>
    </w:p>
    <w:p w14:paraId="7978113B" w14:textId="77777777" w:rsidR="00604A8B" w:rsidRPr="001E3350" w:rsidRDefault="00604A8B" w:rsidP="00604A8B">
      <w:pPr>
        <w:pStyle w:val="Normal-pool"/>
        <w:numPr>
          <w:ilvl w:val="0"/>
          <w:numId w:val="73"/>
        </w:numPr>
        <w:tabs>
          <w:tab w:val="clear" w:pos="1247"/>
          <w:tab w:val="clear" w:pos="1814"/>
          <w:tab w:val="clear" w:pos="2381"/>
          <w:tab w:val="clear" w:pos="2948"/>
          <w:tab w:val="clear" w:pos="3515"/>
          <w:tab w:val="clear" w:pos="4082"/>
        </w:tabs>
        <w:spacing w:after="120"/>
        <w:ind w:left="1247" w:firstLine="624"/>
      </w:pPr>
      <w:r w:rsidRPr="001E3350">
        <w:rPr>
          <w:rFonts w:eastAsia="Calibri"/>
          <w:i/>
          <w:iCs/>
          <w:color w:val="000000"/>
          <w:shd w:val="clear" w:color="auto" w:fill="FFFFFF"/>
        </w:rPr>
        <w:t>Requests</w:t>
      </w:r>
      <w:r w:rsidRPr="001E3350">
        <w:rPr>
          <w:rFonts w:eastAsia="Calibri"/>
          <w:i/>
          <w:color w:val="000000"/>
          <w:shd w:val="clear" w:color="auto" w:fill="FFFFFF"/>
        </w:rPr>
        <w:t> </w:t>
      </w:r>
      <w:r w:rsidRPr="001E3350">
        <w:rPr>
          <w:rFonts w:eastAsia="Calibri"/>
          <w:color w:val="000000"/>
          <w:shd w:val="clear" w:color="auto" w:fill="FFFFFF"/>
        </w:rPr>
        <w:t xml:space="preserve">the Executive Director, when invited to do so by the governing bodies of the </w:t>
      </w:r>
      <w:r w:rsidRPr="001E3350">
        <w:rPr>
          <w:rFonts w:eastAsia="Calibri"/>
          <w:color w:val="000000"/>
          <w:shd w:val="clear" w:color="auto" w:fill="FFFFFF"/>
        </w:rPr>
        <w:br/>
        <w:t xml:space="preserve">UNEP-administered multilateral environmental agreements, to foster mutually supportive programmes of work between </w:t>
      </w:r>
      <w:r w:rsidRPr="001E3350">
        <w:t xml:space="preserve">the </w:t>
      </w:r>
      <w:r w:rsidRPr="001E3350">
        <w:rPr>
          <w:rFonts w:eastAsia="Arial Unicode MS"/>
          <w:kern w:val="2"/>
          <w:bdr w:val="nil"/>
        </w:rPr>
        <w:t>United Nations Environment Programme</w:t>
      </w:r>
      <w:r w:rsidRPr="001E3350">
        <w:rPr>
          <w:rFonts w:eastAsia="Calibri"/>
          <w:color w:val="000000"/>
          <w:shd w:val="clear" w:color="auto" w:fill="FFFFFF"/>
        </w:rPr>
        <w:t xml:space="preserve"> and the multilateral environmental agreements in the framework of the 2030 Agenda for Sustainable Development and make available relevant scientific information important to their work;</w:t>
      </w:r>
    </w:p>
    <w:p w14:paraId="0E3A0790" w14:textId="77777777" w:rsidR="00604A8B" w:rsidRPr="00DD05D5" w:rsidRDefault="00604A8B" w:rsidP="00604A8B">
      <w:pPr>
        <w:pStyle w:val="CH2"/>
        <w:keepNext w:val="0"/>
        <w:keepLines w:val="0"/>
        <w:tabs>
          <w:tab w:val="left" w:pos="624"/>
          <w:tab w:val="left" w:pos="1871"/>
          <w:tab w:val="left" w:pos="2495"/>
          <w:tab w:val="left" w:pos="3119"/>
          <w:tab w:val="left" w:pos="3742"/>
        </w:tabs>
        <w:spacing w:after="0"/>
        <w:ind w:firstLine="0"/>
        <w:jc w:val="center"/>
        <w:rPr>
          <w:bCs/>
        </w:rPr>
      </w:pPr>
      <w:r w:rsidRPr="00DD05D5">
        <w:t>D</w:t>
      </w:r>
    </w:p>
    <w:p w14:paraId="6340CDFE" w14:textId="77777777" w:rsidR="00604A8B" w:rsidRPr="00DD05D5" w:rsidRDefault="00604A8B" w:rsidP="00604A8B">
      <w:pPr>
        <w:pStyle w:val="CH2"/>
        <w:tabs>
          <w:tab w:val="clear" w:pos="1247"/>
          <w:tab w:val="clear" w:pos="1814"/>
          <w:tab w:val="clear" w:pos="2381"/>
          <w:tab w:val="clear" w:pos="2948"/>
          <w:tab w:val="clear" w:pos="3515"/>
          <w:tab w:val="clear" w:pos="4082"/>
          <w:tab w:val="left" w:pos="624"/>
        </w:tabs>
        <w:spacing w:before="0"/>
        <w:ind w:firstLine="0"/>
        <w:jc w:val="center"/>
        <w:rPr>
          <w:bCs/>
        </w:rPr>
      </w:pPr>
      <w:r w:rsidRPr="00DD05D5">
        <w:t>Future steps</w:t>
      </w:r>
    </w:p>
    <w:p w14:paraId="482B6955" w14:textId="77777777" w:rsidR="00604A8B" w:rsidRDefault="00604A8B" w:rsidP="00604A8B">
      <w:pPr>
        <w:pStyle w:val="Normal-pool"/>
        <w:numPr>
          <w:ilvl w:val="0"/>
          <w:numId w:val="73"/>
        </w:numPr>
        <w:tabs>
          <w:tab w:val="clear" w:pos="1247"/>
          <w:tab w:val="clear" w:pos="1814"/>
          <w:tab w:val="clear" w:pos="2381"/>
          <w:tab w:val="clear" w:pos="2948"/>
          <w:tab w:val="clear" w:pos="3515"/>
          <w:tab w:val="clear" w:pos="4082"/>
        </w:tabs>
        <w:spacing w:after="120"/>
        <w:ind w:left="1247" w:firstLine="624"/>
        <w:rPr>
          <w:color w:val="000000" w:themeColor="text1"/>
        </w:rPr>
      </w:pPr>
      <w:r w:rsidRPr="001E3350">
        <w:rPr>
          <w:i/>
          <w:color w:val="000000" w:themeColor="text1"/>
        </w:rPr>
        <w:t>Requests</w:t>
      </w:r>
      <w:r w:rsidRPr="001E3350">
        <w:rPr>
          <w:color w:val="000000" w:themeColor="text1"/>
        </w:rPr>
        <w:t xml:space="preserve"> the </w:t>
      </w:r>
      <w:r w:rsidRPr="001E3350">
        <w:rPr>
          <w:rFonts w:eastAsia="Calibri"/>
          <w:iCs/>
          <w:color w:val="000000"/>
          <w:shd w:val="clear" w:color="auto" w:fill="FFFFFF"/>
        </w:rPr>
        <w:t>Executive</w:t>
      </w:r>
      <w:r w:rsidRPr="001E3350">
        <w:rPr>
          <w:color w:val="000000" w:themeColor="text1"/>
        </w:rPr>
        <w:t xml:space="preserve"> Director to continue his efforts in these matters in an open and transparent manner, and to report on progress made to the United Nations Environment Assembly of </w:t>
      </w:r>
      <w:r w:rsidRPr="001E3350">
        <w:t xml:space="preserve">the </w:t>
      </w:r>
      <w:r w:rsidRPr="001E3350">
        <w:rPr>
          <w:rFonts w:eastAsia="Arial Unicode MS"/>
          <w:kern w:val="2"/>
          <w:bdr w:val="nil"/>
        </w:rPr>
        <w:t>United Nations Environment Programme</w:t>
      </w:r>
      <w:r w:rsidRPr="001E3350">
        <w:rPr>
          <w:color w:val="000000" w:themeColor="text1"/>
        </w:rPr>
        <w:t>.</w:t>
      </w:r>
    </w:p>
    <w:p w14:paraId="4474B679" w14:textId="77777777" w:rsidR="00604A8B" w:rsidRPr="0046086A" w:rsidRDefault="00604A8B" w:rsidP="00604A8B">
      <w:pPr>
        <w:pStyle w:val="CH1"/>
      </w:pPr>
      <w:r w:rsidRPr="0046086A">
        <w:tab/>
      </w:r>
      <w:r w:rsidRPr="0046086A">
        <w:tab/>
        <w:t>Annex</w:t>
      </w:r>
    </w:p>
    <w:p w14:paraId="4C891C91" w14:textId="77777777" w:rsidR="00604A8B" w:rsidRPr="0046086A" w:rsidRDefault="00604A8B" w:rsidP="00604A8B">
      <w:pPr>
        <w:pStyle w:val="CH1"/>
        <w:spacing w:before="120"/>
      </w:pPr>
      <w:r w:rsidRPr="0046086A">
        <w:tab/>
      </w:r>
      <w:r w:rsidRPr="0046086A">
        <w:tab/>
        <w:t>List of multilateral environmental agreements for which the United Nations Environment Programme currently provides the secretariat or where decisions to that effect are in place</w:t>
      </w:r>
    </w:p>
    <w:p w14:paraId="4319D3FF" w14:textId="77777777" w:rsidR="00604A8B" w:rsidRPr="00DD05D5" w:rsidRDefault="00604A8B" w:rsidP="00604A8B">
      <w:pPr>
        <w:pStyle w:val="CH2"/>
        <w:rPr>
          <w:bCs/>
        </w:rPr>
      </w:pPr>
      <w:r w:rsidRPr="0046086A">
        <w:tab/>
      </w:r>
      <w:r w:rsidRPr="0046086A">
        <w:tab/>
        <w:t xml:space="preserve">Agreements for which the United Nations Environment Programme currently provides the secretariat </w:t>
      </w:r>
    </w:p>
    <w:p w14:paraId="50E6B800" w14:textId="77777777" w:rsidR="00604A8B" w:rsidRPr="001E3350" w:rsidRDefault="00604A8B" w:rsidP="00604A8B">
      <w:pPr>
        <w:pStyle w:val="Normal-pool"/>
        <w:keepNext/>
        <w:keepLines/>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Convention on International Trade in Endangered Species of Wild Fauna and Flora</w:t>
      </w:r>
    </w:p>
    <w:p w14:paraId="3E2DB416" w14:textId="77777777" w:rsidR="00604A8B" w:rsidRPr="001E3350" w:rsidRDefault="00604A8B" w:rsidP="00604A8B">
      <w:pPr>
        <w:pStyle w:val="Normal-pool"/>
        <w:keepNext/>
        <w:keepLines/>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Convention on the Conservation of Migratory Species of Wild Animals and its associated agreements</w:t>
      </w:r>
    </w:p>
    <w:p w14:paraId="7A6292E5" w14:textId="77777777" w:rsidR="00604A8B" w:rsidRPr="001E3350" w:rsidRDefault="00604A8B" w:rsidP="00604A8B">
      <w:pPr>
        <w:pStyle w:val="Normal-pool"/>
        <w:keepNext/>
        <w:keepLines/>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Convention on Biological Diversity and its protocols</w:t>
      </w:r>
    </w:p>
    <w:p w14:paraId="32AA5267" w14:textId="77777777" w:rsidR="00604A8B" w:rsidRPr="001E3350" w:rsidRDefault="00604A8B" w:rsidP="00604A8B">
      <w:pPr>
        <w:pStyle w:val="Normal-pool"/>
        <w:keepNext/>
        <w:keepLines/>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Vienna Convention for the Protection of the Ozone Layer and its Montreal Protocol on Substances that Deplete the Ozone Layer</w:t>
      </w:r>
    </w:p>
    <w:p w14:paraId="4B2812F5" w14:textId="77777777" w:rsidR="00604A8B" w:rsidRPr="001E3350" w:rsidRDefault="00604A8B" w:rsidP="00604A8B">
      <w:pPr>
        <w:pStyle w:val="Normal-pool"/>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 xml:space="preserve">Basel Convention on the Control of </w:t>
      </w:r>
      <w:proofErr w:type="spellStart"/>
      <w:r w:rsidRPr="001E3350">
        <w:rPr>
          <w:rFonts w:eastAsia="Calibri"/>
          <w:color w:val="000000" w:themeColor="text1"/>
          <w:shd w:val="clear" w:color="auto" w:fill="FFFFFF"/>
        </w:rPr>
        <w:t>Transboundary</w:t>
      </w:r>
      <w:proofErr w:type="spellEnd"/>
      <w:r w:rsidRPr="001E3350">
        <w:rPr>
          <w:rFonts w:eastAsia="Calibri"/>
          <w:color w:val="000000" w:themeColor="text1"/>
          <w:shd w:val="clear" w:color="auto" w:fill="FFFFFF"/>
        </w:rPr>
        <w:t xml:space="preserve"> Movements of Hazardous Wastes and Their Disposal </w:t>
      </w:r>
    </w:p>
    <w:p w14:paraId="5B6C1D2A" w14:textId="77777777" w:rsidR="00604A8B" w:rsidRPr="001E3350" w:rsidRDefault="00604A8B" w:rsidP="00604A8B">
      <w:pPr>
        <w:pStyle w:val="Normal-pool"/>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 xml:space="preserve">Bamako Convention on the Ban of the Import into Africa and the Control of </w:t>
      </w:r>
      <w:proofErr w:type="spellStart"/>
      <w:r w:rsidRPr="001E3350">
        <w:rPr>
          <w:rFonts w:eastAsia="Calibri"/>
          <w:color w:val="000000" w:themeColor="text1"/>
          <w:shd w:val="clear" w:color="auto" w:fill="FFFFFF"/>
        </w:rPr>
        <w:t>Transboundary</w:t>
      </w:r>
      <w:proofErr w:type="spellEnd"/>
      <w:r w:rsidRPr="001E3350">
        <w:rPr>
          <w:rFonts w:eastAsia="Calibri"/>
          <w:color w:val="000000" w:themeColor="text1"/>
          <w:shd w:val="clear" w:color="auto" w:fill="FFFFFF"/>
        </w:rPr>
        <w:t xml:space="preserve"> Movement and Management of Hazardous Wastes within Africa</w:t>
      </w:r>
    </w:p>
    <w:p w14:paraId="5DA7BE21" w14:textId="77777777" w:rsidR="00604A8B" w:rsidRPr="001E3350" w:rsidRDefault="00604A8B" w:rsidP="00604A8B">
      <w:pPr>
        <w:pStyle w:val="Normal-pool"/>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Rotterdam Convention on the Prior Informed Consent Procedure for Certain Hazardous Chemicals and Pesticides in International Trade</w:t>
      </w:r>
    </w:p>
    <w:p w14:paraId="0735EB15" w14:textId="77777777" w:rsidR="00604A8B" w:rsidRPr="001E3350" w:rsidRDefault="00604A8B" w:rsidP="00604A8B">
      <w:pPr>
        <w:pStyle w:val="Normal-pool"/>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Stockholm Convention on Persistent Organic Pollutants</w:t>
      </w:r>
    </w:p>
    <w:p w14:paraId="3A88381B" w14:textId="77777777" w:rsidR="00604A8B" w:rsidRPr="001E3350" w:rsidRDefault="00604A8B" w:rsidP="00604A8B">
      <w:pPr>
        <w:pStyle w:val="Normal-pool"/>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Convention for the Protection of the Marine Environment and the Coastal Region of the Mediterranean (Barcelona Convention) and its protocols</w:t>
      </w:r>
    </w:p>
    <w:p w14:paraId="16DD357C" w14:textId="77777777" w:rsidR="00604A8B" w:rsidRPr="001E3350" w:rsidRDefault="00604A8B" w:rsidP="00604A8B">
      <w:pPr>
        <w:pStyle w:val="Normal-pool"/>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Convention for the Protection and Development of the Marine Environment of the Wider Caribbean Region (Cartagena Convention) and its protocols</w:t>
      </w:r>
    </w:p>
    <w:p w14:paraId="3F598913" w14:textId="77777777" w:rsidR="00604A8B" w:rsidRPr="001E3350" w:rsidRDefault="00604A8B" w:rsidP="00604A8B">
      <w:pPr>
        <w:pStyle w:val="Normal-pool"/>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Convention for the Protection, Management and Development of the Marine and Coastal Environment of the Western Indian Ocean (Nairobi Convention) and its protocols</w:t>
      </w:r>
    </w:p>
    <w:p w14:paraId="68EC6C20" w14:textId="77777777" w:rsidR="00604A8B" w:rsidRPr="001E3350" w:rsidRDefault="00604A8B" w:rsidP="00604A8B">
      <w:pPr>
        <w:pStyle w:val="Normal-pool"/>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Convention for Cooperation in the Protection and Development of the Marine and Coastal Environment of the West and Central African Region (Abidjan Convention) and its protocols</w:t>
      </w:r>
    </w:p>
    <w:p w14:paraId="50FCF9BD" w14:textId="77777777" w:rsidR="00604A8B" w:rsidRPr="001E3350" w:rsidRDefault="00604A8B" w:rsidP="00604A8B">
      <w:pPr>
        <w:pStyle w:val="Normal-pool"/>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Framework Convention on the Protection and Sustainable Development of the Carpathians</w:t>
      </w:r>
    </w:p>
    <w:p w14:paraId="1405BA01" w14:textId="77777777" w:rsidR="00604A8B" w:rsidRPr="00DD05D5" w:rsidRDefault="00604A8B" w:rsidP="00604A8B">
      <w:pPr>
        <w:pStyle w:val="CH2"/>
        <w:keepNext w:val="0"/>
        <w:keepLines w:val="0"/>
        <w:rPr>
          <w:bCs/>
        </w:rPr>
      </w:pPr>
      <w:r w:rsidRPr="00DD05D5">
        <w:tab/>
      </w:r>
      <w:r w:rsidRPr="00DD05D5">
        <w:tab/>
        <w:t xml:space="preserve">Agreements for which the United Nations Environment Programme currently provides the interim secretariat and the United Nations Environment Assembly has accepted that it should provide the permanent secretariat </w:t>
      </w:r>
    </w:p>
    <w:p w14:paraId="3ABD72E2" w14:textId="77777777" w:rsidR="00604A8B" w:rsidRPr="001E3350" w:rsidRDefault="00604A8B" w:rsidP="00604A8B">
      <w:pPr>
        <w:pStyle w:val="Normal-pool"/>
        <w:numPr>
          <w:ilvl w:val="0"/>
          <w:numId w:val="72"/>
        </w:numPr>
        <w:tabs>
          <w:tab w:val="clear" w:pos="1247"/>
          <w:tab w:val="clear" w:pos="1814"/>
          <w:tab w:val="clear" w:pos="2381"/>
          <w:tab w:val="clear" w:pos="2948"/>
          <w:tab w:val="clear" w:pos="3515"/>
          <w:tab w:val="clear" w:pos="4082"/>
          <w:tab w:val="left" w:pos="624"/>
        </w:tabs>
        <w:spacing w:after="120"/>
        <w:ind w:left="1871" w:hanging="624"/>
        <w:rPr>
          <w:rFonts w:eastAsia="Calibri"/>
          <w:color w:val="000000" w:themeColor="text1"/>
          <w:shd w:val="clear" w:color="auto" w:fill="FFFFFF"/>
        </w:rPr>
      </w:pPr>
      <w:r w:rsidRPr="001E3350">
        <w:rPr>
          <w:rFonts w:eastAsia="Calibri"/>
          <w:color w:val="000000" w:themeColor="text1"/>
          <w:shd w:val="clear" w:color="auto" w:fill="FFFFFF"/>
        </w:rPr>
        <w:t>Framework Convention for the Protection of the Marine Environment of the Caspian Sea (Tehran Convention)</w:t>
      </w:r>
    </w:p>
    <w:p w14:paraId="10ED1CA0" w14:textId="77777777" w:rsidR="00604A8B" w:rsidRPr="00DD05D5" w:rsidRDefault="00604A8B" w:rsidP="00604A8B">
      <w:pPr>
        <w:pStyle w:val="CH2"/>
        <w:keepNext w:val="0"/>
        <w:keepLines w:val="0"/>
        <w:rPr>
          <w:bCs/>
        </w:rPr>
      </w:pPr>
      <w:r w:rsidRPr="00DD05D5">
        <w:tab/>
      </w:r>
      <w:r w:rsidRPr="00DD05D5">
        <w:tab/>
        <w:t>Agreements that specify that the United Nations Environment Programme should provide the secretariat upon entry into force</w:t>
      </w:r>
    </w:p>
    <w:p w14:paraId="736FD567" w14:textId="77777777" w:rsidR="00604A8B" w:rsidRPr="001E3350" w:rsidRDefault="00604A8B" w:rsidP="00604A8B">
      <w:pPr>
        <w:pStyle w:val="Normal-pool"/>
        <w:numPr>
          <w:ilvl w:val="0"/>
          <w:numId w:val="72"/>
        </w:numPr>
        <w:tabs>
          <w:tab w:val="clear" w:pos="1247"/>
          <w:tab w:val="clear" w:pos="1814"/>
          <w:tab w:val="clear" w:pos="2381"/>
          <w:tab w:val="clear" w:pos="2948"/>
          <w:tab w:val="clear" w:pos="3515"/>
          <w:tab w:val="clear" w:pos="4082"/>
          <w:tab w:val="left" w:pos="624"/>
        </w:tabs>
        <w:spacing w:after="120"/>
        <w:ind w:left="1871" w:hanging="624"/>
      </w:pPr>
      <w:proofErr w:type="spellStart"/>
      <w:r w:rsidRPr="001E3350">
        <w:rPr>
          <w:rFonts w:eastAsia="Calibri"/>
          <w:color w:val="000000" w:themeColor="text1"/>
          <w:shd w:val="clear" w:color="auto" w:fill="FFFFFF"/>
        </w:rPr>
        <w:t>Minamata</w:t>
      </w:r>
      <w:proofErr w:type="spellEnd"/>
      <w:r w:rsidRPr="001E3350">
        <w:rPr>
          <w:rFonts w:eastAsia="Calibri"/>
          <w:color w:val="000000" w:themeColor="text1"/>
          <w:shd w:val="clear" w:color="auto" w:fill="FFFFFF"/>
        </w:rPr>
        <w:t xml:space="preserve"> Convention on Mercury</w:t>
      </w:r>
      <w:r w:rsidRPr="001E3350">
        <w:t xml:space="preserve"> </w:t>
      </w:r>
    </w:p>
    <w:p w14:paraId="245AC1DD" w14:textId="77777777" w:rsidR="00604A8B" w:rsidRPr="006727DC" w:rsidRDefault="00604A8B" w:rsidP="00604A8B">
      <w:pPr>
        <w:pStyle w:val="Normal-pool"/>
        <w:jc w:val="right"/>
        <w:rPr>
          <w:i/>
        </w:rPr>
      </w:pPr>
      <w:r w:rsidRPr="006727DC">
        <w:rPr>
          <w:i/>
        </w:rPr>
        <w:t>6th plenary meeting</w:t>
      </w:r>
    </w:p>
    <w:p w14:paraId="48CBEF0F" w14:textId="77777777" w:rsidR="00604A8B" w:rsidRPr="006727DC" w:rsidRDefault="00604A8B" w:rsidP="00604A8B">
      <w:pPr>
        <w:pStyle w:val="Normal-pool"/>
        <w:spacing w:after="120"/>
        <w:jc w:val="right"/>
        <w:rPr>
          <w:i/>
        </w:rPr>
      </w:pPr>
      <w:r w:rsidRPr="006727DC">
        <w:rPr>
          <w:i/>
        </w:rPr>
        <w:t>27 May 2016</w:t>
      </w:r>
    </w:p>
    <w:p w14:paraId="47C720E8" w14:textId="77777777" w:rsidR="00604A8B" w:rsidRPr="00AF02C8" w:rsidRDefault="00604A8B" w:rsidP="001176CB">
      <w:pPr>
        <w:pStyle w:val="Normal-pool"/>
      </w:pPr>
    </w:p>
    <w:tbl>
      <w:tblPr>
        <w:tblW w:w="0" w:type="auto"/>
        <w:tblLook w:val="04A0" w:firstRow="1" w:lastRow="0" w:firstColumn="1" w:lastColumn="0" w:noHBand="0" w:noVBand="1"/>
      </w:tblPr>
      <w:tblGrid>
        <w:gridCol w:w="1942"/>
        <w:gridCol w:w="1942"/>
        <w:gridCol w:w="1942"/>
        <w:gridCol w:w="1943"/>
        <w:gridCol w:w="1943"/>
      </w:tblGrid>
      <w:tr w:rsidR="00E976AB" w:rsidRPr="00AF02C8" w14:paraId="5226931E" w14:textId="77777777" w:rsidTr="00990918">
        <w:tc>
          <w:tcPr>
            <w:tcW w:w="1942" w:type="dxa"/>
            <w:shd w:val="clear" w:color="auto" w:fill="auto"/>
          </w:tcPr>
          <w:p w14:paraId="730D06B2" w14:textId="77777777" w:rsidR="00E976AB" w:rsidRPr="00AF02C8" w:rsidRDefault="00E976AB" w:rsidP="001176CB">
            <w:pPr>
              <w:pStyle w:val="Normal-pool"/>
              <w:spacing w:before="520"/>
            </w:pPr>
          </w:p>
        </w:tc>
        <w:tc>
          <w:tcPr>
            <w:tcW w:w="1942" w:type="dxa"/>
            <w:shd w:val="clear" w:color="auto" w:fill="auto"/>
          </w:tcPr>
          <w:p w14:paraId="55C6DF49" w14:textId="77777777" w:rsidR="00E976AB" w:rsidRPr="00AF02C8" w:rsidRDefault="00E976AB" w:rsidP="001176CB">
            <w:pPr>
              <w:pStyle w:val="Normal-pool"/>
              <w:spacing w:before="520"/>
            </w:pPr>
          </w:p>
        </w:tc>
        <w:tc>
          <w:tcPr>
            <w:tcW w:w="1942" w:type="dxa"/>
            <w:tcBorders>
              <w:bottom w:val="single" w:sz="4" w:space="0" w:color="auto"/>
            </w:tcBorders>
            <w:shd w:val="clear" w:color="auto" w:fill="auto"/>
          </w:tcPr>
          <w:p w14:paraId="4970E0D7" w14:textId="77777777" w:rsidR="00E976AB" w:rsidRPr="00AF02C8" w:rsidRDefault="00E976AB" w:rsidP="001176CB">
            <w:pPr>
              <w:pStyle w:val="Normal-pool"/>
              <w:spacing w:before="520"/>
            </w:pPr>
          </w:p>
        </w:tc>
        <w:tc>
          <w:tcPr>
            <w:tcW w:w="1943" w:type="dxa"/>
            <w:shd w:val="clear" w:color="auto" w:fill="auto"/>
          </w:tcPr>
          <w:p w14:paraId="0A6E7279" w14:textId="77777777" w:rsidR="00E976AB" w:rsidRPr="00AF02C8" w:rsidRDefault="00E976AB" w:rsidP="001176CB">
            <w:pPr>
              <w:pStyle w:val="Normal-pool"/>
              <w:spacing w:before="520"/>
            </w:pPr>
          </w:p>
        </w:tc>
        <w:tc>
          <w:tcPr>
            <w:tcW w:w="1943" w:type="dxa"/>
            <w:shd w:val="clear" w:color="auto" w:fill="auto"/>
          </w:tcPr>
          <w:p w14:paraId="4A2A41AE" w14:textId="77777777" w:rsidR="00E976AB" w:rsidRPr="00AF02C8" w:rsidRDefault="00E976AB" w:rsidP="001176CB">
            <w:pPr>
              <w:pStyle w:val="Normal-pool"/>
              <w:spacing w:before="520"/>
            </w:pPr>
          </w:p>
        </w:tc>
      </w:tr>
    </w:tbl>
    <w:p w14:paraId="2CE6B6BF" w14:textId="77777777" w:rsidR="00032E4E" w:rsidRPr="00AF02C8" w:rsidRDefault="00032E4E" w:rsidP="001176CB">
      <w:pPr>
        <w:pStyle w:val="Normal-pool"/>
      </w:pPr>
    </w:p>
    <w:sectPr w:rsidR="00032E4E" w:rsidRPr="00AF02C8" w:rsidSect="00C771A9">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E0C5D" w14:textId="77777777" w:rsidR="001B1877" w:rsidRDefault="001B1877">
      <w:r>
        <w:separator/>
      </w:r>
    </w:p>
  </w:endnote>
  <w:endnote w:type="continuationSeparator" w:id="0">
    <w:p w14:paraId="69201AA7" w14:textId="77777777" w:rsidR="001B1877" w:rsidRDefault="001B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96234"/>
      <w:docPartObj>
        <w:docPartGallery w:val="Page Numbers (Bottom of Page)"/>
        <w:docPartUnique/>
      </w:docPartObj>
    </w:sdtPr>
    <w:sdtEndPr>
      <w:rPr>
        <w:b/>
        <w:noProof/>
        <w:sz w:val="18"/>
        <w:szCs w:val="18"/>
      </w:rPr>
    </w:sdtEndPr>
    <w:sdtContent>
      <w:p w14:paraId="02488EE4" w14:textId="77777777" w:rsidR="001B1877" w:rsidRPr="00034F89" w:rsidRDefault="001B1877" w:rsidP="00034F89">
        <w:pPr>
          <w:pStyle w:val="Normal-pool"/>
          <w:rPr>
            <w:b/>
            <w:sz w:val="18"/>
            <w:szCs w:val="18"/>
          </w:rPr>
        </w:pPr>
        <w:r w:rsidRPr="00034F89">
          <w:rPr>
            <w:b/>
            <w:sz w:val="18"/>
            <w:szCs w:val="18"/>
          </w:rPr>
          <w:fldChar w:fldCharType="begin"/>
        </w:r>
        <w:r w:rsidRPr="00034F89">
          <w:rPr>
            <w:b/>
            <w:sz w:val="18"/>
            <w:szCs w:val="18"/>
          </w:rPr>
          <w:instrText xml:space="preserve"> PAGE   \* MERGEFORMAT </w:instrText>
        </w:r>
        <w:r w:rsidRPr="00034F89">
          <w:rPr>
            <w:b/>
            <w:sz w:val="18"/>
            <w:szCs w:val="18"/>
          </w:rPr>
          <w:fldChar w:fldCharType="separate"/>
        </w:r>
        <w:r>
          <w:rPr>
            <w:b/>
            <w:noProof/>
            <w:sz w:val="18"/>
            <w:szCs w:val="18"/>
          </w:rPr>
          <w:t>2</w:t>
        </w:r>
        <w:r w:rsidRPr="00034F89">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82582"/>
      <w:docPartObj>
        <w:docPartGallery w:val="Page Numbers (Bottom of Page)"/>
        <w:docPartUnique/>
      </w:docPartObj>
    </w:sdtPr>
    <w:sdtEndPr>
      <w:rPr>
        <w:noProof/>
      </w:rPr>
    </w:sdtEndPr>
    <w:sdtContent>
      <w:p w14:paraId="3C59B799" w14:textId="77777777" w:rsidR="001B1877" w:rsidRDefault="001B1877" w:rsidP="00F30C06">
        <w:pPr>
          <w:pStyle w:val="Normal-pool"/>
          <w:jc w:val="right"/>
        </w:pPr>
        <w:r w:rsidRPr="00F30C06">
          <w:rPr>
            <w:b/>
            <w:sz w:val="18"/>
            <w:szCs w:val="18"/>
          </w:rPr>
          <w:fldChar w:fldCharType="begin"/>
        </w:r>
        <w:r w:rsidRPr="00F30C06">
          <w:rPr>
            <w:b/>
            <w:sz w:val="18"/>
            <w:szCs w:val="18"/>
          </w:rPr>
          <w:instrText xml:space="preserve"> PAGE   \* MERGEFORMAT </w:instrText>
        </w:r>
        <w:r w:rsidRPr="00F30C06">
          <w:rPr>
            <w:b/>
            <w:sz w:val="18"/>
            <w:szCs w:val="18"/>
          </w:rPr>
          <w:fldChar w:fldCharType="separate"/>
        </w:r>
        <w:r w:rsidRPr="00604A8B">
          <w:rPr>
            <w:b/>
            <w:noProof/>
            <w:szCs w:val="18"/>
          </w:rPr>
          <w:t>11</w:t>
        </w:r>
        <w:r w:rsidRPr="00F30C06">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B8C57" w14:textId="731DFE5F" w:rsidR="001B1877" w:rsidRPr="0069746B" w:rsidRDefault="001B1877" w:rsidP="00F30C06">
    <w:pPr>
      <w:pStyle w:val="Normal-pool"/>
    </w:pPr>
    <w:r>
      <w:t>K1707495</w:t>
    </w:r>
    <w:r>
      <w:tab/>
    </w:r>
    <w:r w:rsidR="00FE009C">
      <w:t>18</w:t>
    </w:r>
    <w:r>
      <w:t>0817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E04E" w14:textId="29F49CFD" w:rsidR="001B1877" w:rsidRDefault="001B1877">
    <w:pPr>
      <w:pStyle w:val="Footer"/>
    </w:pPr>
    <w:r>
      <w:rPr>
        <w:rStyle w:val="PageNumber"/>
      </w:rPr>
      <w:fldChar w:fldCharType="begin"/>
    </w:r>
    <w:r>
      <w:rPr>
        <w:rStyle w:val="PageNumber"/>
      </w:rPr>
      <w:instrText xml:space="preserve"> PAGE </w:instrText>
    </w:r>
    <w:r>
      <w:rPr>
        <w:rStyle w:val="PageNumber"/>
      </w:rPr>
      <w:fldChar w:fldCharType="separate"/>
    </w:r>
    <w:r w:rsidR="0032368A">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ECB18" w14:textId="239F5B0E" w:rsidR="001B1877" w:rsidRDefault="001B1877"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32368A">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311625133"/>
      <w:docPartObj>
        <w:docPartGallery w:val="Page Numbers (Bottom of Page)"/>
        <w:docPartUnique/>
      </w:docPartObj>
    </w:sdtPr>
    <w:sdtEndPr>
      <w:rPr>
        <w:noProof/>
      </w:rPr>
    </w:sdtEndPr>
    <w:sdtContent>
      <w:p w14:paraId="4C397781" w14:textId="660EB8C2" w:rsidR="001B1877" w:rsidRPr="00F30C06" w:rsidRDefault="001B1877" w:rsidP="00F30C06">
        <w:pPr>
          <w:pStyle w:val="Normal-pool"/>
          <w:rPr>
            <w:b/>
            <w:szCs w:val="18"/>
          </w:rPr>
        </w:pPr>
        <w:r w:rsidRPr="00F30C06">
          <w:rPr>
            <w:b/>
            <w:sz w:val="18"/>
            <w:szCs w:val="18"/>
          </w:rPr>
          <w:fldChar w:fldCharType="begin"/>
        </w:r>
        <w:r w:rsidRPr="00F30C06">
          <w:rPr>
            <w:b/>
            <w:sz w:val="18"/>
            <w:szCs w:val="18"/>
          </w:rPr>
          <w:instrText xml:space="preserve"> PAGE   \* MERGEFORMAT </w:instrText>
        </w:r>
        <w:r w:rsidRPr="00F30C06">
          <w:rPr>
            <w:b/>
            <w:sz w:val="18"/>
            <w:szCs w:val="18"/>
          </w:rPr>
          <w:fldChar w:fldCharType="separate"/>
        </w:r>
        <w:r w:rsidR="0032368A" w:rsidRPr="0032368A">
          <w:rPr>
            <w:b/>
            <w:noProof/>
            <w:szCs w:val="18"/>
          </w:rPr>
          <w:t>2</w:t>
        </w:r>
        <w:r w:rsidRPr="00F30C0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1803D" w14:textId="77777777" w:rsidR="001B1877" w:rsidRPr="00F30C06" w:rsidRDefault="001B1877" w:rsidP="00F30C06">
      <w:pPr>
        <w:spacing w:before="60"/>
        <w:ind w:left="624"/>
        <w:rPr>
          <w:sz w:val="18"/>
          <w:szCs w:val="18"/>
        </w:rPr>
      </w:pPr>
      <w:r w:rsidRPr="00F30C06">
        <w:rPr>
          <w:sz w:val="18"/>
          <w:szCs w:val="18"/>
        </w:rPr>
        <w:separator/>
      </w:r>
    </w:p>
  </w:footnote>
  <w:footnote w:type="continuationSeparator" w:id="0">
    <w:p w14:paraId="24E7069A" w14:textId="77777777" w:rsidR="001B1877" w:rsidRDefault="001B1877">
      <w:r>
        <w:continuationSeparator/>
      </w:r>
    </w:p>
  </w:footnote>
  <w:footnote w:id="1">
    <w:p w14:paraId="5848A4C3" w14:textId="77777777" w:rsidR="001B1877" w:rsidRPr="006E1B8C" w:rsidRDefault="001B1877" w:rsidP="00604A8B">
      <w:pPr>
        <w:tabs>
          <w:tab w:val="clear" w:pos="1247"/>
          <w:tab w:val="clear" w:pos="1814"/>
          <w:tab w:val="clear" w:pos="2381"/>
          <w:tab w:val="clear" w:pos="2948"/>
          <w:tab w:val="clear" w:pos="3515"/>
          <w:tab w:val="left" w:pos="624"/>
        </w:tabs>
        <w:spacing w:before="20" w:after="40"/>
        <w:ind w:left="1247"/>
        <w:rPr>
          <w:sz w:val="18"/>
          <w:szCs w:val="18"/>
        </w:rPr>
      </w:pPr>
      <w:r w:rsidRPr="006E1B8C">
        <w:rPr>
          <w:sz w:val="18"/>
          <w:szCs w:val="18"/>
        </w:rPr>
        <w:t>*UNEP/MC/COP.1/1.</w:t>
      </w:r>
    </w:p>
  </w:footnote>
  <w:footnote w:id="2">
    <w:p w14:paraId="4801EC1F" w14:textId="77777777" w:rsidR="001B1877" w:rsidRPr="00F8261E" w:rsidRDefault="001B1877" w:rsidP="00604A8B">
      <w:pPr>
        <w:pStyle w:val="FootnoteText"/>
        <w:tabs>
          <w:tab w:val="clear" w:pos="1247"/>
          <w:tab w:val="clear" w:pos="1814"/>
          <w:tab w:val="clear" w:pos="2381"/>
          <w:tab w:val="clear" w:pos="2948"/>
          <w:tab w:val="clear" w:pos="3515"/>
          <w:tab w:val="clear" w:pos="4082"/>
        </w:tabs>
        <w:rPr>
          <w:szCs w:val="18"/>
          <w:lang w:val="en-GB"/>
        </w:rPr>
      </w:pPr>
      <w:r w:rsidRPr="00F8261E">
        <w:rPr>
          <w:rStyle w:val="FootnoteReference"/>
          <w:rFonts w:eastAsia="MS Mincho"/>
          <w:sz w:val="18"/>
          <w:lang w:val="en-GB"/>
        </w:rPr>
        <w:footnoteRef/>
      </w:r>
      <w:r w:rsidRPr="00F8261E">
        <w:rPr>
          <w:szCs w:val="18"/>
          <w:lang w:val="en-GB"/>
        </w:rPr>
        <w:t xml:space="preserve"> </w:t>
      </w:r>
      <w:r w:rsidRPr="00F8261E">
        <w:rPr>
          <w:rFonts w:eastAsia="Calibri"/>
          <w:szCs w:val="18"/>
          <w:shd w:val="clear" w:color="auto" w:fill="FFFFFF"/>
          <w:lang w:val="en-GB"/>
        </w:rPr>
        <w:t>UNEP/E.A.2/11.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84A75" w14:textId="29FD4BF0" w:rsidR="001B1877" w:rsidRDefault="001B1877" w:rsidP="00034F89">
    <w:pPr>
      <w:pStyle w:val="Header"/>
    </w:pPr>
    <w:r w:rsidRPr="00BF30CD">
      <w:t>UNEP/MC/COP.1/5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3731" w14:textId="7556EE02" w:rsidR="001B1877" w:rsidRDefault="001B1877" w:rsidP="00F30C06">
    <w:pPr>
      <w:pStyle w:val="Header"/>
      <w:jc w:val="right"/>
    </w:pPr>
    <w:r w:rsidRPr="00BF30CD">
      <w:t>UNEP/MC/COP.1/5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44DD7" w14:textId="5E1014DD" w:rsidR="001B1877" w:rsidRDefault="001B1877" w:rsidP="008E014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0FBD" w14:textId="439FF053" w:rsidR="001B1877" w:rsidRPr="00CA5CA9" w:rsidRDefault="001B1877" w:rsidP="001646EA">
    <w:pPr>
      <w:pStyle w:val="Header"/>
      <w:rPr>
        <w:szCs w:val="18"/>
      </w:rPr>
    </w:pPr>
    <w:r w:rsidRPr="008E0141">
      <w:rPr>
        <w:bCs/>
        <w:szCs w:val="18"/>
      </w:rPr>
      <w:t>UNEP</w:t>
    </w:r>
    <w:r w:rsidRPr="008E0141">
      <w:rPr>
        <w:szCs w:val="18"/>
      </w:rPr>
      <w:t>/MC/COP.1/</w:t>
    </w:r>
    <w:r w:rsidR="00FE009C">
      <w:rPr>
        <w:szCs w:val="18"/>
      </w:rPr>
      <w:t>INF/9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D19A" w14:textId="04661418" w:rsidR="001B1877" w:rsidRPr="00CA5CA9" w:rsidRDefault="001B1877" w:rsidP="00035EDE">
    <w:pPr>
      <w:pStyle w:val="Header"/>
      <w:jc w:val="right"/>
      <w:rPr>
        <w:szCs w:val="18"/>
      </w:rPr>
    </w:pPr>
    <w:r w:rsidRPr="001176CB">
      <w:rPr>
        <w:bCs/>
        <w:szCs w:val="18"/>
      </w:rPr>
      <w:t>UNEP</w:t>
    </w:r>
    <w:r>
      <w:rPr>
        <w:szCs w:val="18"/>
      </w:rPr>
      <w:t>/MC/COP.1/INF/9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4382" w14:textId="22BC34CF" w:rsidR="001B1877" w:rsidRDefault="001B1877" w:rsidP="00F30C06">
    <w:pPr>
      <w:pStyle w:val="Header"/>
    </w:pPr>
    <w:r>
      <w:t>UNEP/MC/COP.1/INF/9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nsid w:val="073D51BA"/>
    <w:multiLevelType w:val="hybridMultilevel"/>
    <w:tmpl w:val="29B2D844"/>
    <w:numStyleLink w:val="Importeradestilen6"/>
  </w:abstractNum>
  <w:abstractNum w:abstractNumId="2">
    <w:nsid w:val="09954754"/>
    <w:multiLevelType w:val="hybridMultilevel"/>
    <w:tmpl w:val="4712E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6391C"/>
    <w:multiLevelType w:val="hybridMultilevel"/>
    <w:tmpl w:val="81E0EFB8"/>
    <w:numStyleLink w:val="Importeradestilen5"/>
  </w:abstractNum>
  <w:abstractNum w:abstractNumId="4">
    <w:nsid w:val="16D77931"/>
    <w:multiLevelType w:val="hybridMultilevel"/>
    <w:tmpl w:val="2252FF10"/>
    <w:lvl w:ilvl="0" w:tplc="C2885D8E">
      <w:start w:val="1"/>
      <w:numFmt w:val="decimal"/>
      <w:lvlText w:val="%1."/>
      <w:lvlJc w:val="left"/>
      <w:pPr>
        <w:ind w:left="984" w:hanging="360"/>
      </w:pPr>
      <w:rPr>
        <w:b w:val="0"/>
        <w:i w:val="0"/>
        <w:color w:val="000000" w:themeColor="text1"/>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nsid w:val="19D95965"/>
    <w:multiLevelType w:val="hybridMultilevel"/>
    <w:tmpl w:val="F044000E"/>
    <w:numStyleLink w:val="Importeradestilen8"/>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8">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9">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2">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13">
    <w:nsid w:val="4A0608AF"/>
    <w:multiLevelType w:val="hybridMultilevel"/>
    <w:tmpl w:val="156885FC"/>
    <w:numStyleLink w:val="Importeradestilen3"/>
  </w:abstractNum>
  <w:abstractNum w:abstractNumId="14">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52A66A9D"/>
    <w:multiLevelType w:val="multilevel"/>
    <w:tmpl w:val="4D52D7A0"/>
    <w:styleLink w:val="Normallist"/>
    <w:lvl w:ilvl="0">
      <w:start w:val="1"/>
      <w:numFmt w:val="decimal"/>
      <w:pStyle w:val="Normalnumber"/>
      <w:lvlText w:val="%1."/>
      <w:lvlJc w:val="left"/>
      <w:pPr>
        <w:tabs>
          <w:tab w:val="num" w:pos="2497"/>
        </w:tabs>
        <w:ind w:left="2610" w:firstLine="0"/>
      </w:pPr>
      <w:rPr>
        <w:rFonts w:hint="default"/>
      </w:rPr>
    </w:lvl>
    <w:lvl w:ilvl="1">
      <w:start w:val="1"/>
      <w:numFmt w:val="lowerLetter"/>
      <w:lvlText w:val="(%2)"/>
      <w:lvlJc w:val="left"/>
      <w:pPr>
        <w:tabs>
          <w:tab w:val="num" w:pos="2497"/>
        </w:tabs>
        <w:ind w:left="2610" w:firstLine="567"/>
      </w:pPr>
      <w:rPr>
        <w:rFonts w:hint="default"/>
      </w:rPr>
    </w:lvl>
    <w:lvl w:ilvl="2">
      <w:start w:val="1"/>
      <w:numFmt w:val="lowerRoman"/>
      <w:lvlText w:val="(%3)"/>
      <w:lvlJc w:val="left"/>
      <w:pPr>
        <w:tabs>
          <w:tab w:val="num" w:pos="2497"/>
        </w:tabs>
        <w:ind w:left="4311" w:hanging="567"/>
      </w:pPr>
      <w:rPr>
        <w:rFonts w:hint="default"/>
      </w:rPr>
    </w:lvl>
    <w:lvl w:ilvl="3">
      <w:start w:val="1"/>
      <w:numFmt w:val="lowerLetter"/>
      <w:lvlText w:val="%4."/>
      <w:lvlJc w:val="left"/>
      <w:pPr>
        <w:tabs>
          <w:tab w:val="num" w:pos="2497"/>
        </w:tabs>
        <w:ind w:left="4878" w:hanging="567"/>
      </w:pPr>
      <w:rPr>
        <w:rFonts w:hint="default"/>
      </w:rPr>
    </w:lvl>
    <w:lvl w:ilvl="4">
      <w:start w:val="1"/>
      <w:numFmt w:val="lowerRoman"/>
      <w:lvlText w:val="%5."/>
      <w:lvlJc w:val="left"/>
      <w:pPr>
        <w:tabs>
          <w:tab w:val="num" w:pos="2497"/>
        </w:tabs>
        <w:ind w:left="5445" w:hanging="567"/>
      </w:pPr>
      <w:rPr>
        <w:rFonts w:hint="default"/>
      </w:rPr>
    </w:lvl>
    <w:lvl w:ilvl="5">
      <w:start w:val="1"/>
      <w:numFmt w:val="lowerRoman"/>
      <w:lvlText w:val="%6."/>
      <w:lvlJc w:val="right"/>
      <w:pPr>
        <w:tabs>
          <w:tab w:val="num" w:pos="9198"/>
        </w:tabs>
        <w:ind w:left="9198" w:hanging="180"/>
      </w:pPr>
      <w:rPr>
        <w:rFonts w:hint="default"/>
      </w:rPr>
    </w:lvl>
    <w:lvl w:ilvl="6">
      <w:start w:val="1"/>
      <w:numFmt w:val="decimal"/>
      <w:lvlText w:val="%7."/>
      <w:lvlJc w:val="left"/>
      <w:pPr>
        <w:tabs>
          <w:tab w:val="num" w:pos="9918"/>
        </w:tabs>
        <w:ind w:left="9918" w:hanging="360"/>
      </w:pPr>
      <w:rPr>
        <w:rFonts w:hint="default"/>
      </w:rPr>
    </w:lvl>
    <w:lvl w:ilvl="7">
      <w:start w:val="1"/>
      <w:numFmt w:val="lowerLetter"/>
      <w:lvlText w:val="%8."/>
      <w:lvlJc w:val="left"/>
      <w:pPr>
        <w:tabs>
          <w:tab w:val="num" w:pos="10638"/>
        </w:tabs>
        <w:ind w:left="10638" w:hanging="360"/>
      </w:pPr>
      <w:rPr>
        <w:rFonts w:hint="default"/>
      </w:rPr>
    </w:lvl>
    <w:lvl w:ilvl="8">
      <w:start w:val="1"/>
      <w:numFmt w:val="lowerRoman"/>
      <w:lvlText w:val="%9."/>
      <w:lvlJc w:val="right"/>
      <w:pPr>
        <w:tabs>
          <w:tab w:val="num" w:pos="11358"/>
        </w:tabs>
        <w:ind w:left="11358" w:hanging="180"/>
      </w:pPr>
      <w:rPr>
        <w:rFonts w:hint="default"/>
      </w:rPr>
    </w:lvl>
  </w:abstractNum>
  <w:abstractNum w:abstractNumId="16">
    <w:nsid w:val="58AA3667"/>
    <w:multiLevelType w:val="hybridMultilevel"/>
    <w:tmpl w:val="A72A60C0"/>
    <w:numStyleLink w:val="Importeradestilen7"/>
  </w:abstractNum>
  <w:abstractNum w:abstractNumId="17">
    <w:nsid w:val="5BF5183E"/>
    <w:multiLevelType w:val="hybridMultilevel"/>
    <w:tmpl w:val="686C86F4"/>
    <w:numStyleLink w:val="Importeradestilen4"/>
  </w:abstractNum>
  <w:abstractNum w:abstractNumId="18">
    <w:nsid w:val="5E216D7B"/>
    <w:multiLevelType w:val="hybridMultilevel"/>
    <w:tmpl w:val="0B422B62"/>
    <w:numStyleLink w:val="Importeradestilen9"/>
  </w:abstractNum>
  <w:abstractNum w:abstractNumId="19">
    <w:nsid w:val="636C7C8C"/>
    <w:multiLevelType w:val="multilevel"/>
    <w:tmpl w:val="BAF6173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6CF3645A"/>
    <w:multiLevelType w:val="multilevel"/>
    <w:tmpl w:val="52029FE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23">
    <w:nsid w:val="716636F5"/>
    <w:multiLevelType w:val="multilevel"/>
    <w:tmpl w:val="3EE67F0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25">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2">
    <w:abstractNumId w:val="6"/>
  </w:num>
  <w:num w:numId="3">
    <w:abstractNumId w:val="10"/>
  </w:num>
  <w:num w:numId="4">
    <w:abstractNumId w:val="15"/>
  </w:num>
  <w:num w:numId="5">
    <w:abstractNumId w:val="15"/>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
    <w:abstractNumId w:val="9"/>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25"/>
  </w:num>
  <w:num w:numId="23">
    <w:abstractNumId w:val="14"/>
  </w:num>
  <w:num w:numId="24">
    <w:abstractNumId w:val="20"/>
  </w:num>
  <w:num w:numId="25">
    <w:abstractNumId w:val="24"/>
  </w:num>
  <w:num w:numId="26">
    <w:abstractNumId w:val="13"/>
  </w:num>
  <w:num w:numId="27">
    <w:abstractNumId w:val="0"/>
  </w:num>
  <w:num w:numId="28">
    <w:abstractNumId w:val="17"/>
  </w:num>
  <w:num w:numId="29">
    <w:abstractNumId w:val="8"/>
  </w:num>
  <w:num w:numId="30">
    <w:abstractNumId w:val="3"/>
  </w:num>
  <w:num w:numId="31">
    <w:abstractNumId w:val="11"/>
  </w:num>
  <w:num w:numId="32">
    <w:abstractNumId w:val="1"/>
  </w:num>
  <w:num w:numId="33">
    <w:abstractNumId w:val="22"/>
  </w:num>
  <w:num w:numId="34">
    <w:abstractNumId w:val="16"/>
  </w:num>
  <w:num w:numId="35">
    <w:abstractNumId w:val="1"/>
    <w:lvlOverride w:ilvl="0">
      <w:startOverride w:val="10"/>
      <w:lvl w:ilvl="0" w:tplc="ECB8E91E">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CF14E656">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1B74B7F8">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5C14C806">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1A78D954">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F612CD48">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D5548CA4">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D5465882">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FB6CF4AC">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36">
    <w:abstractNumId w:val="12"/>
  </w:num>
  <w:num w:numId="37">
    <w:abstractNumId w:val="5"/>
  </w:num>
  <w:num w:numId="38">
    <w:abstractNumId w:val="1"/>
    <w:lvlOverride w:ilvl="0">
      <w:startOverride w:val="12"/>
    </w:lvlOverride>
  </w:num>
  <w:num w:numId="39">
    <w:abstractNumId w:val="7"/>
  </w:num>
  <w:num w:numId="40">
    <w:abstractNumId w:val="18"/>
  </w:num>
  <w:num w:numId="41">
    <w:abstractNumId w:val="15"/>
    <w:lvlOverride w:ilvl="0">
      <w:startOverride w:val="1"/>
      <w:lvl w:ilvl="0">
        <w:start w:val="1"/>
        <w:numFmt w:val="decimal"/>
        <w:pStyle w:val="Normalnumber"/>
        <w:lvlText w:val="%1."/>
        <w:lvlJc w:val="left"/>
        <w:pPr>
          <w:tabs>
            <w:tab w:val="num" w:pos="1305"/>
          </w:tabs>
          <w:ind w:left="1418"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19"/>
  </w:num>
  <w:num w:numId="43">
    <w:abstractNumId w:val="23"/>
  </w:num>
  <w:num w:numId="44">
    <w:abstractNumId w:val="21"/>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1">
      <w:lvl w:ilvl="1">
        <w:start w:val="1"/>
        <w:numFmt w:val="lowerLetter"/>
        <w:lvlText w:val="(%2)"/>
        <w:lvlJc w:val="left"/>
        <w:pPr>
          <w:tabs>
            <w:tab w:val="num" w:pos="1134"/>
          </w:tabs>
          <w:ind w:left="1247" w:firstLine="567"/>
        </w:pPr>
        <w:rPr>
          <w:rFonts w:hint="default"/>
        </w:rPr>
      </w:lvl>
    </w:lvlOverride>
  </w:num>
  <w:num w:numId="48">
    <w:abstractNumId w:val="15"/>
    <w:lvlOverride w:ilvl="1">
      <w:lvl w:ilvl="1">
        <w:start w:val="1"/>
        <w:numFmt w:val="lowerLetter"/>
        <w:lvlText w:val="(%2)"/>
        <w:lvlJc w:val="left"/>
        <w:pPr>
          <w:tabs>
            <w:tab w:val="num" w:pos="1134"/>
          </w:tabs>
          <w:ind w:left="1247" w:firstLine="567"/>
        </w:pPr>
        <w:rPr>
          <w:rFonts w:hint="default"/>
        </w:rPr>
      </w:lvl>
    </w:lvlOverride>
  </w:num>
  <w:num w:numId="49">
    <w:abstractNumId w:val="15"/>
    <w:lvlOverride w:ilvl="1">
      <w:lvl w:ilvl="1">
        <w:start w:val="1"/>
        <w:numFmt w:val="lowerLetter"/>
        <w:lvlText w:val="(%2)"/>
        <w:lvlJc w:val="left"/>
        <w:pPr>
          <w:tabs>
            <w:tab w:val="num" w:pos="1134"/>
          </w:tabs>
          <w:ind w:left="1247" w:firstLine="567"/>
        </w:pPr>
        <w:rPr>
          <w:rFonts w:hint="default"/>
        </w:rPr>
      </w:lvl>
    </w:lvlOverride>
  </w:num>
  <w:num w:numId="50">
    <w:abstractNumId w:val="15"/>
    <w:lvlOverride w:ilvl="1">
      <w:lvl w:ilvl="1">
        <w:start w:val="1"/>
        <w:numFmt w:val="lowerLetter"/>
        <w:lvlText w:val="(%2)"/>
        <w:lvlJc w:val="left"/>
        <w:pPr>
          <w:tabs>
            <w:tab w:val="num" w:pos="1134"/>
          </w:tabs>
          <w:ind w:left="1247" w:firstLine="567"/>
        </w:pPr>
        <w:rPr>
          <w:rFonts w:hint="default"/>
        </w:rPr>
      </w:lvl>
    </w:lvlOverride>
  </w:num>
  <w:num w:numId="51">
    <w:abstractNumId w:val="15"/>
    <w:lvlOverride w:ilvl="1">
      <w:lvl w:ilvl="1">
        <w:start w:val="1"/>
        <w:numFmt w:val="lowerLetter"/>
        <w:lvlText w:val="(%2)"/>
        <w:lvlJc w:val="left"/>
        <w:pPr>
          <w:tabs>
            <w:tab w:val="num" w:pos="1134"/>
          </w:tabs>
          <w:ind w:left="1247" w:firstLine="567"/>
        </w:pPr>
        <w:rPr>
          <w:rFonts w:hint="default"/>
        </w:rPr>
      </w:lvl>
    </w:lvlOverride>
  </w:num>
  <w:num w:numId="52">
    <w:abstractNumId w:val="15"/>
    <w:lvlOverride w:ilvl="1">
      <w:lvl w:ilvl="1">
        <w:start w:val="1"/>
        <w:numFmt w:val="lowerLetter"/>
        <w:lvlText w:val="(%2)"/>
        <w:lvlJc w:val="left"/>
        <w:pPr>
          <w:tabs>
            <w:tab w:val="num" w:pos="1134"/>
          </w:tabs>
          <w:ind w:left="1247" w:firstLine="567"/>
        </w:pPr>
        <w:rPr>
          <w:rFonts w:hint="default"/>
        </w:rPr>
      </w:lvl>
    </w:lvlOverride>
  </w:num>
  <w:num w:numId="53">
    <w:abstractNumId w:val="15"/>
    <w:lvlOverride w:ilvl="1">
      <w:lvl w:ilvl="1">
        <w:start w:val="1"/>
        <w:numFmt w:val="lowerLetter"/>
        <w:lvlText w:val="(%2)"/>
        <w:lvlJc w:val="left"/>
        <w:pPr>
          <w:tabs>
            <w:tab w:val="num" w:pos="1134"/>
          </w:tabs>
          <w:ind w:left="1247" w:firstLine="567"/>
        </w:pPr>
        <w:rPr>
          <w:rFonts w:hint="default"/>
        </w:rPr>
      </w:lvl>
    </w:lvlOverride>
  </w:num>
  <w:num w:numId="54">
    <w:abstractNumId w:val="15"/>
    <w:lvlOverride w:ilvl="1">
      <w:lvl w:ilvl="1">
        <w:start w:val="1"/>
        <w:numFmt w:val="lowerLetter"/>
        <w:lvlText w:val="(%2)"/>
        <w:lvlJc w:val="left"/>
        <w:pPr>
          <w:tabs>
            <w:tab w:val="num" w:pos="1134"/>
          </w:tabs>
          <w:ind w:left="1247" w:firstLine="567"/>
        </w:pPr>
        <w:rPr>
          <w:rFonts w:hint="default"/>
        </w:rPr>
      </w:lvl>
    </w:lvlOverride>
  </w:num>
  <w:num w:numId="55">
    <w:abstractNumId w:val="15"/>
    <w:lvlOverride w:ilvl="1">
      <w:lvl w:ilvl="1">
        <w:start w:val="1"/>
        <w:numFmt w:val="lowerLetter"/>
        <w:lvlText w:val="(%2)"/>
        <w:lvlJc w:val="left"/>
        <w:pPr>
          <w:tabs>
            <w:tab w:val="num" w:pos="1134"/>
          </w:tabs>
          <w:ind w:left="1247" w:firstLine="567"/>
        </w:pPr>
        <w:rPr>
          <w:rFonts w:hint="default"/>
        </w:rPr>
      </w:lvl>
    </w:lvlOverride>
  </w:num>
  <w:num w:numId="56">
    <w:abstractNumId w:val="15"/>
    <w:lvlOverride w:ilvl="1">
      <w:lvl w:ilvl="1">
        <w:start w:val="1"/>
        <w:numFmt w:val="lowerLetter"/>
        <w:lvlText w:val="(%2)"/>
        <w:lvlJc w:val="left"/>
        <w:pPr>
          <w:tabs>
            <w:tab w:val="num" w:pos="1134"/>
          </w:tabs>
          <w:ind w:left="1247" w:firstLine="567"/>
        </w:pPr>
        <w:rPr>
          <w:rFonts w:hint="default"/>
        </w:rPr>
      </w:lvl>
    </w:lvlOverride>
  </w:num>
  <w:num w:numId="57">
    <w:abstractNumId w:val="15"/>
    <w:lvlOverride w:ilvl="1">
      <w:lvl w:ilvl="1">
        <w:start w:val="1"/>
        <w:numFmt w:val="lowerLetter"/>
        <w:lvlText w:val="(%2)"/>
        <w:lvlJc w:val="left"/>
        <w:pPr>
          <w:tabs>
            <w:tab w:val="num" w:pos="1134"/>
          </w:tabs>
          <w:ind w:left="1247" w:firstLine="567"/>
        </w:pPr>
        <w:rPr>
          <w:rFonts w:hint="default"/>
        </w:rPr>
      </w:lvl>
    </w:lvlOverride>
  </w:num>
  <w:num w:numId="58">
    <w:abstractNumId w:val="15"/>
    <w:lvlOverride w:ilvl="1">
      <w:lvl w:ilvl="1">
        <w:start w:val="1"/>
        <w:numFmt w:val="lowerLetter"/>
        <w:lvlText w:val="(%2)"/>
        <w:lvlJc w:val="left"/>
        <w:pPr>
          <w:tabs>
            <w:tab w:val="num" w:pos="1134"/>
          </w:tabs>
          <w:ind w:left="1247" w:firstLine="567"/>
        </w:pPr>
        <w:rPr>
          <w:rFonts w:hint="default"/>
        </w:rPr>
      </w:lvl>
    </w:lvlOverride>
  </w:num>
  <w:num w:numId="59">
    <w:abstractNumId w:val="15"/>
    <w:lvlOverride w:ilvl="1">
      <w:lvl w:ilvl="1">
        <w:start w:val="1"/>
        <w:numFmt w:val="lowerLetter"/>
        <w:lvlText w:val="(%2)"/>
        <w:lvlJc w:val="left"/>
        <w:pPr>
          <w:tabs>
            <w:tab w:val="num" w:pos="1134"/>
          </w:tabs>
          <w:ind w:left="1247" w:firstLine="567"/>
        </w:pPr>
        <w:rPr>
          <w:rFonts w:hint="default"/>
        </w:rPr>
      </w:lvl>
    </w:lvlOverride>
  </w:num>
  <w:num w:numId="60">
    <w:abstractNumId w:val="15"/>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1">
    <w:abstractNumId w:val="15"/>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2">
    <w:abstractNumId w:val="15"/>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3">
    <w:abstractNumId w:val="15"/>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4">
    <w:abstractNumId w:val="15"/>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5">
    <w:abstractNumId w:val="15"/>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6">
    <w:abstractNumId w:val="15"/>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7">
    <w:abstractNumId w:val="15"/>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8">
    <w:abstractNumId w:val="15"/>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9">
    <w:abstractNumId w:val="15"/>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70">
    <w:abstractNumId w:val="15"/>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71">
    <w:abstractNumId w:val="15"/>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72">
    <w:abstractNumId w:val="2"/>
  </w:num>
  <w:num w:numId="73">
    <w:abstractNumId w:val="4"/>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Forbes">
    <w15:presenceInfo w15:providerId="None" w15:userId="Janet Forb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8433"/>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A2"/>
    <w:rsid w:val="0000022E"/>
    <w:rsid w:val="00000E4A"/>
    <w:rsid w:val="000024A3"/>
    <w:rsid w:val="00011A16"/>
    <w:rsid w:val="000149E6"/>
    <w:rsid w:val="00023DA9"/>
    <w:rsid w:val="000247B0"/>
    <w:rsid w:val="00026997"/>
    <w:rsid w:val="00026A08"/>
    <w:rsid w:val="00032E4E"/>
    <w:rsid w:val="00033E0B"/>
    <w:rsid w:val="00034F89"/>
    <w:rsid w:val="00035EDE"/>
    <w:rsid w:val="0005059A"/>
    <w:rsid w:val="000509B4"/>
    <w:rsid w:val="0006035B"/>
    <w:rsid w:val="0006096F"/>
    <w:rsid w:val="000649C5"/>
    <w:rsid w:val="00071886"/>
    <w:rsid w:val="000742BC"/>
    <w:rsid w:val="00076CC6"/>
    <w:rsid w:val="00082A0C"/>
    <w:rsid w:val="00083504"/>
    <w:rsid w:val="0009640C"/>
    <w:rsid w:val="000B0D5D"/>
    <w:rsid w:val="000B22A2"/>
    <w:rsid w:val="000B73F9"/>
    <w:rsid w:val="000C2A52"/>
    <w:rsid w:val="000C3837"/>
    <w:rsid w:val="000D05A2"/>
    <w:rsid w:val="000D33C0"/>
    <w:rsid w:val="000D4CF6"/>
    <w:rsid w:val="000D6941"/>
    <w:rsid w:val="000F35D8"/>
    <w:rsid w:val="000F4829"/>
    <w:rsid w:val="001026CA"/>
    <w:rsid w:val="00115D7F"/>
    <w:rsid w:val="001176CB"/>
    <w:rsid w:val="001202E3"/>
    <w:rsid w:val="00123699"/>
    <w:rsid w:val="001241FB"/>
    <w:rsid w:val="0013059D"/>
    <w:rsid w:val="00136187"/>
    <w:rsid w:val="00141A55"/>
    <w:rsid w:val="0014293F"/>
    <w:rsid w:val="0014397D"/>
    <w:rsid w:val="001446A3"/>
    <w:rsid w:val="00152B6B"/>
    <w:rsid w:val="00155395"/>
    <w:rsid w:val="0015570E"/>
    <w:rsid w:val="00155858"/>
    <w:rsid w:val="00156B6B"/>
    <w:rsid w:val="00160D74"/>
    <w:rsid w:val="001646EA"/>
    <w:rsid w:val="00167D02"/>
    <w:rsid w:val="001759D8"/>
    <w:rsid w:val="00177D7F"/>
    <w:rsid w:val="00180C3F"/>
    <w:rsid w:val="00181EC8"/>
    <w:rsid w:val="00184349"/>
    <w:rsid w:val="00195F33"/>
    <w:rsid w:val="001A17FB"/>
    <w:rsid w:val="001B1617"/>
    <w:rsid w:val="001B1877"/>
    <w:rsid w:val="001B504B"/>
    <w:rsid w:val="001B6F98"/>
    <w:rsid w:val="001C191A"/>
    <w:rsid w:val="001D3874"/>
    <w:rsid w:val="001D7E75"/>
    <w:rsid w:val="001E0D73"/>
    <w:rsid w:val="001E45BD"/>
    <w:rsid w:val="001E56D2"/>
    <w:rsid w:val="001E7D56"/>
    <w:rsid w:val="001F0714"/>
    <w:rsid w:val="001F75DE"/>
    <w:rsid w:val="00200D58"/>
    <w:rsid w:val="002011C1"/>
    <w:rsid w:val="002013BE"/>
    <w:rsid w:val="00201EDC"/>
    <w:rsid w:val="002063A4"/>
    <w:rsid w:val="0021145B"/>
    <w:rsid w:val="00220C23"/>
    <w:rsid w:val="002247F6"/>
    <w:rsid w:val="00225E21"/>
    <w:rsid w:val="00226317"/>
    <w:rsid w:val="002313D6"/>
    <w:rsid w:val="00234E78"/>
    <w:rsid w:val="00243D36"/>
    <w:rsid w:val="00246151"/>
    <w:rsid w:val="00247707"/>
    <w:rsid w:val="002529C1"/>
    <w:rsid w:val="0026018E"/>
    <w:rsid w:val="00282F59"/>
    <w:rsid w:val="00286740"/>
    <w:rsid w:val="00291EAE"/>
    <w:rsid w:val="002929D8"/>
    <w:rsid w:val="002A237D"/>
    <w:rsid w:val="002A4C53"/>
    <w:rsid w:val="002B0672"/>
    <w:rsid w:val="002B247F"/>
    <w:rsid w:val="002B50D4"/>
    <w:rsid w:val="002B58BF"/>
    <w:rsid w:val="002B7AD6"/>
    <w:rsid w:val="002C145D"/>
    <w:rsid w:val="002C2C3E"/>
    <w:rsid w:val="002C533E"/>
    <w:rsid w:val="002D027F"/>
    <w:rsid w:val="002D3E15"/>
    <w:rsid w:val="002D7A85"/>
    <w:rsid w:val="002D7B60"/>
    <w:rsid w:val="002F4761"/>
    <w:rsid w:val="002F5C79"/>
    <w:rsid w:val="002F68EE"/>
    <w:rsid w:val="003019E2"/>
    <w:rsid w:val="00310BEB"/>
    <w:rsid w:val="00312CA0"/>
    <w:rsid w:val="0031413F"/>
    <w:rsid w:val="00314854"/>
    <w:rsid w:val="003148BB"/>
    <w:rsid w:val="00317976"/>
    <w:rsid w:val="00320F2F"/>
    <w:rsid w:val="0032368A"/>
    <w:rsid w:val="00325D38"/>
    <w:rsid w:val="003463B8"/>
    <w:rsid w:val="00350FE0"/>
    <w:rsid w:val="00355EA9"/>
    <w:rsid w:val="003578DE"/>
    <w:rsid w:val="00361688"/>
    <w:rsid w:val="00373E7E"/>
    <w:rsid w:val="00386FE5"/>
    <w:rsid w:val="003877D5"/>
    <w:rsid w:val="003929B8"/>
    <w:rsid w:val="00396257"/>
    <w:rsid w:val="00397EB8"/>
    <w:rsid w:val="003A4FD0"/>
    <w:rsid w:val="003A69D1"/>
    <w:rsid w:val="003A7705"/>
    <w:rsid w:val="003A77F1"/>
    <w:rsid w:val="003B1545"/>
    <w:rsid w:val="003C3219"/>
    <w:rsid w:val="003C409D"/>
    <w:rsid w:val="003C5583"/>
    <w:rsid w:val="003C5BA6"/>
    <w:rsid w:val="003C74CF"/>
    <w:rsid w:val="003D3752"/>
    <w:rsid w:val="003E35DA"/>
    <w:rsid w:val="003E455D"/>
    <w:rsid w:val="003F0E85"/>
    <w:rsid w:val="0040139E"/>
    <w:rsid w:val="00410C55"/>
    <w:rsid w:val="00416854"/>
    <w:rsid w:val="00417725"/>
    <w:rsid w:val="0042266F"/>
    <w:rsid w:val="004277C0"/>
    <w:rsid w:val="00437F26"/>
    <w:rsid w:val="00444097"/>
    <w:rsid w:val="00445487"/>
    <w:rsid w:val="00447E0D"/>
    <w:rsid w:val="00454769"/>
    <w:rsid w:val="00466991"/>
    <w:rsid w:val="0047064C"/>
    <w:rsid w:val="00475989"/>
    <w:rsid w:val="004822B7"/>
    <w:rsid w:val="0049469E"/>
    <w:rsid w:val="004A0A95"/>
    <w:rsid w:val="004A2217"/>
    <w:rsid w:val="004A24F9"/>
    <w:rsid w:val="004A42E1"/>
    <w:rsid w:val="004A5810"/>
    <w:rsid w:val="004B162C"/>
    <w:rsid w:val="004B1EB0"/>
    <w:rsid w:val="004B2ABE"/>
    <w:rsid w:val="004C3DBE"/>
    <w:rsid w:val="004C5C96"/>
    <w:rsid w:val="004D06A4"/>
    <w:rsid w:val="004F1A81"/>
    <w:rsid w:val="00502B37"/>
    <w:rsid w:val="005050D2"/>
    <w:rsid w:val="00512CC1"/>
    <w:rsid w:val="005218D9"/>
    <w:rsid w:val="00536186"/>
    <w:rsid w:val="00544CBB"/>
    <w:rsid w:val="00562DF8"/>
    <w:rsid w:val="005656D7"/>
    <w:rsid w:val="0057315F"/>
    <w:rsid w:val="00576104"/>
    <w:rsid w:val="00592B21"/>
    <w:rsid w:val="005B44BF"/>
    <w:rsid w:val="005B52AF"/>
    <w:rsid w:val="005C67C8"/>
    <w:rsid w:val="005D0249"/>
    <w:rsid w:val="005D18FA"/>
    <w:rsid w:val="005D4FD4"/>
    <w:rsid w:val="005D5272"/>
    <w:rsid w:val="005D6E8C"/>
    <w:rsid w:val="005E232C"/>
    <w:rsid w:val="005E3004"/>
    <w:rsid w:val="005F100C"/>
    <w:rsid w:val="005F68DA"/>
    <w:rsid w:val="005F6D93"/>
    <w:rsid w:val="00601BC9"/>
    <w:rsid w:val="00604A8B"/>
    <w:rsid w:val="0060773B"/>
    <w:rsid w:val="00612879"/>
    <w:rsid w:val="00613FD6"/>
    <w:rsid w:val="006157B5"/>
    <w:rsid w:val="00617224"/>
    <w:rsid w:val="0062693A"/>
    <w:rsid w:val="00626FC6"/>
    <w:rsid w:val="006303B4"/>
    <w:rsid w:val="00630ADC"/>
    <w:rsid w:val="00633D3D"/>
    <w:rsid w:val="00640539"/>
    <w:rsid w:val="00641703"/>
    <w:rsid w:val="006431A6"/>
    <w:rsid w:val="00643E3A"/>
    <w:rsid w:val="006459F6"/>
    <w:rsid w:val="006501AD"/>
    <w:rsid w:val="00651BFA"/>
    <w:rsid w:val="00654475"/>
    <w:rsid w:val="00656DF0"/>
    <w:rsid w:val="00665A4B"/>
    <w:rsid w:val="00692E2A"/>
    <w:rsid w:val="006A76F2"/>
    <w:rsid w:val="006A7F55"/>
    <w:rsid w:val="006C5226"/>
    <w:rsid w:val="006D19D4"/>
    <w:rsid w:val="006D7EFB"/>
    <w:rsid w:val="006E09A4"/>
    <w:rsid w:val="006E549D"/>
    <w:rsid w:val="006E6672"/>
    <w:rsid w:val="006E6722"/>
    <w:rsid w:val="006F7AFF"/>
    <w:rsid w:val="007027B9"/>
    <w:rsid w:val="007066B5"/>
    <w:rsid w:val="007145DA"/>
    <w:rsid w:val="00715E88"/>
    <w:rsid w:val="00734CAA"/>
    <w:rsid w:val="00742680"/>
    <w:rsid w:val="0075533C"/>
    <w:rsid w:val="00757581"/>
    <w:rsid w:val="007602F5"/>
    <w:rsid w:val="00760D36"/>
    <w:rsid w:val="007611A0"/>
    <w:rsid w:val="00773E54"/>
    <w:rsid w:val="00787688"/>
    <w:rsid w:val="007935E6"/>
    <w:rsid w:val="00796D3F"/>
    <w:rsid w:val="007A1683"/>
    <w:rsid w:val="007A5C12"/>
    <w:rsid w:val="007A7CB0"/>
    <w:rsid w:val="007B68A3"/>
    <w:rsid w:val="007C2541"/>
    <w:rsid w:val="007C258E"/>
    <w:rsid w:val="007C7C6B"/>
    <w:rsid w:val="007D66A8"/>
    <w:rsid w:val="007E003F"/>
    <w:rsid w:val="007F0CF8"/>
    <w:rsid w:val="007F62CB"/>
    <w:rsid w:val="00801EB8"/>
    <w:rsid w:val="00802727"/>
    <w:rsid w:val="008142EC"/>
    <w:rsid w:val="008164F2"/>
    <w:rsid w:val="00821395"/>
    <w:rsid w:val="00830E26"/>
    <w:rsid w:val="00843576"/>
    <w:rsid w:val="00843B64"/>
    <w:rsid w:val="008478FC"/>
    <w:rsid w:val="00851C51"/>
    <w:rsid w:val="00867BFF"/>
    <w:rsid w:val="00871542"/>
    <w:rsid w:val="00872BF6"/>
    <w:rsid w:val="0088480A"/>
    <w:rsid w:val="0088757A"/>
    <w:rsid w:val="0089431B"/>
    <w:rsid w:val="00895668"/>
    <w:rsid w:val="008957DD"/>
    <w:rsid w:val="00897D98"/>
    <w:rsid w:val="008A6DF2"/>
    <w:rsid w:val="008A7807"/>
    <w:rsid w:val="008B4CC9"/>
    <w:rsid w:val="008D75E4"/>
    <w:rsid w:val="008D7C99"/>
    <w:rsid w:val="008E0141"/>
    <w:rsid w:val="008E0FCB"/>
    <w:rsid w:val="008F6DFE"/>
    <w:rsid w:val="0090529F"/>
    <w:rsid w:val="0092178C"/>
    <w:rsid w:val="00930B88"/>
    <w:rsid w:val="00940DCC"/>
    <w:rsid w:val="0094179A"/>
    <w:rsid w:val="0094459E"/>
    <w:rsid w:val="00944DBC"/>
    <w:rsid w:val="00950977"/>
    <w:rsid w:val="00951A7B"/>
    <w:rsid w:val="009564A6"/>
    <w:rsid w:val="00957769"/>
    <w:rsid w:val="00966A53"/>
    <w:rsid w:val="00967621"/>
    <w:rsid w:val="00967E6A"/>
    <w:rsid w:val="0098452F"/>
    <w:rsid w:val="009907B9"/>
    <w:rsid w:val="00990918"/>
    <w:rsid w:val="009A34CC"/>
    <w:rsid w:val="009A3A83"/>
    <w:rsid w:val="009A6291"/>
    <w:rsid w:val="009B4A0F"/>
    <w:rsid w:val="009C11D2"/>
    <w:rsid w:val="009C6C70"/>
    <w:rsid w:val="009C7B0A"/>
    <w:rsid w:val="009D0224"/>
    <w:rsid w:val="009D0B63"/>
    <w:rsid w:val="009D5CB8"/>
    <w:rsid w:val="009E307E"/>
    <w:rsid w:val="00A04B49"/>
    <w:rsid w:val="00A07870"/>
    <w:rsid w:val="00A07C54"/>
    <w:rsid w:val="00A07F19"/>
    <w:rsid w:val="00A1348D"/>
    <w:rsid w:val="00A13C99"/>
    <w:rsid w:val="00A232EE"/>
    <w:rsid w:val="00A262D1"/>
    <w:rsid w:val="00A4175F"/>
    <w:rsid w:val="00A44411"/>
    <w:rsid w:val="00A469FA"/>
    <w:rsid w:val="00A53662"/>
    <w:rsid w:val="00A55B01"/>
    <w:rsid w:val="00A56B5B"/>
    <w:rsid w:val="00A603FF"/>
    <w:rsid w:val="00A619B6"/>
    <w:rsid w:val="00A648CA"/>
    <w:rsid w:val="00A657DD"/>
    <w:rsid w:val="00A666A6"/>
    <w:rsid w:val="00A675FD"/>
    <w:rsid w:val="00A72437"/>
    <w:rsid w:val="00A80459"/>
    <w:rsid w:val="00A8048B"/>
    <w:rsid w:val="00A80611"/>
    <w:rsid w:val="00AA5BF4"/>
    <w:rsid w:val="00AB1A8B"/>
    <w:rsid w:val="00AB5340"/>
    <w:rsid w:val="00AC0A89"/>
    <w:rsid w:val="00AC7C96"/>
    <w:rsid w:val="00AE237D"/>
    <w:rsid w:val="00AE502A"/>
    <w:rsid w:val="00AF0010"/>
    <w:rsid w:val="00AF02C8"/>
    <w:rsid w:val="00AF2C1F"/>
    <w:rsid w:val="00AF7C07"/>
    <w:rsid w:val="00B06C64"/>
    <w:rsid w:val="00B11CAC"/>
    <w:rsid w:val="00B15A29"/>
    <w:rsid w:val="00B22C93"/>
    <w:rsid w:val="00B27589"/>
    <w:rsid w:val="00B3593A"/>
    <w:rsid w:val="00B405B7"/>
    <w:rsid w:val="00B52222"/>
    <w:rsid w:val="00B531DA"/>
    <w:rsid w:val="00B54895"/>
    <w:rsid w:val="00B54FE7"/>
    <w:rsid w:val="00B647C6"/>
    <w:rsid w:val="00B655F9"/>
    <w:rsid w:val="00B66901"/>
    <w:rsid w:val="00B71E6D"/>
    <w:rsid w:val="00B72070"/>
    <w:rsid w:val="00B779E1"/>
    <w:rsid w:val="00B81E3A"/>
    <w:rsid w:val="00B84FE8"/>
    <w:rsid w:val="00B85CFB"/>
    <w:rsid w:val="00B91EE1"/>
    <w:rsid w:val="00B94602"/>
    <w:rsid w:val="00BA0090"/>
    <w:rsid w:val="00BA1A67"/>
    <w:rsid w:val="00BA6A80"/>
    <w:rsid w:val="00BB4ABB"/>
    <w:rsid w:val="00BE5B5F"/>
    <w:rsid w:val="00BE7993"/>
    <w:rsid w:val="00C13752"/>
    <w:rsid w:val="00C257AF"/>
    <w:rsid w:val="00C26F55"/>
    <w:rsid w:val="00C30C63"/>
    <w:rsid w:val="00C30FF3"/>
    <w:rsid w:val="00C36B8B"/>
    <w:rsid w:val="00C37363"/>
    <w:rsid w:val="00C415C1"/>
    <w:rsid w:val="00C47DBF"/>
    <w:rsid w:val="00C552FF"/>
    <w:rsid w:val="00C558DA"/>
    <w:rsid w:val="00C55AF3"/>
    <w:rsid w:val="00C771A9"/>
    <w:rsid w:val="00C84759"/>
    <w:rsid w:val="00CA5CA9"/>
    <w:rsid w:val="00CA6C7F"/>
    <w:rsid w:val="00CA7D30"/>
    <w:rsid w:val="00CC0FC7"/>
    <w:rsid w:val="00CC10A6"/>
    <w:rsid w:val="00CD5EB8"/>
    <w:rsid w:val="00CD7044"/>
    <w:rsid w:val="00CE08B9"/>
    <w:rsid w:val="00CE524C"/>
    <w:rsid w:val="00CF141F"/>
    <w:rsid w:val="00CF4777"/>
    <w:rsid w:val="00CF65C8"/>
    <w:rsid w:val="00D013F5"/>
    <w:rsid w:val="00D05E3F"/>
    <w:rsid w:val="00D067BB"/>
    <w:rsid w:val="00D1352A"/>
    <w:rsid w:val="00D169AF"/>
    <w:rsid w:val="00D22144"/>
    <w:rsid w:val="00D25249"/>
    <w:rsid w:val="00D319B2"/>
    <w:rsid w:val="00D44172"/>
    <w:rsid w:val="00D47BE3"/>
    <w:rsid w:val="00D63B8C"/>
    <w:rsid w:val="00D739CC"/>
    <w:rsid w:val="00D77909"/>
    <w:rsid w:val="00D8093D"/>
    <w:rsid w:val="00D8108C"/>
    <w:rsid w:val="00D842AE"/>
    <w:rsid w:val="00D909FE"/>
    <w:rsid w:val="00D9211C"/>
    <w:rsid w:val="00D92DE0"/>
    <w:rsid w:val="00D92FEF"/>
    <w:rsid w:val="00D93A0F"/>
    <w:rsid w:val="00D96BC0"/>
    <w:rsid w:val="00DA1BCA"/>
    <w:rsid w:val="00DC46FF"/>
    <w:rsid w:val="00DC5254"/>
    <w:rsid w:val="00DC569D"/>
    <w:rsid w:val="00DD1A4F"/>
    <w:rsid w:val="00DD3107"/>
    <w:rsid w:val="00DD7C2C"/>
    <w:rsid w:val="00DE1C5D"/>
    <w:rsid w:val="00DE5BDA"/>
    <w:rsid w:val="00DF3A9F"/>
    <w:rsid w:val="00DF433C"/>
    <w:rsid w:val="00DF519F"/>
    <w:rsid w:val="00E0035A"/>
    <w:rsid w:val="00E06797"/>
    <w:rsid w:val="00E1265B"/>
    <w:rsid w:val="00E13B48"/>
    <w:rsid w:val="00E1404F"/>
    <w:rsid w:val="00E21C83"/>
    <w:rsid w:val="00E24ADA"/>
    <w:rsid w:val="00E3124B"/>
    <w:rsid w:val="00E32F59"/>
    <w:rsid w:val="00E41908"/>
    <w:rsid w:val="00E46D9A"/>
    <w:rsid w:val="00E565FF"/>
    <w:rsid w:val="00E56E9F"/>
    <w:rsid w:val="00E65388"/>
    <w:rsid w:val="00E7114D"/>
    <w:rsid w:val="00E7741D"/>
    <w:rsid w:val="00E808CD"/>
    <w:rsid w:val="00E82F64"/>
    <w:rsid w:val="00E8348F"/>
    <w:rsid w:val="00E85B7D"/>
    <w:rsid w:val="00E9121B"/>
    <w:rsid w:val="00E9302E"/>
    <w:rsid w:val="00E976AB"/>
    <w:rsid w:val="00EA0AE2"/>
    <w:rsid w:val="00EA39E5"/>
    <w:rsid w:val="00EA57A3"/>
    <w:rsid w:val="00EC2813"/>
    <w:rsid w:val="00EC2E33"/>
    <w:rsid w:val="00EC5A46"/>
    <w:rsid w:val="00EC63E2"/>
    <w:rsid w:val="00ED366A"/>
    <w:rsid w:val="00ED6BB7"/>
    <w:rsid w:val="00EF22B3"/>
    <w:rsid w:val="00EF3907"/>
    <w:rsid w:val="00F03B69"/>
    <w:rsid w:val="00F044B5"/>
    <w:rsid w:val="00F07A50"/>
    <w:rsid w:val="00F113DA"/>
    <w:rsid w:val="00F22091"/>
    <w:rsid w:val="00F23040"/>
    <w:rsid w:val="00F25530"/>
    <w:rsid w:val="00F266FC"/>
    <w:rsid w:val="00F3037A"/>
    <w:rsid w:val="00F30C06"/>
    <w:rsid w:val="00F3465A"/>
    <w:rsid w:val="00F37DC8"/>
    <w:rsid w:val="00F439B3"/>
    <w:rsid w:val="00F46426"/>
    <w:rsid w:val="00F47FFA"/>
    <w:rsid w:val="00F6085A"/>
    <w:rsid w:val="00F650C3"/>
    <w:rsid w:val="00F65D85"/>
    <w:rsid w:val="00F6700B"/>
    <w:rsid w:val="00F8091E"/>
    <w:rsid w:val="00F8615C"/>
    <w:rsid w:val="00F969E5"/>
    <w:rsid w:val="00FA4972"/>
    <w:rsid w:val="00FA6BB0"/>
    <w:rsid w:val="00FB2DBD"/>
    <w:rsid w:val="00FD48DF"/>
    <w:rsid w:val="00FD5860"/>
    <w:rsid w:val="00FE009C"/>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32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34F89"/>
    <w:pPr>
      <w:tabs>
        <w:tab w:val="clear" w:pos="4082"/>
      </w:tabs>
      <w:spacing w:before="60" w:after="60"/>
      <w:ind w:right="4536"/>
    </w:pPr>
  </w:style>
  <w:style w:type="paragraph" w:customStyle="1" w:styleId="BBTitle">
    <w:name w:val="BB_Title"/>
    <w:basedOn w:val="Normalpool"/>
    <w:link w:val="BBTitleChar"/>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DF3A9F"/>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27"/>
      </w:numPr>
    </w:pPr>
  </w:style>
  <w:style w:type="numbering" w:customStyle="1" w:styleId="Importeradestilen9">
    <w:name w:val="Importerade stilen 9"/>
    <w:rsid w:val="008E0141"/>
    <w:pPr>
      <w:numPr>
        <w:numId w:val="39"/>
      </w:numPr>
    </w:pPr>
  </w:style>
  <w:style w:type="numbering" w:customStyle="1" w:styleId="Importeradestilen5">
    <w:name w:val="Importerade stilen 5"/>
    <w:rsid w:val="008E0141"/>
    <w:pPr>
      <w:numPr>
        <w:numId w:val="29"/>
      </w:numPr>
    </w:pPr>
  </w:style>
  <w:style w:type="numbering" w:customStyle="1" w:styleId="Importeradestilen6">
    <w:name w:val="Importerade stilen 6"/>
    <w:rsid w:val="008E0141"/>
    <w:pPr>
      <w:numPr>
        <w:numId w:val="31"/>
      </w:numPr>
    </w:pPr>
  </w:style>
  <w:style w:type="numbering" w:customStyle="1" w:styleId="Importeradestilen8">
    <w:name w:val="Importerade stilen 8"/>
    <w:rsid w:val="008E0141"/>
    <w:pPr>
      <w:numPr>
        <w:numId w:val="36"/>
      </w:numPr>
    </w:pPr>
  </w:style>
  <w:style w:type="numbering" w:customStyle="1" w:styleId="Importeradestilen7">
    <w:name w:val="Importerade stilen 7"/>
    <w:rsid w:val="008E0141"/>
    <w:pPr>
      <w:numPr>
        <w:numId w:val="33"/>
      </w:numPr>
    </w:pPr>
  </w:style>
  <w:style w:type="numbering" w:customStyle="1" w:styleId="Importeradestilen3">
    <w:name w:val="Importerade stilen 3"/>
    <w:rsid w:val="008E0141"/>
    <w:pPr>
      <w:numPr>
        <w:numId w:val="25"/>
      </w:numPr>
    </w:pPr>
  </w:style>
  <w:style w:type="character" w:customStyle="1" w:styleId="FooterChar">
    <w:name w:val="Footer Char"/>
    <w:basedOn w:val="DefaultParagraphFont"/>
    <w:link w:val="Footer"/>
    <w:uiPriority w:val="99"/>
    <w:rsid w:val="00034F89"/>
    <w:rPr>
      <w:sz w:val="18"/>
      <w:lang w:eastAsia="en-US"/>
    </w:rPr>
  </w:style>
  <w:style w:type="character" w:styleId="Emphasis">
    <w:name w:val="Emphasis"/>
    <w:basedOn w:val="DefaultParagraphFont"/>
    <w:qFormat/>
    <w:rsid w:val="00D909FE"/>
    <w:rPr>
      <w:i/>
      <w:iCs/>
    </w:rPr>
  </w:style>
  <w:style w:type="character" w:customStyle="1" w:styleId="NormalnumberChar">
    <w:name w:val="Normal_number Char"/>
    <w:link w:val="Normalnumber"/>
    <w:locked/>
    <w:rsid w:val="003463B8"/>
    <w:rPr>
      <w:lang w:eastAsia="en-US"/>
    </w:rPr>
  </w:style>
  <w:style w:type="paragraph" w:styleId="Revision">
    <w:name w:val="Revision"/>
    <w:hidden/>
    <w:uiPriority w:val="99"/>
    <w:semiHidden/>
    <w:rsid w:val="00CA7D3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34F89"/>
    <w:pPr>
      <w:tabs>
        <w:tab w:val="clear" w:pos="4082"/>
      </w:tabs>
      <w:spacing w:before="60" w:after="60"/>
      <w:ind w:right="4536"/>
    </w:pPr>
  </w:style>
  <w:style w:type="paragraph" w:customStyle="1" w:styleId="BBTitle">
    <w:name w:val="BB_Title"/>
    <w:basedOn w:val="Normalpool"/>
    <w:link w:val="BBTitleChar"/>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DF3A9F"/>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27"/>
      </w:numPr>
    </w:pPr>
  </w:style>
  <w:style w:type="numbering" w:customStyle="1" w:styleId="Importeradestilen9">
    <w:name w:val="Importerade stilen 9"/>
    <w:rsid w:val="008E0141"/>
    <w:pPr>
      <w:numPr>
        <w:numId w:val="39"/>
      </w:numPr>
    </w:pPr>
  </w:style>
  <w:style w:type="numbering" w:customStyle="1" w:styleId="Importeradestilen5">
    <w:name w:val="Importerade stilen 5"/>
    <w:rsid w:val="008E0141"/>
    <w:pPr>
      <w:numPr>
        <w:numId w:val="29"/>
      </w:numPr>
    </w:pPr>
  </w:style>
  <w:style w:type="numbering" w:customStyle="1" w:styleId="Importeradestilen6">
    <w:name w:val="Importerade stilen 6"/>
    <w:rsid w:val="008E0141"/>
    <w:pPr>
      <w:numPr>
        <w:numId w:val="31"/>
      </w:numPr>
    </w:pPr>
  </w:style>
  <w:style w:type="numbering" w:customStyle="1" w:styleId="Importeradestilen8">
    <w:name w:val="Importerade stilen 8"/>
    <w:rsid w:val="008E0141"/>
    <w:pPr>
      <w:numPr>
        <w:numId w:val="36"/>
      </w:numPr>
    </w:pPr>
  </w:style>
  <w:style w:type="numbering" w:customStyle="1" w:styleId="Importeradestilen7">
    <w:name w:val="Importerade stilen 7"/>
    <w:rsid w:val="008E0141"/>
    <w:pPr>
      <w:numPr>
        <w:numId w:val="33"/>
      </w:numPr>
    </w:pPr>
  </w:style>
  <w:style w:type="numbering" w:customStyle="1" w:styleId="Importeradestilen3">
    <w:name w:val="Importerade stilen 3"/>
    <w:rsid w:val="008E0141"/>
    <w:pPr>
      <w:numPr>
        <w:numId w:val="25"/>
      </w:numPr>
    </w:pPr>
  </w:style>
  <w:style w:type="character" w:customStyle="1" w:styleId="FooterChar">
    <w:name w:val="Footer Char"/>
    <w:basedOn w:val="DefaultParagraphFont"/>
    <w:link w:val="Footer"/>
    <w:uiPriority w:val="99"/>
    <w:rsid w:val="00034F89"/>
    <w:rPr>
      <w:sz w:val="18"/>
      <w:lang w:eastAsia="en-US"/>
    </w:rPr>
  </w:style>
  <w:style w:type="character" w:styleId="Emphasis">
    <w:name w:val="Emphasis"/>
    <w:basedOn w:val="DefaultParagraphFont"/>
    <w:qFormat/>
    <w:rsid w:val="00D909FE"/>
    <w:rPr>
      <w:i/>
      <w:iCs/>
    </w:rPr>
  </w:style>
  <w:style w:type="character" w:customStyle="1" w:styleId="NormalnumberChar">
    <w:name w:val="Normal_number Char"/>
    <w:link w:val="Normalnumber"/>
    <w:locked/>
    <w:rsid w:val="003463B8"/>
    <w:rPr>
      <w:lang w:eastAsia="en-US"/>
    </w:rPr>
  </w:style>
  <w:style w:type="paragraph" w:styleId="Revision">
    <w:name w:val="Revision"/>
    <w:hidden/>
    <w:uiPriority w:val="99"/>
    <w:semiHidden/>
    <w:rsid w:val="00CA7D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554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DTIE%20-%20MC-COP-1\UNEP-MC-CO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9DAE-F775-42BE-BAE9-862BEB53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UNEP-MC-COP-1.dotx</Template>
  <TotalTime>0</TotalTime>
  <Pages>4</Pages>
  <Words>1403</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Jane Mbau</cp:lastModifiedBy>
  <cp:revision>3</cp:revision>
  <cp:lastPrinted>2016-07-18T09:51:00Z</cp:lastPrinted>
  <dcterms:created xsi:type="dcterms:W3CDTF">2017-08-18T05:45:00Z</dcterms:created>
  <dcterms:modified xsi:type="dcterms:W3CDTF">2017-08-18T05:45:00Z</dcterms:modified>
</cp:coreProperties>
</file>