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0"/>
        <w:gridCol w:w="4751"/>
        <w:gridCol w:w="3411"/>
      </w:tblGrid>
      <w:tr w:rsidR="00032E4E" w:rsidRPr="006A1074" w14:paraId="2156981B" w14:textId="77777777" w:rsidTr="00F6115C">
        <w:trPr>
          <w:cantSplit/>
          <w:trHeight w:val="850"/>
          <w:jc w:val="right"/>
        </w:trPr>
        <w:tc>
          <w:tcPr>
            <w:tcW w:w="1549" w:type="dxa"/>
          </w:tcPr>
          <w:p w14:paraId="5E977FA5" w14:textId="77777777" w:rsidR="00032E4E" w:rsidRPr="006A1074" w:rsidRDefault="00032E4E" w:rsidP="00023DA9">
            <w:pPr>
              <w:rPr>
                <w:rFonts w:ascii="Univers" w:hAnsi="Univers"/>
                <w:b/>
                <w:noProof/>
                <w:sz w:val="27"/>
                <w:szCs w:val="27"/>
              </w:rPr>
            </w:pPr>
            <w:r w:rsidRPr="00C00C77">
              <w:rPr>
                <w:rFonts w:ascii="Arial" w:hAnsi="Arial" w:cs="Arial"/>
                <w:b/>
                <w:noProof/>
                <w:sz w:val="27"/>
                <w:szCs w:val="27"/>
              </w:rPr>
              <w:t>UNITED</w:t>
            </w:r>
            <w:r>
              <w:rPr>
                <w:rFonts w:ascii="Arial" w:hAnsi="Arial" w:cs="Arial"/>
                <w:b/>
                <w:noProof/>
                <w:sz w:val="27"/>
                <w:szCs w:val="27"/>
              </w:rPr>
              <w:br/>
            </w:r>
            <w:r w:rsidRPr="00C00C77">
              <w:rPr>
                <w:rFonts w:ascii="Arial" w:hAnsi="Arial" w:cs="Arial"/>
                <w:b/>
                <w:noProof/>
                <w:sz w:val="27"/>
                <w:szCs w:val="27"/>
              </w:rPr>
              <w:t>NATIONS</w:t>
            </w:r>
          </w:p>
        </w:tc>
        <w:tc>
          <w:tcPr>
            <w:tcW w:w="4748" w:type="dxa"/>
          </w:tcPr>
          <w:p w14:paraId="7508B355" w14:textId="77777777" w:rsidR="00032E4E" w:rsidRPr="006A1074" w:rsidRDefault="00032E4E" w:rsidP="00023DA9">
            <w:pPr>
              <w:rPr>
                <w:rFonts w:ascii="Univers" w:hAnsi="Univers"/>
                <w:b/>
                <w:sz w:val="27"/>
                <w:szCs w:val="27"/>
              </w:rPr>
            </w:pPr>
          </w:p>
        </w:tc>
        <w:tc>
          <w:tcPr>
            <w:tcW w:w="3409" w:type="dxa"/>
          </w:tcPr>
          <w:p w14:paraId="69D4BCA9" w14:textId="77777777" w:rsidR="00032E4E" w:rsidRPr="00C00C77" w:rsidRDefault="00787688" w:rsidP="00023DA9">
            <w:pPr>
              <w:jc w:val="right"/>
              <w:rPr>
                <w:rFonts w:ascii="Arial" w:hAnsi="Arial" w:cs="Arial"/>
                <w:b/>
                <w:sz w:val="64"/>
                <w:szCs w:val="64"/>
              </w:rPr>
            </w:pPr>
            <w:r>
              <w:rPr>
                <w:rFonts w:ascii="Arial" w:hAnsi="Arial" w:cs="Arial"/>
                <w:b/>
                <w:sz w:val="64"/>
                <w:szCs w:val="64"/>
              </w:rPr>
              <w:t>MC</w:t>
            </w:r>
          </w:p>
        </w:tc>
      </w:tr>
      <w:tr w:rsidR="00032E4E" w:rsidRPr="006A1074" w14:paraId="330F08B6" w14:textId="77777777" w:rsidTr="00F6115C">
        <w:trPr>
          <w:cantSplit/>
          <w:trHeight w:val="281"/>
          <w:jc w:val="right"/>
        </w:trPr>
        <w:tc>
          <w:tcPr>
            <w:tcW w:w="1549" w:type="dxa"/>
            <w:tcBorders>
              <w:bottom w:val="single" w:sz="4" w:space="0" w:color="auto"/>
            </w:tcBorders>
          </w:tcPr>
          <w:p w14:paraId="12160F31" w14:textId="77777777" w:rsidR="00032E4E" w:rsidRPr="006A1074" w:rsidRDefault="00032E4E" w:rsidP="00023DA9">
            <w:pPr>
              <w:rPr>
                <w:noProof/>
                <w:sz w:val="18"/>
                <w:szCs w:val="18"/>
              </w:rPr>
            </w:pPr>
          </w:p>
        </w:tc>
        <w:tc>
          <w:tcPr>
            <w:tcW w:w="4748" w:type="dxa"/>
            <w:tcBorders>
              <w:bottom w:val="single" w:sz="4" w:space="0" w:color="auto"/>
            </w:tcBorders>
          </w:tcPr>
          <w:p w14:paraId="735173EF" w14:textId="77777777" w:rsidR="00032E4E" w:rsidRPr="006A1074" w:rsidRDefault="00032E4E" w:rsidP="00023DA9">
            <w:pPr>
              <w:rPr>
                <w:rFonts w:ascii="Univers" w:hAnsi="Univers"/>
                <w:b/>
                <w:sz w:val="18"/>
                <w:szCs w:val="18"/>
              </w:rPr>
            </w:pPr>
          </w:p>
        </w:tc>
        <w:tc>
          <w:tcPr>
            <w:tcW w:w="3409" w:type="dxa"/>
            <w:tcBorders>
              <w:bottom w:val="single" w:sz="4" w:space="0" w:color="auto"/>
            </w:tcBorders>
          </w:tcPr>
          <w:p w14:paraId="16D98D51" w14:textId="6D74FC08" w:rsidR="00032E4E" w:rsidRPr="006A1074" w:rsidRDefault="00032E4E" w:rsidP="00465D27">
            <w:pPr>
              <w:rPr>
                <w:noProof/>
                <w:sz w:val="18"/>
                <w:szCs w:val="18"/>
              </w:rPr>
            </w:pPr>
            <w:r w:rsidRPr="006A1074">
              <w:rPr>
                <w:b/>
                <w:bCs/>
                <w:sz w:val="28"/>
              </w:rPr>
              <w:t>UNEP</w:t>
            </w:r>
            <w:bookmarkStart w:id="0" w:name="OLE_LINK1"/>
            <w:bookmarkStart w:id="1" w:name="OLE_LINK2"/>
            <w:r w:rsidR="00787688">
              <w:rPr>
                <w:b/>
                <w:bCs/>
                <w:sz w:val="28"/>
              </w:rPr>
              <w:t>/</w:t>
            </w:r>
            <w:r w:rsidR="00787688">
              <w:t>MC</w:t>
            </w:r>
            <w:r w:rsidRPr="006A1074">
              <w:t>/</w:t>
            </w:r>
            <w:bookmarkEnd w:id="0"/>
            <w:bookmarkEnd w:id="1"/>
            <w:r w:rsidR="00787688">
              <w:t>COP.1</w:t>
            </w:r>
            <w:r w:rsidRPr="00642796">
              <w:t>/</w:t>
            </w:r>
            <w:r w:rsidR="00C66FDD">
              <w:t>INF/</w:t>
            </w:r>
            <w:r w:rsidR="00600363">
              <w:t>8</w:t>
            </w:r>
          </w:p>
        </w:tc>
      </w:tr>
      <w:tr w:rsidR="00032E4E" w:rsidRPr="006A1074" w14:paraId="01A43AD9" w14:textId="77777777" w:rsidTr="00F6115C">
        <w:trPr>
          <w:cantSplit/>
          <w:trHeight w:val="2549"/>
          <w:jc w:val="right"/>
        </w:trPr>
        <w:tc>
          <w:tcPr>
            <w:tcW w:w="1549" w:type="dxa"/>
            <w:tcBorders>
              <w:top w:val="single" w:sz="4" w:space="0" w:color="auto"/>
              <w:bottom w:val="single" w:sz="24" w:space="0" w:color="auto"/>
            </w:tcBorders>
          </w:tcPr>
          <w:p w14:paraId="62CDEF01" w14:textId="52BE3700" w:rsidR="00032E4E" w:rsidRPr="006A1074" w:rsidRDefault="00947839" w:rsidP="00023DA9">
            <w:pPr>
              <w:rPr>
                <w:noProof/>
              </w:rPr>
            </w:pPr>
            <w:bookmarkStart w:id="2" w:name="_MON_1021710482"/>
            <w:bookmarkStart w:id="3" w:name="_MON_1021710510"/>
            <w:bookmarkEnd w:id="2"/>
            <w:bookmarkEnd w:id="3"/>
            <w:r>
              <w:rPr>
                <w:noProof/>
                <w:lang w:val="en-US"/>
              </w:rPr>
              <w:drawing>
                <wp:inline distT="0" distB="0" distL="0" distR="0" wp14:anchorId="2BDFB15E" wp14:editId="7435E5CF">
                  <wp:extent cx="824230" cy="794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4230" cy="794385"/>
                          </a:xfrm>
                          <a:prstGeom prst="rect">
                            <a:avLst/>
                          </a:prstGeom>
                          <a:noFill/>
                          <a:ln>
                            <a:noFill/>
                          </a:ln>
                        </pic:spPr>
                      </pic:pic>
                    </a:graphicData>
                  </a:graphic>
                </wp:inline>
              </w:drawing>
            </w:r>
            <w:r w:rsidR="001D22B6">
              <w:rPr>
                <w:noProof/>
                <w:lang w:val="en-US"/>
              </w:rPr>
              <w:drawing>
                <wp:inline distT="0" distB="0" distL="0" distR="0" wp14:anchorId="3FA43293" wp14:editId="1934F990">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156DEBF" w14:textId="77777777" w:rsidR="00032E4E" w:rsidRPr="00C00C77" w:rsidRDefault="00032E4E" w:rsidP="00023DA9">
            <w:pPr>
              <w:spacing w:before="1200"/>
              <w:rPr>
                <w:rFonts w:ascii="Arial" w:hAnsi="Arial" w:cs="Arial"/>
                <w:b/>
                <w:sz w:val="28"/>
              </w:rPr>
            </w:pPr>
            <w:r w:rsidRPr="00C00C77">
              <w:rPr>
                <w:rFonts w:ascii="Arial" w:hAnsi="Arial" w:cs="Arial"/>
                <w:b/>
                <w:sz w:val="32"/>
                <w:szCs w:val="32"/>
              </w:rPr>
              <w:t>United Nations</w:t>
            </w:r>
            <w:r>
              <w:rPr>
                <w:rFonts w:ascii="Arial" w:hAnsi="Arial" w:cs="Arial"/>
                <w:b/>
                <w:sz w:val="32"/>
                <w:szCs w:val="32"/>
              </w:rPr>
              <w:br w:type="textWrapping" w:clear="all"/>
            </w:r>
            <w:r w:rsidRPr="00C00C77">
              <w:rPr>
                <w:rFonts w:ascii="Arial" w:hAnsi="Arial" w:cs="Arial"/>
                <w:b/>
                <w:sz w:val="32"/>
                <w:szCs w:val="32"/>
              </w:rPr>
              <w:t>Environment</w:t>
            </w:r>
            <w:r>
              <w:rPr>
                <w:rFonts w:ascii="Arial" w:hAnsi="Arial" w:cs="Arial"/>
                <w:b/>
                <w:sz w:val="32"/>
                <w:szCs w:val="32"/>
              </w:rPr>
              <w:br w:type="textWrapping" w:clear="all"/>
            </w:r>
            <w:r w:rsidRPr="00C00C77">
              <w:rPr>
                <w:rFonts w:ascii="Arial" w:hAnsi="Arial" w:cs="Arial"/>
                <w:b/>
                <w:sz w:val="32"/>
                <w:szCs w:val="32"/>
              </w:rPr>
              <w:t>Programme</w:t>
            </w:r>
          </w:p>
        </w:tc>
        <w:tc>
          <w:tcPr>
            <w:tcW w:w="3409" w:type="dxa"/>
            <w:tcBorders>
              <w:top w:val="single" w:sz="4" w:space="0" w:color="auto"/>
              <w:bottom w:val="single" w:sz="24" w:space="0" w:color="auto"/>
            </w:tcBorders>
          </w:tcPr>
          <w:p w14:paraId="4CABEFA5" w14:textId="5D003EC5" w:rsidR="00032E4E" w:rsidRDefault="00032E4E" w:rsidP="00787688">
            <w:pPr>
              <w:spacing w:before="120"/>
            </w:pPr>
            <w:r w:rsidRPr="006A1074">
              <w:t>Distr.: General</w:t>
            </w:r>
            <w:r>
              <w:br w:type="textWrapping" w:clear="all"/>
            </w:r>
            <w:r w:rsidR="00F6115C">
              <w:t>2</w:t>
            </w:r>
            <w:r w:rsidR="00C66FDD">
              <w:t>8</w:t>
            </w:r>
            <w:r w:rsidR="00F6115C">
              <w:t xml:space="preserve"> June 2017</w:t>
            </w:r>
          </w:p>
          <w:p w14:paraId="7B1577DC" w14:textId="410CDCDF" w:rsidR="00032E4E" w:rsidRPr="006A1074" w:rsidRDefault="00032E4E" w:rsidP="00F6115C">
            <w:pPr>
              <w:spacing w:before="120"/>
            </w:pPr>
            <w:r w:rsidRPr="006A1074">
              <w:t>English</w:t>
            </w:r>
            <w:r w:rsidR="00C61970">
              <w:t xml:space="preserve"> only</w:t>
            </w:r>
          </w:p>
        </w:tc>
      </w:tr>
    </w:tbl>
    <w:p w14:paraId="62D2D688" w14:textId="665CA52D" w:rsidR="00F6115C" w:rsidRPr="001F7105" w:rsidRDefault="00F6115C" w:rsidP="00F6115C">
      <w:pPr>
        <w:pStyle w:val="AATitle"/>
      </w:pPr>
      <w:r w:rsidRPr="001F7105">
        <w:t>Conference of the Parties</w:t>
      </w:r>
      <w:r>
        <w:t xml:space="preserve"> to the</w:t>
      </w:r>
    </w:p>
    <w:p w14:paraId="14723721" w14:textId="77777777" w:rsidR="00E976AB" w:rsidRPr="001F7105" w:rsidRDefault="00787688" w:rsidP="001F7105">
      <w:pPr>
        <w:pStyle w:val="AATitle"/>
      </w:pPr>
      <w:r w:rsidRPr="001F7105">
        <w:t>Minamata Convention on Mercury</w:t>
      </w:r>
    </w:p>
    <w:p w14:paraId="79F45F64" w14:textId="2C1B44E6" w:rsidR="00E976AB" w:rsidRPr="001F7105" w:rsidRDefault="00787688" w:rsidP="001F7105">
      <w:pPr>
        <w:pStyle w:val="AATitle"/>
      </w:pPr>
      <w:r w:rsidRPr="001F7105">
        <w:t>First meeting</w:t>
      </w:r>
    </w:p>
    <w:p w14:paraId="2EFC6F7F" w14:textId="0DAD377A" w:rsidR="00E976AB" w:rsidRDefault="00787688" w:rsidP="00465D27">
      <w:pPr>
        <w:pStyle w:val="AATitle"/>
        <w:rPr>
          <w:b w:val="0"/>
        </w:rPr>
      </w:pPr>
      <w:r>
        <w:rPr>
          <w:b w:val="0"/>
        </w:rPr>
        <w:t>Geneva</w:t>
      </w:r>
      <w:r w:rsidR="00E976AB" w:rsidRPr="00DF433C">
        <w:rPr>
          <w:b w:val="0"/>
        </w:rPr>
        <w:t xml:space="preserve">, </w:t>
      </w:r>
      <w:r w:rsidR="00465D27">
        <w:rPr>
          <w:b w:val="0"/>
        </w:rPr>
        <w:t>24–29 September</w:t>
      </w:r>
      <w:r>
        <w:rPr>
          <w:b w:val="0"/>
        </w:rPr>
        <w:t xml:space="preserve"> 2017</w:t>
      </w:r>
    </w:p>
    <w:p w14:paraId="34494C39" w14:textId="16F32BE8" w:rsidR="00C66FDD" w:rsidRPr="00421A12" w:rsidRDefault="00C66FDD" w:rsidP="00C61970">
      <w:pPr>
        <w:pStyle w:val="AATitle"/>
        <w:keepNext w:val="0"/>
        <w:keepLines w:val="0"/>
        <w:rPr>
          <w:b w:val="0"/>
          <w:lang w:val="en-US"/>
        </w:rPr>
      </w:pPr>
      <w:r w:rsidRPr="00421A12">
        <w:rPr>
          <w:b w:val="0"/>
        </w:rPr>
        <w:t>Item</w:t>
      </w:r>
      <w:r>
        <w:rPr>
          <w:b w:val="0"/>
          <w:lang w:val="en-US"/>
        </w:rPr>
        <w:t xml:space="preserve"> 5</w:t>
      </w:r>
      <w:r w:rsidRPr="00421A12">
        <w:rPr>
          <w:b w:val="0"/>
          <w:lang w:val="en-US"/>
        </w:rPr>
        <w:t xml:space="preserve"> (</w:t>
      </w:r>
      <w:r>
        <w:rPr>
          <w:b w:val="0"/>
          <w:lang w:val="en-US"/>
        </w:rPr>
        <w:t>c</w:t>
      </w:r>
      <w:r w:rsidRPr="00421A12">
        <w:rPr>
          <w:b w:val="0"/>
          <w:lang w:val="en-US"/>
        </w:rPr>
        <w:t>)</w:t>
      </w:r>
      <w:r w:rsidR="00CF7866">
        <w:rPr>
          <w:b w:val="0"/>
          <w:lang w:val="en-US"/>
        </w:rPr>
        <w:t xml:space="preserve"> </w:t>
      </w:r>
      <w:r>
        <w:rPr>
          <w:b w:val="0"/>
          <w:lang w:val="en-US"/>
        </w:rPr>
        <w:t>(iii)</w:t>
      </w:r>
      <w:r w:rsidRPr="00421A12">
        <w:rPr>
          <w:b w:val="0"/>
          <w:lang w:val="en-US"/>
        </w:rPr>
        <w:t xml:space="preserve"> of the provisional agenda</w:t>
      </w:r>
      <w:r w:rsidRPr="00773098">
        <w:rPr>
          <w:b w:val="0"/>
          <w:lang w:val="en-US"/>
        </w:rPr>
        <w:footnoteReference w:customMarkFollows="1" w:id="1"/>
        <w:t>*</w:t>
      </w:r>
    </w:p>
    <w:p w14:paraId="7AFDFCA6" w14:textId="1F1E6A74" w:rsidR="00C66FDD" w:rsidRPr="00011B12" w:rsidRDefault="00C66FDD" w:rsidP="00FA1CCE">
      <w:pPr>
        <w:pStyle w:val="AATitle2"/>
        <w:keepNext w:val="0"/>
        <w:keepLines w:val="0"/>
        <w:tabs>
          <w:tab w:val="left" w:pos="4770"/>
          <w:tab w:val="left" w:pos="4950"/>
        </w:tabs>
        <w:spacing w:before="60" w:after="60"/>
        <w:ind w:right="4546"/>
        <w:outlineLvl w:val="0"/>
      </w:pPr>
      <w:r w:rsidRPr="00FA1CCE">
        <w:t>Matters for action by the Conference of the Parties at its</w:t>
      </w:r>
      <w:r w:rsidRPr="006609BC">
        <w:t xml:space="preserve"> first meeting</w:t>
      </w:r>
      <w:r w:rsidR="00565C4E">
        <w:t>:</w:t>
      </w:r>
      <w:r w:rsidRPr="006609BC">
        <w:t xml:space="preserve"> </w:t>
      </w:r>
      <w:r w:rsidR="00565C4E">
        <w:t>m</w:t>
      </w:r>
      <w:r w:rsidRPr="006609BC">
        <w:t>atters recommended by the intergovernmental negotiating committee</w:t>
      </w:r>
      <w:r>
        <w:t xml:space="preserve">: </w:t>
      </w:r>
      <w:r w:rsidR="00565C4E">
        <w:t>p</w:t>
      </w:r>
      <w:r w:rsidR="00565C4E" w:rsidRPr="006609BC">
        <w:t xml:space="preserve">hysical </w:t>
      </w:r>
      <w:r w:rsidRPr="006609BC">
        <w:t>location of the permanent secretariat</w:t>
      </w:r>
    </w:p>
    <w:p w14:paraId="7CD25341" w14:textId="333F4406" w:rsidR="00C66FDD" w:rsidRPr="00DB0780" w:rsidRDefault="00C66FDD" w:rsidP="00C61970">
      <w:pPr>
        <w:pStyle w:val="BBTitle"/>
      </w:pPr>
      <w:r>
        <w:t xml:space="preserve">Clarification provided by the Government of Switzerland </w:t>
      </w:r>
      <w:r w:rsidR="000A7D33">
        <w:t xml:space="preserve">on </w:t>
      </w:r>
      <w:r w:rsidR="00A0643C">
        <w:t>its</w:t>
      </w:r>
      <w:r w:rsidR="000A7D33">
        <w:t xml:space="preserve"> offer </w:t>
      </w:r>
      <w:r>
        <w:t>to host the permanent secretariat of the Minamata Convention on Mercury in Geneva</w:t>
      </w:r>
    </w:p>
    <w:p w14:paraId="2BD0D47C" w14:textId="77777777" w:rsidR="00C66FDD" w:rsidRPr="00C66FDD" w:rsidRDefault="00C66FDD" w:rsidP="00C61970">
      <w:pPr>
        <w:pStyle w:val="CH2"/>
      </w:pPr>
      <w:r w:rsidRPr="00DB0780">
        <w:tab/>
      </w:r>
      <w:r w:rsidRPr="00DB0780">
        <w:tab/>
        <w:t>Note by the secretariat</w:t>
      </w:r>
    </w:p>
    <w:p w14:paraId="057453DF" w14:textId="58AC2439" w:rsidR="00C66FDD" w:rsidRPr="00421A12" w:rsidRDefault="00C66FDD" w:rsidP="00872FAB">
      <w:pPr>
        <w:pStyle w:val="Normal-pool"/>
        <w:tabs>
          <w:tab w:val="clear" w:pos="1247"/>
          <w:tab w:val="clear" w:pos="1814"/>
          <w:tab w:val="clear" w:pos="2381"/>
          <w:tab w:val="clear" w:pos="2948"/>
          <w:tab w:val="clear" w:pos="3515"/>
          <w:tab w:val="clear" w:pos="4082"/>
          <w:tab w:val="left" w:pos="624"/>
        </w:tabs>
        <w:spacing w:after="120"/>
        <w:ind w:left="1247" w:firstLine="624"/>
      </w:pPr>
      <w:r w:rsidRPr="00421A12">
        <w:t xml:space="preserve">As its </w:t>
      </w:r>
      <w:r>
        <w:t>seventh</w:t>
      </w:r>
      <w:r w:rsidRPr="00421A12">
        <w:t xml:space="preserve"> session, the intergovernmental negotiating committee </w:t>
      </w:r>
      <w:r>
        <w:t>to</w:t>
      </w:r>
      <w:r w:rsidRPr="00421A12">
        <w:t xml:space="preserve"> prepar</w:t>
      </w:r>
      <w:r>
        <w:t>e</w:t>
      </w:r>
      <w:r w:rsidRPr="00421A12">
        <w:t xml:space="preserve"> a global legally binding instrument on mercury </w:t>
      </w:r>
      <w:r>
        <w:t>considered an offer provided by the Government of Switzerland to host the secretariat in Geneva, which was received on 30 June 2015. Upon the request of the committee, the Government of Switzerland has provided clarification of the offer, which was received on 27 June 2017. The clarification, as received from the Government of Switzerland, is set out in the annex to the present note, without formal editing.</w:t>
      </w:r>
    </w:p>
    <w:p w14:paraId="5AC235AD" w14:textId="77777777" w:rsidR="00C66FDD" w:rsidRDefault="00C66FDD" w:rsidP="00872FAB">
      <w:pPr>
        <w:pStyle w:val="Normal-pool"/>
      </w:pPr>
    </w:p>
    <w:p w14:paraId="3EBDD72C" w14:textId="77777777" w:rsidR="00C66FDD" w:rsidRDefault="00C66FDD" w:rsidP="00872FAB">
      <w:pPr>
        <w:pStyle w:val="Normal-pool"/>
        <w:sectPr w:rsidR="00C66FDD" w:rsidSect="00C66FDD">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p>
    <w:p w14:paraId="6792195E" w14:textId="77777777" w:rsidR="00C66FDD" w:rsidRPr="0091158A" w:rsidRDefault="00C66FDD">
      <w:pPr>
        <w:pStyle w:val="ZZAnxheader"/>
      </w:pPr>
      <w:r>
        <w:lastRenderedPageBreak/>
        <w:t>Annex</w:t>
      </w:r>
    </w:p>
    <w:p w14:paraId="4C632442" w14:textId="77777777" w:rsidR="00C66FDD" w:rsidRDefault="00C66FDD" w:rsidP="00C61970">
      <w:pPr>
        <w:pStyle w:val="ZZAnxheader"/>
      </w:pPr>
    </w:p>
    <w:tbl>
      <w:tblPr>
        <w:tblW w:w="9143" w:type="dxa"/>
        <w:tblInd w:w="71" w:type="dxa"/>
        <w:tblLayout w:type="fixed"/>
        <w:tblCellMar>
          <w:left w:w="71" w:type="dxa"/>
          <w:right w:w="71" w:type="dxa"/>
        </w:tblCellMar>
        <w:tblLook w:val="01E0" w:firstRow="1" w:lastRow="1" w:firstColumn="1" w:lastColumn="1" w:noHBand="0" w:noVBand="0"/>
      </w:tblPr>
      <w:tblGrid>
        <w:gridCol w:w="4182"/>
        <w:gridCol w:w="4961"/>
      </w:tblGrid>
      <w:tr w:rsidR="00C66FDD" w14:paraId="4741D5F7" w14:textId="77777777" w:rsidTr="00872FAB">
        <w:trPr>
          <w:cantSplit/>
          <w:trHeight w:hRule="exact" w:val="1628"/>
        </w:trPr>
        <w:tc>
          <w:tcPr>
            <w:tcW w:w="4182" w:type="dxa"/>
          </w:tcPr>
          <w:p w14:paraId="1272D1F8" w14:textId="511C66C7" w:rsidR="00C66FDD" w:rsidRDefault="00C66FDD" w:rsidP="00C66FDD">
            <w:pPr>
              <w:pStyle w:val="Logo"/>
            </w:pPr>
            <w:r>
              <w:rPr>
                <w:lang w:val="en-US" w:eastAsia="en-US"/>
              </w:rPr>
              <w:drawing>
                <wp:inline distT="0" distB="0" distL="0" distR="0" wp14:anchorId="7810B6FF" wp14:editId="4E8B4D2C">
                  <wp:extent cx="1982470" cy="491490"/>
                  <wp:effectExtent l="0" t="0" r="0" b="3810"/>
                  <wp:docPr id="3" name="Picture 3"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undeslogo_sw_pos_6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82470" cy="491490"/>
                          </a:xfrm>
                          <a:prstGeom prst="rect">
                            <a:avLst/>
                          </a:prstGeom>
                          <a:noFill/>
                          <a:ln>
                            <a:noFill/>
                          </a:ln>
                        </pic:spPr>
                      </pic:pic>
                    </a:graphicData>
                  </a:graphic>
                </wp:inline>
              </w:drawing>
            </w:r>
          </w:p>
          <w:p w14:paraId="59EDD056" w14:textId="77777777" w:rsidR="00C66FDD" w:rsidRDefault="00C66FDD" w:rsidP="00C66FDD">
            <w:pPr>
              <w:pStyle w:val="Logo"/>
            </w:pPr>
          </w:p>
        </w:tc>
        <w:tc>
          <w:tcPr>
            <w:tcW w:w="4961" w:type="dxa"/>
          </w:tcPr>
          <w:p w14:paraId="135E6AC2" w14:textId="77777777" w:rsidR="00C66FDD" w:rsidRDefault="00C66FDD" w:rsidP="00C66FDD">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Pr>
                <w:rFonts w:cs="Arial"/>
              </w:rPr>
              <w:t>Federal Department of the Environment,</w:t>
            </w:r>
          </w:p>
          <w:p w14:paraId="28323D17" w14:textId="77777777" w:rsidR="00C66FDD" w:rsidRPr="00D94545" w:rsidRDefault="00C66FDD" w:rsidP="00C66FDD">
            <w:pPr>
              <w:pStyle w:val="KopfDept"/>
              <w:rPr>
                <w:rFonts w:cs="Arial"/>
              </w:rPr>
            </w:pPr>
            <w:r>
              <w:rPr>
                <w:rFonts w:cs="Arial"/>
              </w:rPr>
              <w:t>Transport, Energy and Communications</w:t>
            </w:r>
            <w:r w:rsidRPr="00D94545">
              <w:rPr>
                <w:rFonts w:cs="Arial"/>
              </w:rPr>
              <w:fldChar w:fldCharType="end"/>
            </w:r>
            <w:r w:rsidRPr="00D94545">
              <w:rPr>
                <w:rFonts w:cs="Arial"/>
              </w:rPr>
              <w:t xml:space="preserve"> </w:t>
            </w: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kurz </w:instrText>
            </w:r>
            <w:r w:rsidRPr="00D94545">
              <w:rPr>
                <w:rFonts w:cs="Arial"/>
              </w:rPr>
              <w:fldChar w:fldCharType="separate"/>
            </w:r>
            <w:r>
              <w:rPr>
                <w:rFonts w:cs="Arial"/>
              </w:rPr>
              <w:t>DETEC</w:t>
            </w:r>
            <w:r w:rsidRPr="00D94545">
              <w:rPr>
                <w:rFonts w:cs="Arial"/>
              </w:rPr>
              <w:fldChar w:fldCharType="end"/>
            </w:r>
          </w:p>
          <w:p w14:paraId="2A5E6011" w14:textId="77777777" w:rsidR="00C66FDD" w:rsidRDefault="00C66FDD" w:rsidP="00C66FDD">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t>Federal Office for the Environment</w:t>
            </w:r>
            <w:r w:rsidRPr="00D94545">
              <w:fldChar w:fldCharType="end"/>
            </w:r>
            <w:r w:rsidRPr="00D94545">
              <w:t xml:space="preserve"> </w:t>
            </w:r>
            <w:r w:rsidRPr="00D94545">
              <w:fldChar w:fldCharType="begin"/>
            </w:r>
            <w:r w:rsidRPr="00D94545">
              <w:instrText xml:space="preserve"> DOCPROPERTY  Amtkurz </w:instrText>
            </w:r>
            <w:r w:rsidRPr="00D94545">
              <w:fldChar w:fldCharType="separate"/>
            </w:r>
            <w:r>
              <w:t>FOEN</w:t>
            </w:r>
            <w:r w:rsidRPr="00D94545">
              <w:fldChar w:fldCharType="end"/>
            </w:r>
          </w:p>
          <w:p w14:paraId="0198354F" w14:textId="77777777" w:rsidR="00C66FDD" w:rsidRPr="003306BA" w:rsidRDefault="00C66FDD" w:rsidP="00C66FDD">
            <w:pPr>
              <w:pStyle w:val="Header"/>
            </w:pPr>
            <w:r w:rsidRPr="003306BA">
              <w:fldChar w:fldCharType="begin"/>
            </w:r>
            <w:r>
              <w:instrText xml:space="preserve"> DOCPROPERTY  FSC#BAFUBDO@15.1700:Abteilung </w:instrText>
            </w:r>
            <w:r w:rsidRPr="003306BA">
              <w:fldChar w:fldCharType="separate"/>
            </w:r>
            <w:r>
              <w:t>International Affairs Division</w:t>
            </w:r>
            <w:r w:rsidRPr="003306BA">
              <w:fldChar w:fldCharType="end"/>
            </w:r>
          </w:p>
        </w:tc>
      </w:tr>
    </w:tbl>
    <w:p w14:paraId="43BA3C66" w14:textId="77777777" w:rsidR="00C66FDD" w:rsidRPr="00872FAB" w:rsidRDefault="00C66FDD" w:rsidP="00C61970">
      <w:pPr>
        <w:tabs>
          <w:tab w:val="clear" w:pos="1247"/>
          <w:tab w:val="clear" w:pos="1814"/>
          <w:tab w:val="clear" w:pos="2381"/>
          <w:tab w:val="clear" w:pos="2948"/>
          <w:tab w:val="clear" w:pos="3515"/>
          <w:tab w:val="left" w:pos="7371"/>
        </w:tabs>
        <w:spacing w:line="260" w:lineRule="atLeast"/>
        <w:rPr>
          <w:lang w:eastAsia="de-CH"/>
        </w:rPr>
      </w:pPr>
      <w:bookmarkStart w:id="4" w:name="_GoBack"/>
      <w:bookmarkEnd w:id="4"/>
      <w:r w:rsidRPr="00566297">
        <w:rPr>
          <w:rFonts w:ascii="Arial" w:hAnsi="Arial"/>
          <w:b/>
          <w:sz w:val="22"/>
          <w:lang w:eastAsia="de-CH"/>
        </w:rPr>
        <w:tab/>
      </w:r>
      <w:r w:rsidRPr="00872FAB">
        <w:rPr>
          <w:lang w:eastAsia="de-CH"/>
        </w:rPr>
        <w:t>27.6.2017</w:t>
      </w:r>
    </w:p>
    <w:p w14:paraId="5AABE7ED"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p>
    <w:p w14:paraId="0FED44E5" w14:textId="1A9AA649" w:rsidR="00C66FDD" w:rsidRPr="00872FAB" w:rsidRDefault="00C66FDD" w:rsidP="00872FAB">
      <w:pPr>
        <w:tabs>
          <w:tab w:val="clear" w:pos="1247"/>
          <w:tab w:val="clear" w:pos="1814"/>
          <w:tab w:val="clear" w:pos="2381"/>
          <w:tab w:val="clear" w:pos="2948"/>
          <w:tab w:val="clear" w:pos="3515"/>
        </w:tabs>
        <w:spacing w:line="260" w:lineRule="atLeast"/>
        <w:ind w:left="1247"/>
        <w:rPr>
          <w:b/>
          <w:sz w:val="22"/>
          <w:lang w:eastAsia="de-CH"/>
        </w:rPr>
      </w:pPr>
      <w:r w:rsidRPr="00872FAB">
        <w:rPr>
          <w:b/>
          <w:sz w:val="22"/>
          <w:lang w:eastAsia="de-CH"/>
        </w:rPr>
        <w:t xml:space="preserve">Additional </w:t>
      </w:r>
      <w:r w:rsidR="00565C4E" w:rsidRPr="00872FAB">
        <w:rPr>
          <w:b/>
          <w:sz w:val="22"/>
          <w:lang w:eastAsia="de-CH"/>
        </w:rPr>
        <w:t xml:space="preserve">clarification </w:t>
      </w:r>
      <w:r w:rsidRPr="00872FAB">
        <w:rPr>
          <w:b/>
          <w:sz w:val="22"/>
          <w:lang w:eastAsia="de-CH"/>
        </w:rPr>
        <w:t xml:space="preserve">of the </w:t>
      </w:r>
      <w:r w:rsidR="00565C4E" w:rsidRPr="00872FAB">
        <w:rPr>
          <w:b/>
          <w:sz w:val="22"/>
          <w:lang w:eastAsia="de-CH"/>
        </w:rPr>
        <w:t>o</w:t>
      </w:r>
      <w:r w:rsidRPr="00872FAB">
        <w:rPr>
          <w:b/>
          <w:sz w:val="22"/>
          <w:lang w:eastAsia="de-CH"/>
        </w:rPr>
        <w:t xml:space="preserve">ffer by the Government of Switzerland to </w:t>
      </w:r>
      <w:r w:rsidR="00565C4E" w:rsidRPr="00872FAB">
        <w:rPr>
          <w:b/>
          <w:sz w:val="22"/>
          <w:lang w:eastAsia="de-CH"/>
        </w:rPr>
        <w:t>h</w:t>
      </w:r>
      <w:r w:rsidRPr="00872FAB">
        <w:rPr>
          <w:b/>
          <w:sz w:val="22"/>
          <w:lang w:eastAsia="de-CH"/>
        </w:rPr>
        <w:t xml:space="preserve">ost the </w:t>
      </w:r>
      <w:r w:rsidR="00565C4E" w:rsidRPr="00872FAB">
        <w:rPr>
          <w:b/>
          <w:sz w:val="22"/>
          <w:lang w:eastAsia="de-CH"/>
        </w:rPr>
        <w:t>p</w:t>
      </w:r>
      <w:r w:rsidRPr="00872FAB">
        <w:rPr>
          <w:b/>
          <w:sz w:val="22"/>
          <w:lang w:eastAsia="de-CH"/>
        </w:rPr>
        <w:t xml:space="preserve">ermanent </w:t>
      </w:r>
      <w:r w:rsidR="00565C4E" w:rsidRPr="00872FAB">
        <w:rPr>
          <w:b/>
          <w:sz w:val="22"/>
          <w:lang w:eastAsia="de-CH"/>
        </w:rPr>
        <w:t>s</w:t>
      </w:r>
      <w:r w:rsidRPr="00872FAB">
        <w:rPr>
          <w:b/>
          <w:sz w:val="22"/>
          <w:lang w:eastAsia="de-CH"/>
        </w:rPr>
        <w:t>ecretariat of the Minamata Convention on Mercury in Geneva</w:t>
      </w:r>
    </w:p>
    <w:p w14:paraId="1C78B7D8"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p>
    <w:p w14:paraId="5E31AB37"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r w:rsidRPr="00872FAB">
        <w:rPr>
          <w:color w:val="000000"/>
          <w:lang w:val="en-US" w:eastAsia="de-CH"/>
        </w:rPr>
        <w:t xml:space="preserve">The first Conference of the Parties (COP) to the Minamata Convention on Mercury will be held in September 2017 in Geneva. It is foreseen that at this first COP, the Parties among other things will take a decision on the hosting of the permanent secretariat of the Minamata Convention and how the permanent secretariat will be provided. </w:t>
      </w:r>
      <w:r w:rsidRPr="00872FAB">
        <w:rPr>
          <w:lang w:eastAsia="de-CH"/>
        </w:rPr>
        <w:t>Switzerland would like to thank the interim secretariat for having prepared different documents on these issues which were presented to and discussed at INC7.</w:t>
      </w:r>
      <w:r w:rsidRPr="00872FAB">
        <w:rPr>
          <w:vertAlign w:val="superscript"/>
          <w:lang w:eastAsia="de-CH"/>
        </w:rPr>
        <w:footnoteReference w:id="2"/>
      </w:r>
      <w:r w:rsidRPr="00872FAB">
        <w:rPr>
          <w:lang w:eastAsia="de-CH"/>
        </w:rPr>
        <w:t xml:space="preserve"> </w:t>
      </w:r>
    </w:p>
    <w:p w14:paraId="32823D57"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p>
    <w:p w14:paraId="4977FCB6"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r w:rsidRPr="00872FAB">
        <w:rPr>
          <w:lang w:eastAsia="de-CH"/>
        </w:rPr>
        <w:t>Following the discussion at INC7 after the presentation of the Swiss offer to host the Secretariat of the Minamata Convention in Geneva as described in document UNEP/Hg/INC.7/INF/5 and upon request by the participants at INC7, Switzerland would like to submit the following clarifications on the Swiss offer to host the Secretariat of the Minamata Convention.</w:t>
      </w:r>
    </w:p>
    <w:p w14:paraId="1B269E3F"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p>
    <w:p w14:paraId="33919F58" w14:textId="39EA0B8C"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r w:rsidRPr="00872FAB">
        <w:rPr>
          <w:lang w:eastAsia="de-CH"/>
        </w:rPr>
        <w:t xml:space="preserve">Switzerland offers a contribution of 2.5 million CHF each year for a fully integrated Secretariat in Geneva, as well as rent-free office space and free rental of the Geneva International Conference </w:t>
      </w:r>
      <w:proofErr w:type="spellStart"/>
      <w:r w:rsidRPr="00872FAB">
        <w:rPr>
          <w:lang w:eastAsia="de-CH"/>
        </w:rPr>
        <w:t>Center</w:t>
      </w:r>
      <w:proofErr w:type="spellEnd"/>
      <w:r w:rsidRPr="00872FAB">
        <w:rPr>
          <w:lang w:eastAsia="de-CH"/>
        </w:rPr>
        <w:t>. The 2.5</w:t>
      </w:r>
      <w:r w:rsidR="00CF7866" w:rsidRPr="00872FAB">
        <w:rPr>
          <w:lang w:eastAsia="de-CH"/>
        </w:rPr>
        <w:t> </w:t>
      </w:r>
      <w:r w:rsidRPr="00872FAB">
        <w:rPr>
          <w:lang w:eastAsia="de-CH"/>
        </w:rPr>
        <w:t>million CHF comprises CHF 2 million</w:t>
      </w:r>
      <w:r w:rsidRPr="00872FAB">
        <w:rPr>
          <w:vertAlign w:val="superscript"/>
          <w:lang w:eastAsia="de-CH"/>
        </w:rPr>
        <w:footnoteReference w:id="3"/>
      </w:r>
      <w:r w:rsidRPr="00872FAB">
        <w:rPr>
          <w:lang w:eastAsia="de-CH"/>
        </w:rPr>
        <w:t xml:space="preserve"> each year provided without any restriction on how it is used (in particular no restriction regarding the location of meetings), and CHF 500,000 each year earmarked specifically for certain purposes, namely for financing a position for supporting the integration of the Secretariat and, subsequently, for joint activities of the Minamata, Basel, Rotterdam and Stockholm Conventions. In addition, there will be an initial single payment of CHF 100,000</w:t>
      </w:r>
      <w:proofErr w:type="gramStart"/>
      <w:r w:rsidRPr="00872FAB">
        <w:rPr>
          <w:lang w:eastAsia="de-CH"/>
        </w:rPr>
        <w:t>.-</w:t>
      </w:r>
      <w:proofErr w:type="gramEnd"/>
      <w:r w:rsidRPr="00872FAB">
        <w:rPr>
          <w:lang w:eastAsia="de-CH"/>
        </w:rPr>
        <w:t xml:space="preserve"> for the consolidation of its infrastructure. </w:t>
      </w:r>
    </w:p>
    <w:p w14:paraId="749ABF3E"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p>
    <w:p w14:paraId="6FA7AA47" w14:textId="77777777" w:rsidR="00C66FDD" w:rsidRPr="00872FAB" w:rsidRDefault="00C66FDD" w:rsidP="00872FAB">
      <w:pPr>
        <w:tabs>
          <w:tab w:val="clear" w:pos="1247"/>
          <w:tab w:val="clear" w:pos="1814"/>
          <w:tab w:val="clear" w:pos="2381"/>
          <w:tab w:val="clear" w:pos="2948"/>
          <w:tab w:val="clear" w:pos="3515"/>
        </w:tabs>
        <w:spacing w:line="260" w:lineRule="atLeast"/>
        <w:ind w:left="1247"/>
        <w:rPr>
          <w:lang w:eastAsia="de-CH"/>
        </w:rPr>
      </w:pPr>
      <w:r w:rsidRPr="00872FAB">
        <w:rPr>
          <w:color w:val="000000"/>
          <w:lang w:val="en-US" w:eastAsia="de-CH"/>
        </w:rPr>
        <w:t>The offer foresees a full integration of the Minamata Secretariat into the current structure of the secretariat of the Basel, Rotterdam and Stockholm conventions immediately after the first COP of the Minamata Convention. The functions to be performed by the Minamata secretariat would be divided among the three expanded existing branches of the secretariat of the Basel, Rotterdam and Stockholm conventions (the Conventions Operations Branch, the Technical Assistance Branch and the Scientific Support Branch), as well as through the Executive Office of the secretariat of the Basel, Rotterdam and Stockholm conventions. The function of the Executive Secretary, Deputy Executive Secretary and Branch Chiefs, as well as many functions supporting more than one convention will be sourced from existing staff, with cost-sharing by the Minamata Convention.</w:t>
      </w:r>
      <w:r w:rsidRPr="00872FAB">
        <w:rPr>
          <w:lang w:eastAsia="de-CH"/>
        </w:rPr>
        <w:t xml:space="preserve"> </w:t>
      </w:r>
    </w:p>
    <w:p w14:paraId="430DD0AB" w14:textId="77777777" w:rsidR="00C66FDD" w:rsidRPr="00872FAB" w:rsidRDefault="00C66FDD" w:rsidP="00872FAB">
      <w:pPr>
        <w:pStyle w:val="KopfFett"/>
        <w:ind w:left="1247"/>
        <w:rPr>
          <w:rFonts w:ascii="Times New Roman" w:hAnsi="Times New Roman"/>
        </w:rPr>
      </w:pPr>
      <w:r w:rsidRPr="00872FAB">
        <w:rPr>
          <w:rFonts w:ascii="Times New Roman" w:hAnsi="Times New Roman"/>
        </w:rPr>
        <w:fldChar w:fldCharType="begin"/>
      </w:r>
      <w:r w:rsidRPr="00872FAB">
        <w:rPr>
          <w:rFonts w:ascii="Times New Roman" w:hAnsi="Times New Roman"/>
        </w:rPr>
        <w:instrText xml:space="preserve"> DOCPROPERTY  FSC#BAFUBDO@15.1700:Klassifizierung </w:instrText>
      </w:r>
      <w:r w:rsidRPr="00872FAB">
        <w:rPr>
          <w:rFonts w:ascii="Times New Roman" w:hAnsi="Times New Roman"/>
        </w:rPr>
        <w:fldChar w:fldCharType="end"/>
      </w:r>
    </w:p>
    <w:p w14:paraId="040B00AC" w14:textId="77777777" w:rsidR="00C66FDD" w:rsidRPr="00872FAB" w:rsidRDefault="00A0643C" w:rsidP="00872FAB">
      <w:pPr>
        <w:keepNext/>
        <w:keepLines/>
        <w:tabs>
          <w:tab w:val="clear" w:pos="1247"/>
          <w:tab w:val="clear" w:pos="1814"/>
          <w:tab w:val="clear" w:pos="2381"/>
          <w:tab w:val="clear" w:pos="2948"/>
          <w:tab w:val="clear" w:pos="3515"/>
        </w:tabs>
        <w:spacing w:line="260" w:lineRule="atLeast"/>
        <w:ind w:left="1247"/>
        <w:rPr>
          <w:color w:val="000000"/>
          <w:lang w:val="en-US" w:eastAsia="de-CH"/>
        </w:rPr>
      </w:pPr>
      <w:r>
        <w:lastRenderedPageBreak/>
        <w:fldChar w:fldCharType="begin"/>
      </w:r>
      <w:r>
        <w:instrText xml:space="preserve"> DOCPROPERTY  strAktenzeichen </w:instrText>
      </w:r>
      <w:r>
        <w:fldChar w:fldCharType="separate"/>
      </w:r>
      <w:r w:rsidR="00C66FDD" w:rsidRPr="00872FAB">
        <w:t>Reference</w:t>
      </w:r>
      <w:r>
        <w:fldChar w:fldCharType="end"/>
      </w:r>
      <w:r w:rsidR="00C66FDD" w:rsidRPr="00872FAB">
        <w:fldChar w:fldCharType="begin"/>
      </w:r>
      <w:r w:rsidR="00C66FDD" w:rsidRPr="00872FAB">
        <w:instrText xml:space="preserve"> IF </w:instrText>
      </w:r>
      <w:r>
        <w:fldChar w:fldCharType="begin"/>
      </w:r>
      <w:r>
        <w:instrText xml:space="preserve"> DOCPROPERTY  strAktenzeichen </w:instrText>
      </w:r>
      <w:r>
        <w:fldChar w:fldCharType="separate"/>
      </w:r>
      <w:r w:rsidR="00C66FDD" w:rsidRPr="00872FAB">
        <w:instrText>Reference</w:instrText>
      </w:r>
      <w:r>
        <w:fldChar w:fldCharType="end"/>
      </w:r>
      <w:r w:rsidR="00C66FDD" w:rsidRPr="00872FAB">
        <w:instrText xml:space="preserve"> &lt;&gt; "" ": </w:instrText>
      </w:r>
      <w:r>
        <w:fldChar w:fldCharType="begin"/>
      </w:r>
      <w:r>
        <w:instrText xml:space="preserve"> DOCPROPERTY FSC#UVEKCFG@15.1700:DocumentNumber </w:instrText>
      </w:r>
      <w:r>
        <w:fldChar w:fldCharType="separate"/>
      </w:r>
      <w:r w:rsidR="00C66FDD" w:rsidRPr="00872FAB">
        <w:instrText>Q234-0237</w:instrText>
      </w:r>
      <w:r>
        <w:fldChar w:fldCharType="end"/>
      </w:r>
      <w:r w:rsidR="00C66FDD" w:rsidRPr="00872FAB">
        <w:instrText xml:space="preserve">" "" </w:instrText>
      </w:r>
      <w:r w:rsidR="00C66FDD" w:rsidRPr="00872FAB">
        <w:fldChar w:fldCharType="separate"/>
      </w:r>
      <w:r w:rsidR="00C66FDD" w:rsidRPr="00872FAB">
        <w:t>: Q234-0237</w:t>
      </w:r>
      <w:r w:rsidR="00C66FDD" w:rsidRPr="00872FAB">
        <w:fldChar w:fldCharType="end"/>
      </w:r>
    </w:p>
    <w:p w14:paraId="35258414" w14:textId="77777777" w:rsidR="00C66FDD" w:rsidRPr="00872FAB" w:rsidRDefault="00C66FDD" w:rsidP="00872FAB">
      <w:pPr>
        <w:keepNext/>
        <w:keepLines/>
        <w:tabs>
          <w:tab w:val="clear" w:pos="1247"/>
          <w:tab w:val="clear" w:pos="1814"/>
          <w:tab w:val="clear" w:pos="2381"/>
          <w:tab w:val="clear" w:pos="2948"/>
          <w:tab w:val="clear" w:pos="3515"/>
        </w:tabs>
        <w:spacing w:line="260" w:lineRule="atLeast"/>
        <w:ind w:left="1247"/>
        <w:rPr>
          <w:color w:val="000000"/>
          <w:lang w:val="en-US" w:eastAsia="de-CH"/>
        </w:rPr>
      </w:pPr>
    </w:p>
    <w:p w14:paraId="7B48B294" w14:textId="77777777" w:rsidR="00C66FDD" w:rsidRPr="00872FAB" w:rsidRDefault="00C66FDD" w:rsidP="00872FAB">
      <w:pPr>
        <w:keepNext/>
        <w:keepLines/>
        <w:tabs>
          <w:tab w:val="clear" w:pos="1247"/>
          <w:tab w:val="clear" w:pos="1814"/>
          <w:tab w:val="clear" w:pos="2381"/>
          <w:tab w:val="clear" w:pos="2948"/>
          <w:tab w:val="clear" w:pos="3515"/>
        </w:tabs>
        <w:spacing w:line="260" w:lineRule="atLeast"/>
        <w:ind w:left="1247"/>
        <w:rPr>
          <w:color w:val="000000"/>
          <w:lang w:val="en-US" w:eastAsia="de-CH"/>
        </w:rPr>
      </w:pPr>
      <w:r w:rsidRPr="00872FAB">
        <w:rPr>
          <w:color w:val="000000"/>
          <w:lang w:val="en-US" w:eastAsia="de-CH"/>
        </w:rPr>
        <w:t xml:space="preserve">An integrated secretariat arrangement does not imply Basel, Rotterdam, Stockholm, Minamata quadruple COPs. The Minamata parties are free to decide the frequency and format of its COPs regardless the arrangement of the conventions secretariat. </w:t>
      </w:r>
    </w:p>
    <w:p w14:paraId="2EF7C443" w14:textId="77777777" w:rsidR="00C66FDD" w:rsidRPr="00872FAB" w:rsidRDefault="00C66FDD" w:rsidP="00872FAB">
      <w:pPr>
        <w:keepNext/>
        <w:keepLines/>
        <w:tabs>
          <w:tab w:val="clear" w:pos="1247"/>
          <w:tab w:val="clear" w:pos="1814"/>
          <w:tab w:val="clear" w:pos="2381"/>
          <w:tab w:val="clear" w:pos="2948"/>
          <w:tab w:val="clear" w:pos="3515"/>
        </w:tabs>
        <w:spacing w:line="260" w:lineRule="atLeast"/>
        <w:ind w:left="1247"/>
        <w:rPr>
          <w:lang w:val="en-US" w:eastAsia="de-CH"/>
        </w:rPr>
      </w:pPr>
    </w:p>
    <w:p w14:paraId="723118C7" w14:textId="77777777" w:rsidR="00C66FDD" w:rsidRPr="00872FAB" w:rsidRDefault="00C66FDD" w:rsidP="00872FAB">
      <w:pPr>
        <w:keepNext/>
        <w:keepLines/>
        <w:tabs>
          <w:tab w:val="clear" w:pos="1247"/>
          <w:tab w:val="clear" w:pos="1814"/>
          <w:tab w:val="clear" w:pos="2381"/>
          <w:tab w:val="clear" w:pos="2948"/>
          <w:tab w:val="clear" w:pos="3515"/>
        </w:tabs>
        <w:spacing w:before="120" w:line="260" w:lineRule="atLeast"/>
        <w:ind w:left="1247"/>
        <w:rPr>
          <w:color w:val="000000"/>
          <w:lang w:val="en-US" w:eastAsia="de-CH"/>
        </w:rPr>
      </w:pPr>
      <w:r w:rsidRPr="00872FAB">
        <w:rPr>
          <w:color w:val="000000"/>
          <w:lang w:val="en-US" w:eastAsia="de-CH"/>
        </w:rPr>
        <w:t xml:space="preserve">Switzerland recognizes that at INC7 an additional option for merging the Secretariat of the Minamata convention with the Secretariat of the Basel, Rotterdam and Stockholm Conventions was presented. This option would on the one side allow for making benefit of synergies with the existing BRS secretariat structure, but that at the same time maintain a certain independence for specific Minamata functions (option 1b of document UNEP(DTIE)/Hg/INC.7/15). According to the proposal discussed at INC7, this option  foresees that the BRS secretariat could deliver general supporting functions while a separate Minamata Branch within the overarching BRS secretariat framework would fulfill Minamata specific key functions. This Minamata Branch would be responsible for carrying out capacity-building, and, technical assistance activities as well as science activities. This option is a compromise between a full integration immediately after the first COP on the one side and the stand-alone option on the other side. It could be established for a transitional phase in view of a later decision on full integration. Some parties have expressed their preference for this new option. </w:t>
      </w:r>
    </w:p>
    <w:p w14:paraId="60906D59" w14:textId="77777777" w:rsidR="00C66FDD" w:rsidRPr="00872FAB" w:rsidRDefault="00C66FDD" w:rsidP="00872FAB">
      <w:pPr>
        <w:tabs>
          <w:tab w:val="clear" w:pos="1247"/>
          <w:tab w:val="clear" w:pos="1814"/>
          <w:tab w:val="clear" w:pos="2381"/>
          <w:tab w:val="clear" w:pos="2948"/>
          <w:tab w:val="clear" w:pos="3515"/>
        </w:tabs>
        <w:spacing w:before="120" w:line="260" w:lineRule="atLeast"/>
        <w:ind w:left="1247"/>
        <w:rPr>
          <w:color w:val="000000"/>
          <w:lang w:val="en-US" w:eastAsia="de-CH"/>
        </w:rPr>
      </w:pPr>
      <w:r w:rsidRPr="00872FAB">
        <w:rPr>
          <w:color w:val="000000"/>
          <w:lang w:val="en-US" w:eastAsia="de-CH"/>
        </w:rPr>
        <w:t>This option was not covered by the initial Swiss offer to host the Permanent Secretariat of the Minamata Convention on Mercury in Geneva, which foresaw a full integration of the Minamata Secretariat into the current structure of the secretariat of the Basel, Rotterdam and Stockholm conventions immediately after the first COP. At INC7, Switzerland was requested to clarify whether and how its offer could be extended to this new option of a partial integration with an independent Minamata Branch within the BRS structure. Switzerland would like to inform that for this option, the Swiss host country contribution would be CHF 2 million annually, including the assessed contribution. The table below takes that into account and clarifies how the Swiss Offer applies to the three categories of different arrangements that might be considered in the decision to be taken at the first COP.</w:t>
      </w:r>
    </w:p>
    <w:p w14:paraId="1C532620" w14:textId="504BCD5D" w:rsidR="00C66FDD" w:rsidRPr="00872FAB" w:rsidRDefault="00C66FDD" w:rsidP="00872FAB">
      <w:pPr>
        <w:tabs>
          <w:tab w:val="clear" w:pos="1247"/>
          <w:tab w:val="clear" w:pos="1814"/>
          <w:tab w:val="clear" w:pos="2381"/>
          <w:tab w:val="clear" w:pos="2948"/>
          <w:tab w:val="clear" w:pos="3515"/>
        </w:tabs>
        <w:spacing w:before="240" w:after="120" w:line="260" w:lineRule="atLeast"/>
        <w:ind w:left="1247"/>
        <w:rPr>
          <w:color w:val="000000"/>
          <w:lang w:val="en-US" w:eastAsia="de-CH"/>
        </w:rPr>
      </w:pPr>
      <w:r w:rsidRPr="00872FAB">
        <w:rPr>
          <w:b/>
          <w:color w:val="000000"/>
          <w:lang w:val="en-US" w:eastAsia="de-CH"/>
        </w:rPr>
        <w:t>Application of Swiss Offer to different arrangements that might be considered in the decision to be taken at COP1</w:t>
      </w:r>
      <w:r w:rsidRPr="00872FAB">
        <w:rPr>
          <w:color w:val="000000"/>
          <w:lang w:val="en-US" w:eastAsia="de-CH"/>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694"/>
        <w:gridCol w:w="2409"/>
        <w:gridCol w:w="2693"/>
      </w:tblGrid>
      <w:tr w:rsidR="00C66FDD" w:rsidRPr="00872FAB" w14:paraId="233D4F3D" w14:textId="77777777" w:rsidTr="00872FAB">
        <w:trPr>
          <w:tblHeader/>
        </w:trPr>
        <w:tc>
          <w:tcPr>
            <w:tcW w:w="1843" w:type="dxa"/>
            <w:shd w:val="clear" w:color="auto" w:fill="auto"/>
          </w:tcPr>
          <w:p w14:paraId="3CEA4934" w14:textId="77777777" w:rsidR="00C66FDD" w:rsidRPr="00872FAB" w:rsidRDefault="00C66FDD" w:rsidP="00C66FDD">
            <w:pPr>
              <w:tabs>
                <w:tab w:val="clear" w:pos="1247"/>
                <w:tab w:val="clear" w:pos="1814"/>
                <w:tab w:val="clear" w:pos="2381"/>
                <w:tab w:val="clear" w:pos="2948"/>
                <w:tab w:val="clear" w:pos="3515"/>
              </w:tabs>
              <w:spacing w:line="260" w:lineRule="atLeast"/>
              <w:rPr>
                <w:lang w:val="en-US" w:eastAsia="de-CH"/>
              </w:rPr>
            </w:pPr>
          </w:p>
        </w:tc>
        <w:tc>
          <w:tcPr>
            <w:tcW w:w="2694" w:type="dxa"/>
            <w:shd w:val="clear" w:color="auto" w:fill="auto"/>
          </w:tcPr>
          <w:p w14:paraId="46CFC5F9" w14:textId="62C9C935" w:rsidR="00C66FDD" w:rsidRPr="00872FAB" w:rsidRDefault="00C66FDD">
            <w:pPr>
              <w:tabs>
                <w:tab w:val="clear" w:pos="1247"/>
                <w:tab w:val="clear" w:pos="1814"/>
                <w:tab w:val="clear" w:pos="2381"/>
                <w:tab w:val="clear" w:pos="2948"/>
                <w:tab w:val="clear" w:pos="3515"/>
              </w:tabs>
              <w:spacing w:line="260" w:lineRule="atLeast"/>
              <w:rPr>
                <w:lang w:val="en-US" w:eastAsia="de-CH"/>
              </w:rPr>
            </w:pPr>
            <w:r w:rsidRPr="00872FAB">
              <w:rPr>
                <w:b/>
                <w:color w:val="000000"/>
                <w:sz w:val="18"/>
                <w:szCs w:val="18"/>
                <w:lang w:val="en-US" w:eastAsia="de-CH"/>
              </w:rPr>
              <w:t>1a) Full Integration immediately after the first COP</w:t>
            </w:r>
          </w:p>
        </w:tc>
        <w:tc>
          <w:tcPr>
            <w:tcW w:w="2409" w:type="dxa"/>
            <w:shd w:val="clear" w:color="auto" w:fill="auto"/>
          </w:tcPr>
          <w:p w14:paraId="2BEAC291" w14:textId="7238DDCD" w:rsidR="00C66FDD" w:rsidRPr="00872FAB" w:rsidRDefault="00C66FDD" w:rsidP="00C66FDD">
            <w:pPr>
              <w:tabs>
                <w:tab w:val="clear" w:pos="1247"/>
                <w:tab w:val="clear" w:pos="1814"/>
                <w:tab w:val="clear" w:pos="2381"/>
                <w:tab w:val="clear" w:pos="2948"/>
                <w:tab w:val="clear" w:pos="3515"/>
              </w:tabs>
              <w:spacing w:line="260" w:lineRule="atLeast"/>
              <w:rPr>
                <w:lang w:val="en-US" w:eastAsia="de-CH"/>
              </w:rPr>
            </w:pPr>
            <w:r w:rsidRPr="00872FAB">
              <w:rPr>
                <w:b/>
                <w:color w:val="000000"/>
                <w:sz w:val="18"/>
                <w:szCs w:val="18"/>
                <w:lang w:val="en-US" w:eastAsia="de-CH"/>
              </w:rPr>
              <w:t xml:space="preserve">1b) Partial Integration with a </w:t>
            </w:r>
            <w:r w:rsidR="00CF7866" w:rsidRPr="00872FAB">
              <w:rPr>
                <w:b/>
                <w:color w:val="000000"/>
                <w:sz w:val="18"/>
                <w:szCs w:val="18"/>
                <w:lang w:val="en-US" w:eastAsia="de-CH"/>
              </w:rPr>
              <w:t>separate</w:t>
            </w:r>
            <w:r w:rsidRPr="00872FAB">
              <w:rPr>
                <w:b/>
                <w:color w:val="000000"/>
                <w:sz w:val="18"/>
                <w:szCs w:val="18"/>
                <w:lang w:val="en-US" w:eastAsia="de-CH"/>
              </w:rPr>
              <w:t xml:space="preserve"> Minamata Branch </w:t>
            </w:r>
          </w:p>
        </w:tc>
        <w:tc>
          <w:tcPr>
            <w:tcW w:w="2693" w:type="dxa"/>
            <w:shd w:val="clear" w:color="auto" w:fill="auto"/>
          </w:tcPr>
          <w:p w14:paraId="68370EBD" w14:textId="77777777" w:rsidR="00C66FDD" w:rsidRPr="00872FAB" w:rsidRDefault="00C66FDD" w:rsidP="00C66FDD">
            <w:pPr>
              <w:tabs>
                <w:tab w:val="clear" w:pos="1247"/>
                <w:tab w:val="clear" w:pos="1814"/>
                <w:tab w:val="clear" w:pos="2381"/>
                <w:tab w:val="clear" w:pos="2948"/>
                <w:tab w:val="clear" w:pos="3515"/>
              </w:tabs>
              <w:spacing w:line="260" w:lineRule="atLeast"/>
              <w:rPr>
                <w:lang w:val="en-US" w:eastAsia="de-CH"/>
              </w:rPr>
            </w:pPr>
            <w:r w:rsidRPr="00872FAB">
              <w:rPr>
                <w:b/>
                <w:color w:val="000000"/>
                <w:sz w:val="18"/>
                <w:szCs w:val="18"/>
                <w:lang w:val="en-US" w:eastAsia="de-CH"/>
              </w:rPr>
              <w:t xml:space="preserve">2) </w:t>
            </w:r>
            <w:proofErr w:type="spellStart"/>
            <w:r w:rsidRPr="00872FAB">
              <w:rPr>
                <w:b/>
                <w:color w:val="000000"/>
                <w:sz w:val="18"/>
                <w:szCs w:val="18"/>
                <w:lang w:val="en-US" w:eastAsia="de-CH"/>
              </w:rPr>
              <w:t>Stand alone</w:t>
            </w:r>
            <w:proofErr w:type="spellEnd"/>
            <w:r w:rsidRPr="00872FAB">
              <w:rPr>
                <w:b/>
                <w:color w:val="000000"/>
                <w:sz w:val="18"/>
                <w:szCs w:val="18"/>
                <w:lang w:val="en-US" w:eastAsia="de-CH"/>
              </w:rPr>
              <w:t xml:space="preserve"> secretariat in Geneva</w:t>
            </w:r>
          </w:p>
        </w:tc>
      </w:tr>
      <w:tr w:rsidR="00C66FDD" w:rsidRPr="00872FAB" w14:paraId="44436BE6" w14:textId="77777777" w:rsidTr="00872FAB">
        <w:tc>
          <w:tcPr>
            <w:tcW w:w="1843" w:type="dxa"/>
            <w:shd w:val="clear" w:color="auto" w:fill="auto"/>
          </w:tcPr>
          <w:p w14:paraId="0215A431" w14:textId="77777777" w:rsidR="00C66FDD" w:rsidRPr="00872FAB" w:rsidRDefault="00C66FDD" w:rsidP="00872FAB">
            <w:pPr>
              <w:tabs>
                <w:tab w:val="clear" w:pos="1247"/>
                <w:tab w:val="clear" w:pos="1814"/>
                <w:tab w:val="clear" w:pos="2381"/>
                <w:tab w:val="clear" w:pos="2948"/>
                <w:tab w:val="clear" w:pos="3515"/>
              </w:tabs>
              <w:spacing w:line="240" w:lineRule="atLeast"/>
              <w:rPr>
                <w:sz w:val="18"/>
                <w:szCs w:val="18"/>
                <w:lang w:val="en-US" w:eastAsia="de-CH"/>
              </w:rPr>
            </w:pPr>
            <w:r w:rsidRPr="00872FAB">
              <w:rPr>
                <w:sz w:val="18"/>
                <w:szCs w:val="18"/>
                <w:lang w:val="en-US" w:eastAsia="de-CH"/>
              </w:rPr>
              <w:t>Head / Management structure</w:t>
            </w:r>
          </w:p>
        </w:tc>
        <w:tc>
          <w:tcPr>
            <w:tcW w:w="2694" w:type="dxa"/>
            <w:shd w:val="clear" w:color="auto" w:fill="auto"/>
          </w:tcPr>
          <w:p w14:paraId="134894CA"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Joint Executive Secretary</w:t>
            </w:r>
          </w:p>
        </w:tc>
        <w:tc>
          <w:tcPr>
            <w:tcW w:w="2409" w:type="dxa"/>
            <w:shd w:val="clear" w:color="auto" w:fill="auto"/>
          </w:tcPr>
          <w:p w14:paraId="6280CA92"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Joint Executive Secretary</w:t>
            </w:r>
          </w:p>
        </w:tc>
        <w:tc>
          <w:tcPr>
            <w:tcW w:w="2693" w:type="dxa"/>
            <w:shd w:val="clear" w:color="auto" w:fill="auto"/>
          </w:tcPr>
          <w:p w14:paraId="01E834EF"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Minamata Executive Secretary</w:t>
            </w:r>
          </w:p>
        </w:tc>
      </w:tr>
      <w:tr w:rsidR="00C66FDD" w:rsidRPr="00872FAB" w14:paraId="2DEE1576" w14:textId="77777777" w:rsidTr="00872FAB">
        <w:tc>
          <w:tcPr>
            <w:tcW w:w="1843" w:type="dxa"/>
            <w:shd w:val="clear" w:color="auto" w:fill="auto"/>
          </w:tcPr>
          <w:p w14:paraId="698F1D70" w14:textId="77777777" w:rsidR="00C66FDD" w:rsidRPr="00872FAB" w:rsidRDefault="00C66FDD" w:rsidP="00872FAB">
            <w:pPr>
              <w:tabs>
                <w:tab w:val="clear" w:pos="1247"/>
                <w:tab w:val="clear" w:pos="1814"/>
                <w:tab w:val="clear" w:pos="2381"/>
                <w:tab w:val="clear" w:pos="2948"/>
                <w:tab w:val="clear" w:pos="3515"/>
              </w:tabs>
              <w:spacing w:line="240" w:lineRule="atLeast"/>
              <w:rPr>
                <w:sz w:val="18"/>
                <w:szCs w:val="18"/>
                <w:lang w:val="en-US" w:eastAsia="de-CH"/>
              </w:rPr>
            </w:pPr>
            <w:r w:rsidRPr="00872FAB">
              <w:rPr>
                <w:sz w:val="18"/>
                <w:szCs w:val="18"/>
                <w:lang w:val="en-US" w:eastAsia="de-CH"/>
              </w:rPr>
              <w:t>Organizational structure</w:t>
            </w:r>
          </w:p>
        </w:tc>
        <w:tc>
          <w:tcPr>
            <w:tcW w:w="2694" w:type="dxa"/>
            <w:shd w:val="clear" w:color="auto" w:fill="auto"/>
          </w:tcPr>
          <w:p w14:paraId="32693C16" w14:textId="77777777" w:rsidR="00C66FDD" w:rsidRPr="00872FAB" w:rsidRDefault="00C66FDD" w:rsidP="00872FAB">
            <w:pPr>
              <w:tabs>
                <w:tab w:val="clear" w:pos="1247"/>
                <w:tab w:val="clear" w:pos="1814"/>
                <w:tab w:val="clear" w:pos="2381"/>
                <w:tab w:val="clear" w:pos="2948"/>
                <w:tab w:val="clear" w:pos="3515"/>
              </w:tabs>
              <w:spacing w:line="240" w:lineRule="atLeast"/>
              <w:rPr>
                <w:color w:val="000000"/>
                <w:sz w:val="18"/>
                <w:szCs w:val="18"/>
                <w:lang w:val="en-US" w:eastAsia="de-CH"/>
              </w:rPr>
            </w:pPr>
            <w:r w:rsidRPr="00872FAB">
              <w:rPr>
                <w:color w:val="000000"/>
                <w:sz w:val="18"/>
                <w:szCs w:val="18"/>
                <w:lang w:val="en-US" w:eastAsia="de-CH"/>
              </w:rPr>
              <w:t xml:space="preserve">Shared Branches using existing BRS structure: </w:t>
            </w:r>
          </w:p>
          <w:p w14:paraId="0A32EF23"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Conventions Operations Branch, Scientific Support Branch, Technical Assistance Branch</w:t>
            </w:r>
          </w:p>
        </w:tc>
        <w:tc>
          <w:tcPr>
            <w:tcW w:w="2409" w:type="dxa"/>
            <w:shd w:val="clear" w:color="auto" w:fill="auto"/>
          </w:tcPr>
          <w:p w14:paraId="5F0CCEB4"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Organizational structure with shared branches and services and a separate Minamata Branch to deal with specific aspects to the implementation of the convention</w:t>
            </w:r>
          </w:p>
        </w:tc>
        <w:tc>
          <w:tcPr>
            <w:tcW w:w="2693" w:type="dxa"/>
            <w:shd w:val="clear" w:color="auto" w:fill="auto"/>
          </w:tcPr>
          <w:p w14:paraId="0962CA0D"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proofErr w:type="spellStart"/>
            <w:r w:rsidRPr="00872FAB">
              <w:rPr>
                <w:color w:val="000000"/>
                <w:sz w:val="18"/>
                <w:szCs w:val="18"/>
                <w:lang w:val="en-US" w:eastAsia="de-CH"/>
              </w:rPr>
              <w:t>Stand alone</w:t>
            </w:r>
            <w:proofErr w:type="spellEnd"/>
            <w:r w:rsidRPr="00872FAB">
              <w:rPr>
                <w:color w:val="000000"/>
                <w:sz w:val="18"/>
                <w:szCs w:val="18"/>
                <w:lang w:val="en-US" w:eastAsia="de-CH"/>
              </w:rPr>
              <w:t xml:space="preserve"> secretariat. BRS services to Minamata Secretariat are possible but invoiced</w:t>
            </w:r>
          </w:p>
        </w:tc>
      </w:tr>
      <w:tr w:rsidR="00C66FDD" w:rsidRPr="00872FAB" w14:paraId="2864B528" w14:textId="77777777" w:rsidTr="00872FAB">
        <w:tc>
          <w:tcPr>
            <w:tcW w:w="1843" w:type="dxa"/>
            <w:shd w:val="clear" w:color="auto" w:fill="auto"/>
          </w:tcPr>
          <w:p w14:paraId="21BA2750" w14:textId="77777777" w:rsidR="00C66FDD" w:rsidRPr="00872FAB" w:rsidRDefault="00C66FDD" w:rsidP="00872FAB">
            <w:pPr>
              <w:tabs>
                <w:tab w:val="clear" w:pos="1247"/>
                <w:tab w:val="clear" w:pos="1814"/>
                <w:tab w:val="clear" w:pos="2381"/>
                <w:tab w:val="clear" w:pos="2948"/>
                <w:tab w:val="clear" w:pos="3515"/>
              </w:tabs>
              <w:spacing w:line="240" w:lineRule="atLeast"/>
              <w:rPr>
                <w:sz w:val="18"/>
                <w:szCs w:val="18"/>
                <w:lang w:val="en-US" w:eastAsia="de-CH"/>
              </w:rPr>
            </w:pPr>
            <w:r w:rsidRPr="00872FAB">
              <w:rPr>
                <w:sz w:val="18"/>
                <w:szCs w:val="18"/>
                <w:lang w:val="en-US" w:eastAsia="de-CH"/>
              </w:rPr>
              <w:t>Host country contribution</w:t>
            </w:r>
          </w:p>
        </w:tc>
        <w:tc>
          <w:tcPr>
            <w:tcW w:w="2694" w:type="dxa"/>
            <w:shd w:val="clear" w:color="auto" w:fill="auto"/>
          </w:tcPr>
          <w:p w14:paraId="7D82DA90" w14:textId="77777777" w:rsidR="00C66FDD" w:rsidRPr="00872FAB" w:rsidRDefault="00C66FDD" w:rsidP="00872FAB">
            <w:pPr>
              <w:tabs>
                <w:tab w:val="clear" w:pos="1247"/>
                <w:tab w:val="clear" w:pos="1814"/>
                <w:tab w:val="clear" w:pos="2381"/>
                <w:tab w:val="clear" w:pos="2948"/>
                <w:tab w:val="clear" w:pos="3515"/>
              </w:tabs>
              <w:spacing w:line="240" w:lineRule="atLeast"/>
              <w:rPr>
                <w:color w:val="000000"/>
                <w:sz w:val="18"/>
                <w:szCs w:val="18"/>
                <w:lang w:val="en-US" w:eastAsia="de-CH"/>
              </w:rPr>
            </w:pPr>
            <w:r w:rsidRPr="00872FAB">
              <w:rPr>
                <w:color w:val="000000"/>
                <w:sz w:val="18"/>
                <w:szCs w:val="18"/>
                <w:lang w:val="en-US" w:eastAsia="de-CH"/>
              </w:rPr>
              <w:t xml:space="preserve">Switzerland committed to paying </w:t>
            </w:r>
          </w:p>
          <w:p w14:paraId="2007B07D" w14:textId="77777777" w:rsidR="00C66FDD" w:rsidRPr="00872FAB" w:rsidRDefault="00C66FDD" w:rsidP="00872FAB">
            <w:pPr>
              <w:numPr>
                <w:ilvl w:val="0"/>
                <w:numId w:val="20"/>
              </w:numPr>
              <w:tabs>
                <w:tab w:val="clear" w:pos="1247"/>
                <w:tab w:val="clear" w:pos="1814"/>
                <w:tab w:val="clear" w:pos="2381"/>
                <w:tab w:val="clear" w:pos="2948"/>
                <w:tab w:val="clear" w:pos="3515"/>
              </w:tabs>
              <w:spacing w:line="240" w:lineRule="atLeast"/>
              <w:contextualSpacing/>
              <w:rPr>
                <w:color w:val="000000"/>
                <w:sz w:val="18"/>
                <w:szCs w:val="18"/>
                <w:lang w:val="en-US" w:eastAsia="de-CH"/>
              </w:rPr>
            </w:pPr>
            <w:r w:rsidRPr="00872FAB">
              <w:rPr>
                <w:color w:val="000000"/>
                <w:sz w:val="18"/>
                <w:szCs w:val="18"/>
                <w:lang w:val="en-US" w:eastAsia="de-CH"/>
              </w:rPr>
              <w:t>CHF 2 Mio. per year of unearmarked contributions</w:t>
            </w:r>
          </w:p>
          <w:p w14:paraId="620A6DB8" w14:textId="77777777" w:rsidR="00C66FDD" w:rsidRPr="00872FAB" w:rsidRDefault="00C66FDD" w:rsidP="00872FAB">
            <w:pPr>
              <w:numPr>
                <w:ilvl w:val="0"/>
                <w:numId w:val="20"/>
              </w:numPr>
              <w:tabs>
                <w:tab w:val="clear" w:pos="1247"/>
                <w:tab w:val="clear" w:pos="1814"/>
                <w:tab w:val="clear" w:pos="2381"/>
                <w:tab w:val="clear" w:pos="2948"/>
                <w:tab w:val="clear" w:pos="3515"/>
              </w:tabs>
              <w:spacing w:line="240" w:lineRule="atLeast"/>
              <w:contextualSpacing/>
              <w:rPr>
                <w:color w:val="000000"/>
                <w:sz w:val="18"/>
                <w:szCs w:val="18"/>
                <w:lang w:val="en-US" w:eastAsia="de-CH"/>
              </w:rPr>
            </w:pPr>
            <w:r w:rsidRPr="00872FAB">
              <w:rPr>
                <w:color w:val="000000"/>
                <w:sz w:val="18"/>
                <w:szCs w:val="18"/>
                <w:lang w:val="en-US" w:eastAsia="de-CH"/>
              </w:rPr>
              <w:t xml:space="preserve">initial payment of CHF 100’000.- </w:t>
            </w:r>
          </w:p>
          <w:p w14:paraId="45202288" w14:textId="0AA202BA" w:rsidR="00C66FDD" w:rsidRPr="00872FAB" w:rsidRDefault="00C66FDD" w:rsidP="00872FAB">
            <w:pPr>
              <w:numPr>
                <w:ilvl w:val="0"/>
                <w:numId w:val="20"/>
              </w:numPr>
              <w:tabs>
                <w:tab w:val="clear" w:pos="1247"/>
                <w:tab w:val="clear" w:pos="1814"/>
                <w:tab w:val="clear" w:pos="2381"/>
                <w:tab w:val="clear" w:pos="2948"/>
                <w:tab w:val="clear" w:pos="3515"/>
              </w:tabs>
              <w:spacing w:line="240" w:lineRule="atLeast"/>
              <w:contextualSpacing/>
              <w:rPr>
                <w:color w:val="000000"/>
                <w:sz w:val="18"/>
                <w:szCs w:val="18"/>
                <w:lang w:val="en-US" w:eastAsia="de-CH"/>
              </w:rPr>
            </w:pPr>
            <w:r w:rsidRPr="00872FAB">
              <w:rPr>
                <w:color w:val="000000"/>
                <w:sz w:val="18"/>
                <w:szCs w:val="18"/>
                <w:lang w:val="en-US" w:eastAsia="de-CH"/>
              </w:rPr>
              <w:t xml:space="preserve">CHF 500’000 per year of earmarked </w:t>
            </w:r>
            <w:r w:rsidR="00CF7866" w:rsidRPr="00872FAB">
              <w:rPr>
                <w:color w:val="000000"/>
                <w:sz w:val="18"/>
                <w:szCs w:val="18"/>
                <w:lang w:val="en-US" w:eastAsia="de-CH"/>
              </w:rPr>
              <w:t>contributions</w:t>
            </w:r>
            <w:r w:rsidRPr="00872FAB">
              <w:rPr>
                <w:color w:val="000000"/>
                <w:sz w:val="18"/>
                <w:szCs w:val="18"/>
                <w:lang w:val="en-US" w:eastAsia="de-CH"/>
              </w:rPr>
              <w:t xml:space="preserve"> for financing a position for supporting the integration of the secretariat and, subsequently, joint activities of the Minamata, Basel, Rotterdam and Stockholm Conventions</w:t>
            </w:r>
          </w:p>
        </w:tc>
        <w:tc>
          <w:tcPr>
            <w:tcW w:w="2409" w:type="dxa"/>
            <w:shd w:val="clear" w:color="auto" w:fill="auto"/>
          </w:tcPr>
          <w:p w14:paraId="7CD98A74" w14:textId="77777777" w:rsidR="00C66FDD" w:rsidRPr="00872FAB" w:rsidRDefault="00C66FDD" w:rsidP="00872FAB">
            <w:pPr>
              <w:tabs>
                <w:tab w:val="clear" w:pos="1247"/>
                <w:tab w:val="clear" w:pos="1814"/>
                <w:tab w:val="clear" w:pos="2381"/>
                <w:tab w:val="clear" w:pos="2948"/>
                <w:tab w:val="clear" w:pos="3515"/>
              </w:tabs>
              <w:spacing w:line="240" w:lineRule="atLeast"/>
              <w:rPr>
                <w:color w:val="000000"/>
                <w:sz w:val="18"/>
                <w:szCs w:val="18"/>
                <w:lang w:val="en-US" w:eastAsia="de-CH"/>
              </w:rPr>
            </w:pPr>
            <w:r w:rsidRPr="00872FAB">
              <w:rPr>
                <w:color w:val="000000"/>
                <w:sz w:val="18"/>
                <w:szCs w:val="18"/>
                <w:lang w:val="en-US" w:eastAsia="de-CH"/>
              </w:rPr>
              <w:t xml:space="preserve">Switzerland committed to paying </w:t>
            </w:r>
          </w:p>
          <w:p w14:paraId="40A1762F" w14:textId="77777777" w:rsidR="00C66FDD" w:rsidRPr="00872FAB" w:rsidRDefault="00C66FDD" w:rsidP="00872FAB">
            <w:pPr>
              <w:numPr>
                <w:ilvl w:val="0"/>
                <w:numId w:val="20"/>
              </w:numPr>
              <w:tabs>
                <w:tab w:val="clear" w:pos="1247"/>
                <w:tab w:val="clear" w:pos="1814"/>
                <w:tab w:val="clear" w:pos="2381"/>
                <w:tab w:val="clear" w:pos="2948"/>
                <w:tab w:val="clear" w:pos="3515"/>
              </w:tabs>
              <w:spacing w:line="240" w:lineRule="atLeast"/>
              <w:contextualSpacing/>
              <w:rPr>
                <w:color w:val="000000"/>
                <w:sz w:val="18"/>
                <w:szCs w:val="18"/>
                <w:lang w:val="en-US" w:eastAsia="de-CH"/>
              </w:rPr>
            </w:pPr>
            <w:r w:rsidRPr="00872FAB">
              <w:rPr>
                <w:color w:val="000000"/>
                <w:sz w:val="18"/>
                <w:szCs w:val="18"/>
                <w:lang w:val="en-US" w:eastAsia="de-CH"/>
              </w:rPr>
              <w:t>CHF 2 Mio. per year of unearmarked contributions</w:t>
            </w:r>
          </w:p>
          <w:p w14:paraId="5F0640A1" w14:textId="044F59CA" w:rsidR="00C66FDD" w:rsidRPr="00872FAB" w:rsidRDefault="00C66FDD" w:rsidP="00872FAB">
            <w:pPr>
              <w:numPr>
                <w:ilvl w:val="0"/>
                <w:numId w:val="20"/>
              </w:numPr>
              <w:tabs>
                <w:tab w:val="clear" w:pos="1247"/>
                <w:tab w:val="clear" w:pos="1814"/>
                <w:tab w:val="clear" w:pos="2381"/>
                <w:tab w:val="clear" w:pos="2948"/>
                <w:tab w:val="clear" w:pos="3515"/>
              </w:tabs>
              <w:spacing w:line="240" w:lineRule="atLeast"/>
              <w:contextualSpacing/>
              <w:rPr>
                <w:color w:val="000000"/>
                <w:sz w:val="18"/>
                <w:szCs w:val="18"/>
                <w:lang w:val="en-US" w:eastAsia="de-CH"/>
              </w:rPr>
            </w:pPr>
            <w:r w:rsidRPr="00872FAB">
              <w:rPr>
                <w:color w:val="000000"/>
                <w:sz w:val="18"/>
                <w:szCs w:val="18"/>
                <w:lang w:val="en-US" w:eastAsia="de-CH"/>
              </w:rPr>
              <w:t xml:space="preserve">initial payment of CHF 100’000.- </w:t>
            </w:r>
          </w:p>
        </w:tc>
        <w:tc>
          <w:tcPr>
            <w:tcW w:w="2693" w:type="dxa"/>
            <w:shd w:val="clear" w:color="auto" w:fill="auto"/>
          </w:tcPr>
          <w:p w14:paraId="0DEA5B00" w14:textId="77777777" w:rsidR="00C66FDD" w:rsidRPr="00872FAB" w:rsidRDefault="00C66FDD" w:rsidP="00872FAB">
            <w:pPr>
              <w:tabs>
                <w:tab w:val="clear" w:pos="1247"/>
                <w:tab w:val="clear" w:pos="1814"/>
                <w:tab w:val="clear" w:pos="2381"/>
                <w:tab w:val="clear" w:pos="2948"/>
                <w:tab w:val="clear" w:pos="3515"/>
              </w:tabs>
              <w:spacing w:line="240" w:lineRule="atLeast"/>
              <w:rPr>
                <w:color w:val="000000"/>
                <w:sz w:val="18"/>
                <w:szCs w:val="18"/>
                <w:lang w:val="en-US" w:eastAsia="de-CH"/>
              </w:rPr>
            </w:pPr>
            <w:r w:rsidRPr="00872FAB">
              <w:rPr>
                <w:color w:val="000000"/>
                <w:sz w:val="18"/>
                <w:szCs w:val="18"/>
                <w:lang w:val="en-US" w:eastAsia="de-CH"/>
              </w:rPr>
              <w:t xml:space="preserve">Switzerland committed to paying </w:t>
            </w:r>
          </w:p>
          <w:p w14:paraId="72B1C1CC" w14:textId="77777777" w:rsidR="00C66FDD" w:rsidRPr="00872FAB" w:rsidRDefault="00C66FDD" w:rsidP="00872FAB">
            <w:pPr>
              <w:numPr>
                <w:ilvl w:val="0"/>
                <w:numId w:val="20"/>
              </w:numPr>
              <w:tabs>
                <w:tab w:val="clear" w:pos="1247"/>
                <w:tab w:val="clear" w:pos="1814"/>
                <w:tab w:val="clear" w:pos="2381"/>
                <w:tab w:val="clear" w:pos="2948"/>
                <w:tab w:val="clear" w:pos="3515"/>
              </w:tabs>
              <w:spacing w:line="240" w:lineRule="atLeast"/>
              <w:contextualSpacing/>
              <w:rPr>
                <w:lang w:val="en-US" w:eastAsia="de-CH"/>
              </w:rPr>
            </w:pPr>
            <w:r w:rsidRPr="00872FAB">
              <w:rPr>
                <w:color w:val="000000"/>
                <w:sz w:val="18"/>
                <w:szCs w:val="18"/>
                <w:lang w:val="en-US" w:eastAsia="de-CH"/>
              </w:rPr>
              <w:t xml:space="preserve">initial payment of CHF 100’000.- </w:t>
            </w:r>
          </w:p>
        </w:tc>
      </w:tr>
      <w:tr w:rsidR="00C66FDD" w:rsidRPr="00872FAB" w14:paraId="417A3C24" w14:textId="77777777" w:rsidTr="00872FAB">
        <w:tc>
          <w:tcPr>
            <w:tcW w:w="1843" w:type="dxa"/>
            <w:shd w:val="clear" w:color="auto" w:fill="auto"/>
          </w:tcPr>
          <w:p w14:paraId="3A8697B9" w14:textId="77777777" w:rsidR="00C66FDD" w:rsidRPr="00872FAB" w:rsidRDefault="00C66FDD" w:rsidP="00872FAB">
            <w:pPr>
              <w:tabs>
                <w:tab w:val="clear" w:pos="1247"/>
                <w:tab w:val="clear" w:pos="1814"/>
                <w:tab w:val="clear" w:pos="2381"/>
                <w:tab w:val="clear" w:pos="2948"/>
                <w:tab w:val="clear" w:pos="3515"/>
              </w:tabs>
              <w:spacing w:line="240" w:lineRule="atLeast"/>
              <w:rPr>
                <w:sz w:val="18"/>
                <w:szCs w:val="18"/>
                <w:lang w:val="en-US" w:eastAsia="de-CH"/>
              </w:rPr>
            </w:pPr>
            <w:r w:rsidRPr="00872FAB">
              <w:rPr>
                <w:sz w:val="18"/>
                <w:szCs w:val="18"/>
                <w:lang w:val="en-US" w:eastAsia="de-CH"/>
              </w:rPr>
              <w:lastRenderedPageBreak/>
              <w:t>Office space</w:t>
            </w:r>
          </w:p>
        </w:tc>
        <w:tc>
          <w:tcPr>
            <w:tcW w:w="2694" w:type="dxa"/>
            <w:shd w:val="clear" w:color="auto" w:fill="auto"/>
          </w:tcPr>
          <w:p w14:paraId="58776607"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 xml:space="preserve">Rent free office space </w:t>
            </w:r>
          </w:p>
        </w:tc>
        <w:tc>
          <w:tcPr>
            <w:tcW w:w="2409" w:type="dxa"/>
            <w:shd w:val="clear" w:color="auto" w:fill="auto"/>
          </w:tcPr>
          <w:p w14:paraId="779201DE"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 xml:space="preserve">Rent free office space </w:t>
            </w:r>
          </w:p>
        </w:tc>
        <w:tc>
          <w:tcPr>
            <w:tcW w:w="2693" w:type="dxa"/>
            <w:shd w:val="clear" w:color="auto" w:fill="auto"/>
          </w:tcPr>
          <w:p w14:paraId="375E8DFF"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Rent free office space</w:t>
            </w:r>
          </w:p>
        </w:tc>
      </w:tr>
      <w:tr w:rsidR="00C66FDD" w:rsidRPr="00872FAB" w14:paraId="5D590D9A" w14:textId="77777777" w:rsidTr="00872FAB">
        <w:tc>
          <w:tcPr>
            <w:tcW w:w="1843" w:type="dxa"/>
            <w:shd w:val="clear" w:color="auto" w:fill="auto"/>
          </w:tcPr>
          <w:p w14:paraId="0961F604" w14:textId="77777777" w:rsidR="00C66FDD" w:rsidRPr="00872FAB" w:rsidRDefault="00C66FDD" w:rsidP="00872FAB">
            <w:pPr>
              <w:tabs>
                <w:tab w:val="clear" w:pos="1247"/>
                <w:tab w:val="clear" w:pos="1814"/>
                <w:tab w:val="clear" w:pos="2381"/>
                <w:tab w:val="clear" w:pos="2948"/>
                <w:tab w:val="clear" w:pos="3515"/>
              </w:tabs>
              <w:spacing w:line="240" w:lineRule="atLeast"/>
              <w:rPr>
                <w:sz w:val="18"/>
                <w:szCs w:val="18"/>
                <w:lang w:val="en-US" w:eastAsia="de-CH"/>
              </w:rPr>
            </w:pPr>
            <w:r w:rsidRPr="00872FAB">
              <w:rPr>
                <w:sz w:val="18"/>
                <w:szCs w:val="18"/>
                <w:lang w:val="en-US" w:eastAsia="de-CH"/>
              </w:rPr>
              <w:t>CICG</w:t>
            </w:r>
          </w:p>
        </w:tc>
        <w:tc>
          <w:tcPr>
            <w:tcW w:w="2694" w:type="dxa"/>
            <w:shd w:val="clear" w:color="auto" w:fill="auto"/>
          </w:tcPr>
          <w:p w14:paraId="0E27AF21"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Rent free use of CICG</w:t>
            </w:r>
          </w:p>
        </w:tc>
        <w:tc>
          <w:tcPr>
            <w:tcW w:w="2409" w:type="dxa"/>
            <w:shd w:val="clear" w:color="auto" w:fill="auto"/>
          </w:tcPr>
          <w:p w14:paraId="237636E5"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Rent free use of CICG</w:t>
            </w:r>
          </w:p>
        </w:tc>
        <w:tc>
          <w:tcPr>
            <w:tcW w:w="2693" w:type="dxa"/>
            <w:shd w:val="clear" w:color="auto" w:fill="auto"/>
          </w:tcPr>
          <w:p w14:paraId="0924A19F" w14:textId="77777777" w:rsidR="00C66FDD" w:rsidRPr="00872FAB" w:rsidRDefault="00C66FDD" w:rsidP="00872FAB">
            <w:pPr>
              <w:tabs>
                <w:tab w:val="clear" w:pos="1247"/>
                <w:tab w:val="clear" w:pos="1814"/>
                <w:tab w:val="clear" w:pos="2381"/>
                <w:tab w:val="clear" w:pos="2948"/>
                <w:tab w:val="clear" w:pos="3515"/>
              </w:tabs>
              <w:spacing w:line="240" w:lineRule="atLeast"/>
              <w:rPr>
                <w:lang w:val="en-US" w:eastAsia="de-CH"/>
              </w:rPr>
            </w:pPr>
            <w:r w:rsidRPr="00872FAB">
              <w:rPr>
                <w:color w:val="000000"/>
                <w:sz w:val="18"/>
                <w:szCs w:val="18"/>
                <w:lang w:val="en-US" w:eastAsia="de-CH"/>
              </w:rPr>
              <w:t>Rent free use of CICG</w:t>
            </w:r>
          </w:p>
        </w:tc>
      </w:tr>
    </w:tbl>
    <w:p w14:paraId="0BBE9E1B" w14:textId="77777777" w:rsidR="00C66FDD" w:rsidRPr="00872FAB" w:rsidRDefault="00C66FDD" w:rsidP="00872FAB">
      <w:pPr>
        <w:pStyle w:val="Normal-pool"/>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1"/>
        <w:gridCol w:w="1941"/>
        <w:gridCol w:w="1941"/>
        <w:gridCol w:w="1941"/>
        <w:gridCol w:w="1942"/>
      </w:tblGrid>
      <w:tr w:rsidR="00F6115C" w:rsidRPr="00872FAB" w14:paraId="19F55591" w14:textId="77777777" w:rsidTr="00F6115C">
        <w:tc>
          <w:tcPr>
            <w:tcW w:w="1941" w:type="dxa"/>
          </w:tcPr>
          <w:p w14:paraId="7B5ED9D1" w14:textId="77777777" w:rsidR="00F6115C" w:rsidRPr="00872FAB" w:rsidRDefault="00F6115C" w:rsidP="00872FAB">
            <w:pPr>
              <w:spacing w:before="520"/>
              <w:rPr>
                <w:i/>
                <w:iCs/>
              </w:rPr>
            </w:pPr>
          </w:p>
        </w:tc>
        <w:tc>
          <w:tcPr>
            <w:tcW w:w="1941" w:type="dxa"/>
          </w:tcPr>
          <w:p w14:paraId="00D72B37" w14:textId="77777777" w:rsidR="00F6115C" w:rsidRPr="00872FAB" w:rsidRDefault="00F6115C" w:rsidP="00872FAB">
            <w:pPr>
              <w:spacing w:before="520"/>
              <w:rPr>
                <w:i/>
                <w:iCs/>
              </w:rPr>
            </w:pPr>
          </w:p>
        </w:tc>
        <w:tc>
          <w:tcPr>
            <w:tcW w:w="1941" w:type="dxa"/>
            <w:tcBorders>
              <w:bottom w:val="single" w:sz="4" w:space="0" w:color="auto"/>
            </w:tcBorders>
          </w:tcPr>
          <w:p w14:paraId="59A197A6" w14:textId="77777777" w:rsidR="00F6115C" w:rsidRPr="00872FAB" w:rsidRDefault="00F6115C" w:rsidP="00872FAB">
            <w:pPr>
              <w:spacing w:before="520"/>
              <w:rPr>
                <w:i/>
                <w:iCs/>
              </w:rPr>
            </w:pPr>
          </w:p>
        </w:tc>
        <w:tc>
          <w:tcPr>
            <w:tcW w:w="1941" w:type="dxa"/>
          </w:tcPr>
          <w:p w14:paraId="27439DC3" w14:textId="77777777" w:rsidR="00F6115C" w:rsidRPr="00872FAB" w:rsidRDefault="00F6115C" w:rsidP="00872FAB">
            <w:pPr>
              <w:spacing w:before="520"/>
              <w:rPr>
                <w:i/>
                <w:iCs/>
              </w:rPr>
            </w:pPr>
          </w:p>
        </w:tc>
        <w:tc>
          <w:tcPr>
            <w:tcW w:w="1942" w:type="dxa"/>
          </w:tcPr>
          <w:p w14:paraId="68081AB4" w14:textId="77777777" w:rsidR="00F6115C" w:rsidRPr="00872FAB" w:rsidRDefault="00F6115C" w:rsidP="00872FAB">
            <w:pPr>
              <w:spacing w:before="520"/>
              <w:rPr>
                <w:i/>
                <w:iCs/>
              </w:rPr>
            </w:pPr>
          </w:p>
        </w:tc>
      </w:tr>
    </w:tbl>
    <w:p w14:paraId="23DC5136" w14:textId="77777777" w:rsidR="001A5ACA" w:rsidRPr="00872FAB" w:rsidRDefault="001A5ACA" w:rsidP="001A5ACA">
      <w:pPr>
        <w:rPr>
          <w:i/>
          <w:iCs/>
        </w:rPr>
      </w:pPr>
    </w:p>
    <w:sectPr w:rsidR="001A5ACA" w:rsidRPr="00872FAB" w:rsidSect="00C66FDD">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1C3442" w14:textId="77777777" w:rsidR="00C61970" w:rsidRDefault="00C61970">
      <w:r>
        <w:separator/>
      </w:r>
    </w:p>
  </w:endnote>
  <w:endnote w:type="continuationSeparator" w:id="0">
    <w:p w14:paraId="59E52878" w14:textId="77777777" w:rsidR="00C61970" w:rsidRDefault="00C61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F2A32" w14:textId="77777777" w:rsidR="00C61970" w:rsidRPr="00773098" w:rsidRDefault="00C61970">
    <w:pPr>
      <w:pStyle w:val="Footer"/>
      <w:rPr>
        <w:szCs w:val="18"/>
      </w:rPr>
    </w:pPr>
    <w:r w:rsidRPr="00773098">
      <w:rPr>
        <w:rStyle w:val="PageNumber"/>
        <w:szCs w:val="18"/>
      </w:rPr>
      <w:fldChar w:fldCharType="begin"/>
    </w:r>
    <w:r w:rsidRPr="00773098">
      <w:rPr>
        <w:rStyle w:val="PageNumber"/>
        <w:szCs w:val="18"/>
      </w:rPr>
      <w:instrText xml:space="preserve"> PAGE </w:instrText>
    </w:r>
    <w:r w:rsidRPr="00773098">
      <w:rPr>
        <w:rStyle w:val="PageNumber"/>
        <w:szCs w:val="18"/>
      </w:rPr>
      <w:fldChar w:fldCharType="separate"/>
    </w:r>
    <w:r>
      <w:rPr>
        <w:rStyle w:val="PageNumber"/>
        <w:noProof/>
        <w:szCs w:val="18"/>
      </w:rPr>
      <w:t>4</w:t>
    </w:r>
    <w:r w:rsidRPr="00773098">
      <w:rPr>
        <w:rStyle w:val="PageNumber"/>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4CF06" w14:textId="77777777" w:rsidR="00C61970" w:rsidRPr="009D6CC3" w:rsidRDefault="00C61970" w:rsidP="00C61970">
    <w:pPr>
      <w:pStyle w:val="Footer"/>
      <w:jc w:val="right"/>
      <w:rPr>
        <w:b/>
      </w:rPr>
    </w:pPr>
    <w:r w:rsidRPr="009D6CC3">
      <w:rPr>
        <w:b/>
      </w:rPr>
      <w:fldChar w:fldCharType="begin"/>
    </w:r>
    <w:r w:rsidRPr="009D6CC3">
      <w:rPr>
        <w:b/>
      </w:rPr>
      <w:instrText xml:space="preserve"> PAGE   \* MERGEFORMAT </w:instrText>
    </w:r>
    <w:r w:rsidRPr="009D6CC3">
      <w:rPr>
        <w:b/>
      </w:rPr>
      <w:fldChar w:fldCharType="separate"/>
    </w:r>
    <w:r>
      <w:rPr>
        <w:b/>
        <w:noProof/>
      </w:rPr>
      <w:t>1</w:t>
    </w:r>
    <w:r w:rsidRPr="009D6CC3">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05861"/>
      <w:docPartObj>
        <w:docPartGallery w:val="Page Numbers (Bottom of Page)"/>
        <w:docPartUnique/>
      </w:docPartObj>
    </w:sdtPr>
    <w:sdtEndPr>
      <w:rPr>
        <w:noProof/>
      </w:rPr>
    </w:sdtEndPr>
    <w:sdtContent>
      <w:p w14:paraId="77CE820A" w14:textId="23761D4D" w:rsidR="00C61970" w:rsidRPr="00C66FDD" w:rsidRDefault="00C61970" w:rsidP="00C66FDD">
        <w:pPr>
          <w:pStyle w:val="Normal-pool"/>
        </w:pPr>
        <w:r>
          <w:t>K1707091</w:t>
        </w:r>
        <w:r>
          <w:tab/>
        </w:r>
        <w:r w:rsidR="00FA1CCE">
          <w:t>11</w:t>
        </w:r>
        <w:r w:rsidR="00872FAB">
          <w:t>07</w:t>
        </w:r>
        <w:r>
          <w:t>17</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1F9BD900" w:rsidR="00C61970" w:rsidRDefault="00C61970">
    <w:pPr>
      <w:pStyle w:val="Footer"/>
    </w:pPr>
    <w:r>
      <w:rPr>
        <w:rStyle w:val="PageNumber"/>
      </w:rPr>
      <w:fldChar w:fldCharType="begin"/>
    </w:r>
    <w:r>
      <w:rPr>
        <w:rStyle w:val="PageNumber"/>
      </w:rPr>
      <w:instrText xml:space="preserve"> PAGE </w:instrText>
    </w:r>
    <w:r>
      <w:rPr>
        <w:rStyle w:val="PageNumber"/>
      </w:rPr>
      <w:fldChar w:fldCharType="separate"/>
    </w:r>
    <w:r w:rsidR="00FA1CCE">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1B67E82B" w:rsidR="00C61970" w:rsidRDefault="00C6197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FA1CCE">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3850520"/>
      <w:docPartObj>
        <w:docPartGallery w:val="Page Numbers (Bottom of Page)"/>
        <w:docPartUnique/>
      </w:docPartObj>
    </w:sdtPr>
    <w:sdtEndPr>
      <w:rPr>
        <w:noProof/>
      </w:rPr>
    </w:sdtEndPr>
    <w:sdtContent>
      <w:p w14:paraId="1EA2EEDF" w14:textId="353457B0" w:rsidR="00C61970" w:rsidRPr="00C66FDD" w:rsidRDefault="00C61970" w:rsidP="00C66FDD">
        <w:pPr>
          <w:pStyle w:val="Normal-pool"/>
          <w:rPr>
            <w:b/>
            <w:sz w:val="18"/>
            <w:szCs w:val="18"/>
          </w:rPr>
        </w:pPr>
        <w:r w:rsidRPr="00C66FDD">
          <w:rPr>
            <w:b/>
            <w:sz w:val="18"/>
            <w:szCs w:val="18"/>
          </w:rPr>
          <w:fldChar w:fldCharType="begin"/>
        </w:r>
        <w:r w:rsidRPr="00C66FDD">
          <w:rPr>
            <w:b/>
            <w:sz w:val="18"/>
            <w:szCs w:val="18"/>
          </w:rPr>
          <w:instrText xml:space="preserve"> PAGE   \* MERGEFORMAT </w:instrText>
        </w:r>
        <w:r w:rsidRPr="00C66FDD">
          <w:rPr>
            <w:b/>
            <w:sz w:val="18"/>
            <w:szCs w:val="18"/>
          </w:rPr>
          <w:fldChar w:fldCharType="separate"/>
        </w:r>
        <w:r w:rsidR="00FA1CCE">
          <w:rPr>
            <w:b/>
            <w:noProof/>
            <w:sz w:val="18"/>
            <w:szCs w:val="18"/>
          </w:rPr>
          <w:t>2</w:t>
        </w:r>
        <w:r w:rsidRPr="00C66FDD">
          <w:rPr>
            <w:b/>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BB208" w14:textId="77777777" w:rsidR="00C61970" w:rsidRPr="00872FAB" w:rsidRDefault="00C61970" w:rsidP="00872FAB">
      <w:pPr>
        <w:tabs>
          <w:tab w:val="clear" w:pos="1247"/>
          <w:tab w:val="clear" w:pos="1814"/>
          <w:tab w:val="clear" w:pos="2381"/>
          <w:tab w:val="clear" w:pos="2948"/>
          <w:tab w:val="clear" w:pos="3515"/>
          <w:tab w:val="left" w:pos="624"/>
        </w:tabs>
        <w:spacing w:before="60"/>
        <w:ind w:left="624"/>
        <w:rPr>
          <w:sz w:val="18"/>
          <w:szCs w:val="18"/>
        </w:rPr>
      </w:pPr>
      <w:r w:rsidRPr="00872FAB">
        <w:rPr>
          <w:sz w:val="18"/>
          <w:szCs w:val="18"/>
        </w:rPr>
        <w:separator/>
      </w:r>
    </w:p>
  </w:footnote>
  <w:footnote w:type="continuationSeparator" w:id="0">
    <w:p w14:paraId="432CEE5B" w14:textId="77777777" w:rsidR="00C61970" w:rsidRDefault="00C61970">
      <w:r>
        <w:continuationSeparator/>
      </w:r>
    </w:p>
  </w:footnote>
  <w:footnote w:id="1">
    <w:p w14:paraId="2AC42224" w14:textId="77777777" w:rsidR="00C61970" w:rsidRPr="00CF7866" w:rsidRDefault="00C61970" w:rsidP="00872FAB">
      <w:pPr>
        <w:tabs>
          <w:tab w:val="left" w:pos="624"/>
        </w:tabs>
        <w:spacing w:before="20" w:after="40"/>
        <w:ind w:left="1247"/>
        <w:rPr>
          <w:sz w:val="18"/>
          <w:szCs w:val="18"/>
        </w:rPr>
      </w:pPr>
      <w:r w:rsidRPr="00CF7866">
        <w:rPr>
          <w:sz w:val="18"/>
          <w:szCs w:val="18"/>
        </w:rPr>
        <w:t>* UNEP/MC/COP.1/1.</w:t>
      </w:r>
    </w:p>
  </w:footnote>
  <w:footnote w:id="2">
    <w:p w14:paraId="415E78A0" w14:textId="77777777" w:rsidR="00C61970" w:rsidRPr="002216D9" w:rsidRDefault="00C61970" w:rsidP="00872FAB">
      <w:pPr>
        <w:pStyle w:val="FootnoteText"/>
        <w:tabs>
          <w:tab w:val="left" w:pos="624"/>
        </w:tabs>
        <w:rPr>
          <w:szCs w:val="18"/>
          <w:lang w:val="en-GB"/>
        </w:rPr>
      </w:pPr>
      <w:r w:rsidRPr="00872FAB">
        <w:rPr>
          <w:rStyle w:val="FootnoteReference"/>
          <w:sz w:val="18"/>
        </w:rPr>
        <w:footnoteRef/>
      </w:r>
      <w:r w:rsidRPr="00CF7866">
        <w:rPr>
          <w:szCs w:val="18"/>
          <w:lang w:val="en-GB"/>
        </w:rPr>
        <w:t xml:space="preserve"> In particular </w:t>
      </w:r>
      <w:r w:rsidRPr="00CF7866">
        <w:rPr>
          <w:i/>
          <w:szCs w:val="18"/>
          <w:lang w:val="en-GB"/>
        </w:rPr>
        <w:t xml:space="preserve">UNEP/Hg/INC.7/15 Report on proposals on how the Executive Director of the United Nations Environment Programme will perform the functions of the permanent </w:t>
      </w:r>
      <w:r w:rsidRPr="0091158A">
        <w:rPr>
          <w:i/>
          <w:szCs w:val="18"/>
          <w:lang w:val="en-GB"/>
        </w:rPr>
        <w:t>secretariat for the Minamata Convention on Mercury</w:t>
      </w:r>
      <w:r w:rsidRPr="00CF7866">
        <w:rPr>
          <w:szCs w:val="18"/>
          <w:lang w:val="en-GB"/>
        </w:rPr>
        <w:t xml:space="preserve"> and </w:t>
      </w:r>
      <w:r w:rsidRPr="00CF7866">
        <w:rPr>
          <w:i/>
          <w:szCs w:val="18"/>
          <w:lang w:val="en-GB"/>
        </w:rPr>
        <w:t>UNEP/Hg/INC.7/16 Analysis of offers to host the permanent secretariat of the Minamata Convention on Mercury</w:t>
      </w:r>
      <w:r w:rsidRPr="00CF7866">
        <w:rPr>
          <w:szCs w:val="18"/>
          <w:lang w:val="en-GB"/>
        </w:rPr>
        <w:t>.</w:t>
      </w:r>
    </w:p>
  </w:footnote>
  <w:footnote w:id="3">
    <w:p w14:paraId="604658C8" w14:textId="77777777" w:rsidR="00C61970" w:rsidRPr="00CF7866" w:rsidRDefault="00C61970" w:rsidP="00872FAB">
      <w:pPr>
        <w:pStyle w:val="FootnoteText"/>
        <w:tabs>
          <w:tab w:val="left" w:pos="624"/>
        </w:tabs>
        <w:rPr>
          <w:szCs w:val="18"/>
          <w:lang w:val="en-US"/>
        </w:rPr>
      </w:pPr>
      <w:r w:rsidRPr="00872FAB">
        <w:rPr>
          <w:rStyle w:val="FootnoteReference"/>
          <w:sz w:val="18"/>
        </w:rPr>
        <w:footnoteRef/>
      </w:r>
      <w:r w:rsidRPr="00CF7866">
        <w:rPr>
          <w:szCs w:val="18"/>
          <w:lang w:val="en-GB"/>
        </w:rPr>
        <w:t xml:space="preserve"> This amount includes Switzerland’s assessed contribution as a party to the Convention. The shares of the contribution going to the core and to the voluntary fund are to be decided by the COP as part of the financial rules for the Minamata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8D583" w14:textId="77777777" w:rsidR="00C61970" w:rsidRPr="006609BC" w:rsidRDefault="00C61970" w:rsidP="00C61970">
    <w:pPr>
      <w:pStyle w:val="Header"/>
      <w:jc w:val="right"/>
      <w:rPr>
        <w:szCs w:val="18"/>
        <w:lang w:val="fr-CH"/>
      </w:rP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INF/8</w:t>
    </w:r>
  </w:p>
  <w:p w14:paraId="04B3C8CD" w14:textId="77777777" w:rsidR="00C61970" w:rsidRPr="00B0794F" w:rsidRDefault="00C61970" w:rsidP="00C61970">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B75E4" w14:textId="77777777" w:rsidR="00C61970" w:rsidRPr="006609BC" w:rsidRDefault="00C61970" w:rsidP="00C61970">
    <w:pPr>
      <w:pStyle w:val="Header"/>
      <w:jc w:val="right"/>
      <w:rPr>
        <w:szCs w:val="18"/>
        <w:lang w:val="fr-CH"/>
      </w:rPr>
    </w:pPr>
    <w:r w:rsidRPr="006609BC">
      <w:rPr>
        <w:bCs/>
        <w:szCs w:val="18"/>
        <w:lang w:val="fr-CH"/>
      </w:rPr>
      <w:t>UNEP</w:t>
    </w:r>
    <w:r w:rsidRPr="006609BC">
      <w:rPr>
        <w:szCs w:val="18"/>
        <w:lang w:val="fr-CH"/>
      </w:rPr>
      <w:t>/</w:t>
    </w:r>
    <w:r>
      <w:rPr>
        <w:szCs w:val="18"/>
        <w:lang w:val="fr-CH"/>
      </w:rPr>
      <w:t>MC/COP</w:t>
    </w:r>
    <w:r w:rsidRPr="006609BC">
      <w:rPr>
        <w:szCs w:val="18"/>
        <w:lang w:val="fr-CH"/>
      </w:rPr>
      <w:t>.</w:t>
    </w:r>
    <w:r>
      <w:rPr>
        <w:szCs w:val="18"/>
        <w:lang w:val="fr-CH"/>
      </w:rPr>
      <w:t>1</w:t>
    </w:r>
    <w:r w:rsidRPr="006609BC">
      <w:rPr>
        <w:szCs w:val="18"/>
        <w:lang w:val="fr-CH"/>
      </w:rPr>
      <w:t>/</w:t>
    </w:r>
    <w:r>
      <w:rPr>
        <w:szCs w:val="18"/>
        <w:lang w:val="fr-CH"/>
      </w:rPr>
      <w:t>INF/8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35E82" w14:textId="77777777" w:rsidR="00C61970" w:rsidRDefault="00C61970" w:rsidP="00C66FDD">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1B0BB3D3" w:rsidR="00C61970" w:rsidRPr="00C66FDD" w:rsidRDefault="00C61970" w:rsidP="00C66FDD">
    <w:pPr>
      <w:pStyle w:val="Header"/>
      <w:rPr>
        <w:szCs w:val="18"/>
      </w:rPr>
    </w:pPr>
    <w:r>
      <w:rPr>
        <w:bCs/>
        <w:szCs w:val="18"/>
      </w:rPr>
      <w:t>UNEP/MC/COP.1/INF/8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03AA1A5A" w:rsidR="00C61970" w:rsidRPr="00CA5CA9" w:rsidRDefault="00C61970" w:rsidP="00312543">
    <w:pPr>
      <w:pStyle w:val="Header"/>
      <w:jc w:val="right"/>
      <w:rPr>
        <w:szCs w:val="18"/>
      </w:rPr>
    </w:pPr>
    <w:r>
      <w:rPr>
        <w:bCs/>
        <w:szCs w:val="18"/>
      </w:rPr>
      <w:t>UNEP/MC/COP.1/INF/8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F8793" w14:textId="77777777" w:rsidR="00C61970" w:rsidRPr="00CA5CA9" w:rsidRDefault="00C61970" w:rsidP="00C66FDD">
    <w:pPr>
      <w:pStyle w:val="Header"/>
      <w:rPr>
        <w:szCs w:val="18"/>
      </w:rPr>
    </w:pPr>
    <w:r>
      <w:rPr>
        <w:bCs/>
        <w:szCs w:val="18"/>
      </w:rPr>
      <w:t>UNEP/MC/COP.1/INF/8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FD04E79"/>
    <w:multiLevelType w:val="multilevel"/>
    <w:tmpl w:val="8CECCE6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4">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5">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2CE3814"/>
    <w:multiLevelType w:val="hybridMultilevel"/>
    <w:tmpl w:val="D06EC052"/>
    <w:lvl w:ilvl="0" w:tplc="AB72C220">
      <w:numFmt w:val="bullet"/>
      <w:lvlText w:val="-"/>
      <w:lvlJc w:val="left"/>
      <w:pPr>
        <w:ind w:left="360" w:hanging="360"/>
      </w:pPr>
      <w:rPr>
        <w:rFonts w:ascii="Arial Narrow" w:eastAsia="Times New Roman" w:hAnsi="Arial Narrow"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0">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1">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2">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13">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4">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15">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num w:numId="1">
    <w:abstractNumId w:val="11"/>
  </w:num>
  <w:num w:numId="2">
    <w:abstractNumId w:val="2"/>
  </w:num>
  <w:num w:numId="3">
    <w:abstractNumId w:val="8"/>
  </w:num>
  <w:num w:numId="4">
    <w:abstractNumId w:val="11"/>
  </w:num>
  <w:num w:numId="5">
    <w:abstractNumId w:val="13"/>
  </w:num>
  <w:num w:numId="6">
    <w:abstractNumId w:val="15"/>
  </w:num>
  <w:num w:numId="7">
    <w:abstractNumId w:val="0"/>
  </w:num>
  <w:num w:numId="8">
    <w:abstractNumId w:val="4"/>
  </w:num>
  <w:num w:numId="9">
    <w:abstractNumId w:val="9"/>
  </w:num>
  <w:num w:numId="10">
    <w:abstractNumId w:val="14"/>
  </w:num>
  <w:num w:numId="11">
    <w:abstractNumId w:val="10"/>
  </w:num>
  <w:num w:numId="12">
    <w:abstractNumId w:val="3"/>
  </w:num>
  <w:num w:numId="13">
    <w:abstractNumId w:val="5"/>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et Forbes">
    <w15:presenceInfo w15:providerId="None" w15:userId="Janet Forb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1"/>
  <w:activeWritingStyle w:appName="MSWord" w:lang="en-GB"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19"/>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9DE"/>
    <w:rsid w:val="00000E4A"/>
    <w:rsid w:val="000024A3"/>
    <w:rsid w:val="00014194"/>
    <w:rsid w:val="000149E6"/>
    <w:rsid w:val="00023DA9"/>
    <w:rsid w:val="000247B0"/>
    <w:rsid w:val="00026804"/>
    <w:rsid w:val="00026997"/>
    <w:rsid w:val="00026A08"/>
    <w:rsid w:val="00032E4E"/>
    <w:rsid w:val="00033E0B"/>
    <w:rsid w:val="00035EDE"/>
    <w:rsid w:val="00046B89"/>
    <w:rsid w:val="000509B4"/>
    <w:rsid w:val="0006035B"/>
    <w:rsid w:val="0006096F"/>
    <w:rsid w:val="00062F77"/>
    <w:rsid w:val="000649C5"/>
    <w:rsid w:val="00071886"/>
    <w:rsid w:val="000742BC"/>
    <w:rsid w:val="00076CC6"/>
    <w:rsid w:val="00082A0C"/>
    <w:rsid w:val="00083504"/>
    <w:rsid w:val="00091F8F"/>
    <w:rsid w:val="0009640C"/>
    <w:rsid w:val="000A4383"/>
    <w:rsid w:val="000A7D33"/>
    <w:rsid w:val="000B22A2"/>
    <w:rsid w:val="000B6F10"/>
    <w:rsid w:val="000B73F9"/>
    <w:rsid w:val="000C2838"/>
    <w:rsid w:val="000C2A52"/>
    <w:rsid w:val="000D33C0"/>
    <w:rsid w:val="000D4CF6"/>
    <w:rsid w:val="000D6941"/>
    <w:rsid w:val="000E0657"/>
    <w:rsid w:val="000F4829"/>
    <w:rsid w:val="00100AD8"/>
    <w:rsid w:val="00110A3A"/>
    <w:rsid w:val="001202E3"/>
    <w:rsid w:val="00120793"/>
    <w:rsid w:val="00123699"/>
    <w:rsid w:val="001241FB"/>
    <w:rsid w:val="0013059D"/>
    <w:rsid w:val="00131F6C"/>
    <w:rsid w:val="00136187"/>
    <w:rsid w:val="00141A55"/>
    <w:rsid w:val="00141FBB"/>
    <w:rsid w:val="0014293F"/>
    <w:rsid w:val="0014397D"/>
    <w:rsid w:val="00143ADA"/>
    <w:rsid w:val="001446A3"/>
    <w:rsid w:val="00152B6B"/>
    <w:rsid w:val="00155395"/>
    <w:rsid w:val="00156B6B"/>
    <w:rsid w:val="00156D61"/>
    <w:rsid w:val="00160D74"/>
    <w:rsid w:val="001646EA"/>
    <w:rsid w:val="00167D02"/>
    <w:rsid w:val="001759D8"/>
    <w:rsid w:val="00177010"/>
    <w:rsid w:val="00177D7F"/>
    <w:rsid w:val="00180C3F"/>
    <w:rsid w:val="00181EC8"/>
    <w:rsid w:val="00182605"/>
    <w:rsid w:val="00184349"/>
    <w:rsid w:val="00186352"/>
    <w:rsid w:val="00195F33"/>
    <w:rsid w:val="001A3EBE"/>
    <w:rsid w:val="001A4C94"/>
    <w:rsid w:val="001A5ACA"/>
    <w:rsid w:val="001B1617"/>
    <w:rsid w:val="001B504B"/>
    <w:rsid w:val="001B6F98"/>
    <w:rsid w:val="001C191A"/>
    <w:rsid w:val="001D22B6"/>
    <w:rsid w:val="001D3874"/>
    <w:rsid w:val="001D5472"/>
    <w:rsid w:val="001D7E75"/>
    <w:rsid w:val="001E0D73"/>
    <w:rsid w:val="001E45BD"/>
    <w:rsid w:val="001E56D2"/>
    <w:rsid w:val="001E7D56"/>
    <w:rsid w:val="001F1A86"/>
    <w:rsid w:val="001F26B9"/>
    <w:rsid w:val="001F7105"/>
    <w:rsid w:val="001F75DE"/>
    <w:rsid w:val="00200D58"/>
    <w:rsid w:val="002011C1"/>
    <w:rsid w:val="002013BE"/>
    <w:rsid w:val="00201AA0"/>
    <w:rsid w:val="00201EDC"/>
    <w:rsid w:val="002063A4"/>
    <w:rsid w:val="0021145B"/>
    <w:rsid w:val="00220C23"/>
    <w:rsid w:val="002216D9"/>
    <w:rsid w:val="002228E0"/>
    <w:rsid w:val="002247F6"/>
    <w:rsid w:val="00225E21"/>
    <w:rsid w:val="00225F3B"/>
    <w:rsid w:val="00234E78"/>
    <w:rsid w:val="00243D36"/>
    <w:rsid w:val="00246151"/>
    <w:rsid w:val="00247707"/>
    <w:rsid w:val="0025097E"/>
    <w:rsid w:val="00252E70"/>
    <w:rsid w:val="002539F6"/>
    <w:rsid w:val="0026018E"/>
    <w:rsid w:val="00277299"/>
    <w:rsid w:val="00286740"/>
    <w:rsid w:val="00291EAE"/>
    <w:rsid w:val="002929D8"/>
    <w:rsid w:val="0029570E"/>
    <w:rsid w:val="00296CF0"/>
    <w:rsid w:val="002A237D"/>
    <w:rsid w:val="002A4C53"/>
    <w:rsid w:val="002A6C8F"/>
    <w:rsid w:val="002B0672"/>
    <w:rsid w:val="002B247F"/>
    <w:rsid w:val="002B302D"/>
    <w:rsid w:val="002B50D4"/>
    <w:rsid w:val="002B58A3"/>
    <w:rsid w:val="002C145D"/>
    <w:rsid w:val="002C2C3E"/>
    <w:rsid w:val="002C533E"/>
    <w:rsid w:val="002C5C50"/>
    <w:rsid w:val="002C6870"/>
    <w:rsid w:val="002D027F"/>
    <w:rsid w:val="002D3E15"/>
    <w:rsid w:val="002D791F"/>
    <w:rsid w:val="002D7A85"/>
    <w:rsid w:val="002D7B60"/>
    <w:rsid w:val="002F4761"/>
    <w:rsid w:val="002F5C79"/>
    <w:rsid w:val="002F68EE"/>
    <w:rsid w:val="003019E2"/>
    <w:rsid w:val="00303532"/>
    <w:rsid w:val="00310BEB"/>
    <w:rsid w:val="00312543"/>
    <w:rsid w:val="0031413F"/>
    <w:rsid w:val="00314854"/>
    <w:rsid w:val="003148BB"/>
    <w:rsid w:val="00317976"/>
    <w:rsid w:val="00320F2F"/>
    <w:rsid w:val="00321019"/>
    <w:rsid w:val="003447E7"/>
    <w:rsid w:val="003529ED"/>
    <w:rsid w:val="00355534"/>
    <w:rsid w:val="00355EA9"/>
    <w:rsid w:val="003578DE"/>
    <w:rsid w:val="00361688"/>
    <w:rsid w:val="003877D5"/>
    <w:rsid w:val="003929B8"/>
    <w:rsid w:val="00396257"/>
    <w:rsid w:val="00397EB8"/>
    <w:rsid w:val="003A4FD0"/>
    <w:rsid w:val="003A69D1"/>
    <w:rsid w:val="003A7705"/>
    <w:rsid w:val="003A77F1"/>
    <w:rsid w:val="003B12DA"/>
    <w:rsid w:val="003B1545"/>
    <w:rsid w:val="003C3219"/>
    <w:rsid w:val="003C409D"/>
    <w:rsid w:val="003C46FB"/>
    <w:rsid w:val="003C5583"/>
    <w:rsid w:val="003C5BA6"/>
    <w:rsid w:val="003C74CF"/>
    <w:rsid w:val="003D3752"/>
    <w:rsid w:val="003D49B8"/>
    <w:rsid w:val="003D4A81"/>
    <w:rsid w:val="003E35DA"/>
    <w:rsid w:val="003E3C02"/>
    <w:rsid w:val="003E455D"/>
    <w:rsid w:val="003F0E85"/>
    <w:rsid w:val="003F70FF"/>
    <w:rsid w:val="00402E94"/>
    <w:rsid w:val="00410C55"/>
    <w:rsid w:val="00416854"/>
    <w:rsid w:val="00417725"/>
    <w:rsid w:val="00437F26"/>
    <w:rsid w:val="00444097"/>
    <w:rsid w:val="00445487"/>
    <w:rsid w:val="00447E0D"/>
    <w:rsid w:val="00454769"/>
    <w:rsid w:val="00465D27"/>
    <w:rsid w:val="00466991"/>
    <w:rsid w:val="0047064C"/>
    <w:rsid w:val="004822B7"/>
    <w:rsid w:val="00487AC8"/>
    <w:rsid w:val="0049469E"/>
    <w:rsid w:val="004A07E6"/>
    <w:rsid w:val="004A2217"/>
    <w:rsid w:val="004A24F9"/>
    <w:rsid w:val="004A4049"/>
    <w:rsid w:val="004A42E1"/>
    <w:rsid w:val="004B162C"/>
    <w:rsid w:val="004B2ABE"/>
    <w:rsid w:val="004B4518"/>
    <w:rsid w:val="004B58D8"/>
    <w:rsid w:val="004C3DBE"/>
    <w:rsid w:val="004C58DA"/>
    <w:rsid w:val="004C5C96"/>
    <w:rsid w:val="004D06A4"/>
    <w:rsid w:val="004D3039"/>
    <w:rsid w:val="004D3102"/>
    <w:rsid w:val="004D49E7"/>
    <w:rsid w:val="004E0F3C"/>
    <w:rsid w:val="004F1A81"/>
    <w:rsid w:val="004F3E22"/>
    <w:rsid w:val="005050D2"/>
    <w:rsid w:val="0052091F"/>
    <w:rsid w:val="005218D9"/>
    <w:rsid w:val="00534604"/>
    <w:rsid w:val="00535E42"/>
    <w:rsid w:val="00536186"/>
    <w:rsid w:val="00544CBB"/>
    <w:rsid w:val="005526F1"/>
    <w:rsid w:val="00557496"/>
    <w:rsid w:val="005656D7"/>
    <w:rsid w:val="00565C4E"/>
    <w:rsid w:val="0057315F"/>
    <w:rsid w:val="00573AB6"/>
    <w:rsid w:val="00573D02"/>
    <w:rsid w:val="00576104"/>
    <w:rsid w:val="00576DAA"/>
    <w:rsid w:val="00585B6B"/>
    <w:rsid w:val="0059181E"/>
    <w:rsid w:val="00592B21"/>
    <w:rsid w:val="00593923"/>
    <w:rsid w:val="005A13BF"/>
    <w:rsid w:val="005B33B5"/>
    <w:rsid w:val="005B44BF"/>
    <w:rsid w:val="005C67C8"/>
    <w:rsid w:val="005D0249"/>
    <w:rsid w:val="005D18FA"/>
    <w:rsid w:val="005D37D2"/>
    <w:rsid w:val="005D4FD4"/>
    <w:rsid w:val="005D6E8C"/>
    <w:rsid w:val="005E3004"/>
    <w:rsid w:val="005E3881"/>
    <w:rsid w:val="005F100C"/>
    <w:rsid w:val="005F68DA"/>
    <w:rsid w:val="00600363"/>
    <w:rsid w:val="00601BC9"/>
    <w:rsid w:val="0060773B"/>
    <w:rsid w:val="00613FD6"/>
    <w:rsid w:val="00614DC5"/>
    <w:rsid w:val="006157B5"/>
    <w:rsid w:val="00617224"/>
    <w:rsid w:val="00620D92"/>
    <w:rsid w:val="0062556C"/>
    <w:rsid w:val="00626FC6"/>
    <w:rsid w:val="006303B4"/>
    <w:rsid w:val="00630ADC"/>
    <w:rsid w:val="00633D3D"/>
    <w:rsid w:val="00641703"/>
    <w:rsid w:val="006431A6"/>
    <w:rsid w:val="00643E3A"/>
    <w:rsid w:val="006459F6"/>
    <w:rsid w:val="006501AD"/>
    <w:rsid w:val="00651BFA"/>
    <w:rsid w:val="00654475"/>
    <w:rsid w:val="00656DF0"/>
    <w:rsid w:val="00665A4B"/>
    <w:rsid w:val="00676D9D"/>
    <w:rsid w:val="00692E2A"/>
    <w:rsid w:val="006A6E23"/>
    <w:rsid w:val="006A76F2"/>
    <w:rsid w:val="006C13E0"/>
    <w:rsid w:val="006C415B"/>
    <w:rsid w:val="006D19D4"/>
    <w:rsid w:val="006D3C73"/>
    <w:rsid w:val="006D405F"/>
    <w:rsid w:val="006D5141"/>
    <w:rsid w:val="006D7EFB"/>
    <w:rsid w:val="006E6672"/>
    <w:rsid w:val="006E6722"/>
    <w:rsid w:val="006E7978"/>
    <w:rsid w:val="006F7AFF"/>
    <w:rsid w:val="007027B9"/>
    <w:rsid w:val="00703BD6"/>
    <w:rsid w:val="007066B5"/>
    <w:rsid w:val="007145DA"/>
    <w:rsid w:val="00715E88"/>
    <w:rsid w:val="007206DB"/>
    <w:rsid w:val="00734CAA"/>
    <w:rsid w:val="00735918"/>
    <w:rsid w:val="00741552"/>
    <w:rsid w:val="00742680"/>
    <w:rsid w:val="00755202"/>
    <w:rsid w:val="0075533C"/>
    <w:rsid w:val="00757581"/>
    <w:rsid w:val="007602F5"/>
    <w:rsid w:val="00760D36"/>
    <w:rsid w:val="007611A0"/>
    <w:rsid w:val="00773E54"/>
    <w:rsid w:val="00781489"/>
    <w:rsid w:val="00787688"/>
    <w:rsid w:val="007935E6"/>
    <w:rsid w:val="00796D3F"/>
    <w:rsid w:val="007A1683"/>
    <w:rsid w:val="007A48DC"/>
    <w:rsid w:val="007A5C12"/>
    <w:rsid w:val="007A7CB0"/>
    <w:rsid w:val="007B68A3"/>
    <w:rsid w:val="007C0E5D"/>
    <w:rsid w:val="007C2541"/>
    <w:rsid w:val="007C29E4"/>
    <w:rsid w:val="007D66A8"/>
    <w:rsid w:val="007E003F"/>
    <w:rsid w:val="007E060C"/>
    <w:rsid w:val="007F0CF8"/>
    <w:rsid w:val="007F1701"/>
    <w:rsid w:val="007F41F5"/>
    <w:rsid w:val="007F62CB"/>
    <w:rsid w:val="00811FD6"/>
    <w:rsid w:val="008142EC"/>
    <w:rsid w:val="008164F2"/>
    <w:rsid w:val="00821395"/>
    <w:rsid w:val="008269FC"/>
    <w:rsid w:val="00830E26"/>
    <w:rsid w:val="008350BB"/>
    <w:rsid w:val="00842578"/>
    <w:rsid w:val="00843576"/>
    <w:rsid w:val="00843B64"/>
    <w:rsid w:val="008478FC"/>
    <w:rsid w:val="00850D2C"/>
    <w:rsid w:val="00851C51"/>
    <w:rsid w:val="00856CDB"/>
    <w:rsid w:val="00867BFF"/>
    <w:rsid w:val="00871542"/>
    <w:rsid w:val="00872BF6"/>
    <w:rsid w:val="00872FAB"/>
    <w:rsid w:val="008758C8"/>
    <w:rsid w:val="0088480A"/>
    <w:rsid w:val="0088757A"/>
    <w:rsid w:val="008900B2"/>
    <w:rsid w:val="00893FB1"/>
    <w:rsid w:val="0089431B"/>
    <w:rsid w:val="00895668"/>
    <w:rsid w:val="008957DD"/>
    <w:rsid w:val="00897D98"/>
    <w:rsid w:val="008A6DF2"/>
    <w:rsid w:val="008A7807"/>
    <w:rsid w:val="008B0522"/>
    <w:rsid w:val="008B129F"/>
    <w:rsid w:val="008B4CC9"/>
    <w:rsid w:val="008B7623"/>
    <w:rsid w:val="008B7CE9"/>
    <w:rsid w:val="008C362C"/>
    <w:rsid w:val="008D478A"/>
    <w:rsid w:val="008D75E4"/>
    <w:rsid w:val="008D7C99"/>
    <w:rsid w:val="008E0FCB"/>
    <w:rsid w:val="008E7826"/>
    <w:rsid w:val="008E7AD7"/>
    <w:rsid w:val="008F6DFE"/>
    <w:rsid w:val="0090529F"/>
    <w:rsid w:val="0091158A"/>
    <w:rsid w:val="00916C56"/>
    <w:rsid w:val="00921330"/>
    <w:rsid w:val="0092178C"/>
    <w:rsid w:val="00921841"/>
    <w:rsid w:val="00921CA5"/>
    <w:rsid w:val="0092778A"/>
    <w:rsid w:val="00930B88"/>
    <w:rsid w:val="00940DCC"/>
    <w:rsid w:val="0094179A"/>
    <w:rsid w:val="0094459E"/>
    <w:rsid w:val="00944DBC"/>
    <w:rsid w:val="00947839"/>
    <w:rsid w:val="00950977"/>
    <w:rsid w:val="00951A7B"/>
    <w:rsid w:val="009564A6"/>
    <w:rsid w:val="009604FB"/>
    <w:rsid w:val="00966A53"/>
    <w:rsid w:val="00967621"/>
    <w:rsid w:val="00967E6A"/>
    <w:rsid w:val="009907B9"/>
    <w:rsid w:val="00990918"/>
    <w:rsid w:val="009A3A83"/>
    <w:rsid w:val="009B4A0F"/>
    <w:rsid w:val="009C11D2"/>
    <w:rsid w:val="009C6C70"/>
    <w:rsid w:val="009C7B0A"/>
    <w:rsid w:val="009D0B63"/>
    <w:rsid w:val="009D4158"/>
    <w:rsid w:val="009D5CB8"/>
    <w:rsid w:val="009D6EA0"/>
    <w:rsid w:val="009E307E"/>
    <w:rsid w:val="009F367D"/>
    <w:rsid w:val="009F3F4F"/>
    <w:rsid w:val="009F53C6"/>
    <w:rsid w:val="00A0643C"/>
    <w:rsid w:val="00A07870"/>
    <w:rsid w:val="00A07C54"/>
    <w:rsid w:val="00A07F19"/>
    <w:rsid w:val="00A1348D"/>
    <w:rsid w:val="00A13C99"/>
    <w:rsid w:val="00A17EF3"/>
    <w:rsid w:val="00A232EE"/>
    <w:rsid w:val="00A3461F"/>
    <w:rsid w:val="00A414F6"/>
    <w:rsid w:val="00A4175F"/>
    <w:rsid w:val="00A44411"/>
    <w:rsid w:val="00A454CB"/>
    <w:rsid w:val="00A469FA"/>
    <w:rsid w:val="00A53662"/>
    <w:rsid w:val="00A55B01"/>
    <w:rsid w:val="00A56B5B"/>
    <w:rsid w:val="00A603FF"/>
    <w:rsid w:val="00A619B6"/>
    <w:rsid w:val="00A648CA"/>
    <w:rsid w:val="00A657DD"/>
    <w:rsid w:val="00A666A6"/>
    <w:rsid w:val="00A675FD"/>
    <w:rsid w:val="00A72437"/>
    <w:rsid w:val="00A76465"/>
    <w:rsid w:val="00A8048B"/>
    <w:rsid w:val="00A80611"/>
    <w:rsid w:val="00A82641"/>
    <w:rsid w:val="00A95EC7"/>
    <w:rsid w:val="00AA5BF4"/>
    <w:rsid w:val="00AB5340"/>
    <w:rsid w:val="00AC0A89"/>
    <w:rsid w:val="00AC2059"/>
    <w:rsid w:val="00AC7C96"/>
    <w:rsid w:val="00AE03F5"/>
    <w:rsid w:val="00AE237D"/>
    <w:rsid w:val="00AE502A"/>
    <w:rsid w:val="00AE5516"/>
    <w:rsid w:val="00AF0010"/>
    <w:rsid w:val="00AF01EB"/>
    <w:rsid w:val="00AF2C1F"/>
    <w:rsid w:val="00AF5647"/>
    <w:rsid w:val="00AF7C07"/>
    <w:rsid w:val="00AF7C68"/>
    <w:rsid w:val="00B01A71"/>
    <w:rsid w:val="00B06C64"/>
    <w:rsid w:val="00B117EE"/>
    <w:rsid w:val="00B11CAC"/>
    <w:rsid w:val="00B15A29"/>
    <w:rsid w:val="00B220E1"/>
    <w:rsid w:val="00B22C93"/>
    <w:rsid w:val="00B27589"/>
    <w:rsid w:val="00B27FC1"/>
    <w:rsid w:val="00B345FD"/>
    <w:rsid w:val="00B405B7"/>
    <w:rsid w:val="00B46A82"/>
    <w:rsid w:val="00B52222"/>
    <w:rsid w:val="00B531DA"/>
    <w:rsid w:val="00B54895"/>
    <w:rsid w:val="00B54FE7"/>
    <w:rsid w:val="00B56E59"/>
    <w:rsid w:val="00B647C6"/>
    <w:rsid w:val="00B655F9"/>
    <w:rsid w:val="00B665F1"/>
    <w:rsid w:val="00B66901"/>
    <w:rsid w:val="00B71E6D"/>
    <w:rsid w:val="00B72070"/>
    <w:rsid w:val="00B745A7"/>
    <w:rsid w:val="00B772F0"/>
    <w:rsid w:val="00B779E1"/>
    <w:rsid w:val="00B81E3A"/>
    <w:rsid w:val="00B85CFB"/>
    <w:rsid w:val="00B8656E"/>
    <w:rsid w:val="00B91EE1"/>
    <w:rsid w:val="00B92B3E"/>
    <w:rsid w:val="00B94602"/>
    <w:rsid w:val="00BA0090"/>
    <w:rsid w:val="00BA1A67"/>
    <w:rsid w:val="00BA2021"/>
    <w:rsid w:val="00BA6A80"/>
    <w:rsid w:val="00BB4ABB"/>
    <w:rsid w:val="00BE5B5F"/>
    <w:rsid w:val="00BE7993"/>
    <w:rsid w:val="00BF30CD"/>
    <w:rsid w:val="00C05DED"/>
    <w:rsid w:val="00C1470E"/>
    <w:rsid w:val="00C26F55"/>
    <w:rsid w:val="00C30C63"/>
    <w:rsid w:val="00C30FF3"/>
    <w:rsid w:val="00C36B8B"/>
    <w:rsid w:val="00C415C1"/>
    <w:rsid w:val="00C47DBF"/>
    <w:rsid w:val="00C52876"/>
    <w:rsid w:val="00C54B9A"/>
    <w:rsid w:val="00C552FF"/>
    <w:rsid w:val="00C558DA"/>
    <w:rsid w:val="00C55AF3"/>
    <w:rsid w:val="00C6119D"/>
    <w:rsid w:val="00C61970"/>
    <w:rsid w:val="00C6685F"/>
    <w:rsid w:val="00C66FDD"/>
    <w:rsid w:val="00C74C8C"/>
    <w:rsid w:val="00C76FD1"/>
    <w:rsid w:val="00C771A9"/>
    <w:rsid w:val="00C84759"/>
    <w:rsid w:val="00C87173"/>
    <w:rsid w:val="00C9124D"/>
    <w:rsid w:val="00CA3A35"/>
    <w:rsid w:val="00CA5CA9"/>
    <w:rsid w:val="00CA6C7F"/>
    <w:rsid w:val="00CB580D"/>
    <w:rsid w:val="00CB6B35"/>
    <w:rsid w:val="00CC0FC7"/>
    <w:rsid w:val="00CC10A6"/>
    <w:rsid w:val="00CC1E1D"/>
    <w:rsid w:val="00CC21C5"/>
    <w:rsid w:val="00CC26DF"/>
    <w:rsid w:val="00CD5EB8"/>
    <w:rsid w:val="00CD7044"/>
    <w:rsid w:val="00CE08B9"/>
    <w:rsid w:val="00CE5069"/>
    <w:rsid w:val="00CE524C"/>
    <w:rsid w:val="00CF141F"/>
    <w:rsid w:val="00CF2646"/>
    <w:rsid w:val="00CF4777"/>
    <w:rsid w:val="00CF65C8"/>
    <w:rsid w:val="00CF7866"/>
    <w:rsid w:val="00D006F7"/>
    <w:rsid w:val="00D013F5"/>
    <w:rsid w:val="00D03953"/>
    <w:rsid w:val="00D05E3F"/>
    <w:rsid w:val="00D067BB"/>
    <w:rsid w:val="00D11038"/>
    <w:rsid w:val="00D1352A"/>
    <w:rsid w:val="00D169AF"/>
    <w:rsid w:val="00D25249"/>
    <w:rsid w:val="00D35E88"/>
    <w:rsid w:val="00D44172"/>
    <w:rsid w:val="00D47BE3"/>
    <w:rsid w:val="00D47ECC"/>
    <w:rsid w:val="00D540B8"/>
    <w:rsid w:val="00D5636E"/>
    <w:rsid w:val="00D61FB5"/>
    <w:rsid w:val="00D63B8C"/>
    <w:rsid w:val="00D739CC"/>
    <w:rsid w:val="00D775AA"/>
    <w:rsid w:val="00D8093D"/>
    <w:rsid w:val="00D8108C"/>
    <w:rsid w:val="00D842AE"/>
    <w:rsid w:val="00D9211C"/>
    <w:rsid w:val="00D92DE0"/>
    <w:rsid w:val="00D92FEF"/>
    <w:rsid w:val="00D93A0F"/>
    <w:rsid w:val="00DA0F8E"/>
    <w:rsid w:val="00DA1BCA"/>
    <w:rsid w:val="00DA33F3"/>
    <w:rsid w:val="00DA5F7A"/>
    <w:rsid w:val="00DB278B"/>
    <w:rsid w:val="00DB62E7"/>
    <w:rsid w:val="00DC46FF"/>
    <w:rsid w:val="00DC5254"/>
    <w:rsid w:val="00DC569D"/>
    <w:rsid w:val="00DD1A4F"/>
    <w:rsid w:val="00DD3107"/>
    <w:rsid w:val="00DD7C2C"/>
    <w:rsid w:val="00DE5BDA"/>
    <w:rsid w:val="00DF433C"/>
    <w:rsid w:val="00E0035A"/>
    <w:rsid w:val="00E06797"/>
    <w:rsid w:val="00E1265B"/>
    <w:rsid w:val="00E13B48"/>
    <w:rsid w:val="00E1404F"/>
    <w:rsid w:val="00E21C83"/>
    <w:rsid w:val="00E24ADA"/>
    <w:rsid w:val="00E32F59"/>
    <w:rsid w:val="00E361EB"/>
    <w:rsid w:val="00E41908"/>
    <w:rsid w:val="00E46D9A"/>
    <w:rsid w:val="00E565FF"/>
    <w:rsid w:val="00E65388"/>
    <w:rsid w:val="00E65ADB"/>
    <w:rsid w:val="00E75AFC"/>
    <w:rsid w:val="00E7741D"/>
    <w:rsid w:val="00E808CD"/>
    <w:rsid w:val="00E8348F"/>
    <w:rsid w:val="00E85721"/>
    <w:rsid w:val="00E85B7D"/>
    <w:rsid w:val="00E9121B"/>
    <w:rsid w:val="00E9302E"/>
    <w:rsid w:val="00E976AB"/>
    <w:rsid w:val="00EA0AE2"/>
    <w:rsid w:val="00EA39E5"/>
    <w:rsid w:val="00EA57A3"/>
    <w:rsid w:val="00EB0F30"/>
    <w:rsid w:val="00EB7F13"/>
    <w:rsid w:val="00EC2813"/>
    <w:rsid w:val="00EC3208"/>
    <w:rsid w:val="00EC5A46"/>
    <w:rsid w:val="00EC63E2"/>
    <w:rsid w:val="00ED366A"/>
    <w:rsid w:val="00ED6BB7"/>
    <w:rsid w:val="00EE1723"/>
    <w:rsid w:val="00EE5D51"/>
    <w:rsid w:val="00EF22B3"/>
    <w:rsid w:val="00F03B69"/>
    <w:rsid w:val="00F05774"/>
    <w:rsid w:val="00F07A50"/>
    <w:rsid w:val="00F113DA"/>
    <w:rsid w:val="00F169AB"/>
    <w:rsid w:val="00F266FC"/>
    <w:rsid w:val="00F3037A"/>
    <w:rsid w:val="00F3465A"/>
    <w:rsid w:val="00F37DC8"/>
    <w:rsid w:val="00F439B3"/>
    <w:rsid w:val="00F44374"/>
    <w:rsid w:val="00F46A9D"/>
    <w:rsid w:val="00F52E11"/>
    <w:rsid w:val="00F5785A"/>
    <w:rsid w:val="00F6115C"/>
    <w:rsid w:val="00F6323C"/>
    <w:rsid w:val="00F650C3"/>
    <w:rsid w:val="00F65D85"/>
    <w:rsid w:val="00F6700B"/>
    <w:rsid w:val="00F8091E"/>
    <w:rsid w:val="00F84EEE"/>
    <w:rsid w:val="00F85F21"/>
    <w:rsid w:val="00F8615C"/>
    <w:rsid w:val="00F969E5"/>
    <w:rsid w:val="00FA1CCE"/>
    <w:rsid w:val="00FA4972"/>
    <w:rsid w:val="00FA6BB0"/>
    <w:rsid w:val="00FB2DBD"/>
    <w:rsid w:val="00FB2FB5"/>
    <w:rsid w:val="00FB53D9"/>
    <w:rsid w:val="00FC2279"/>
    <w:rsid w:val="00FD0CA1"/>
    <w:rsid w:val="00FD48DF"/>
    <w:rsid w:val="00FD5860"/>
    <w:rsid w:val="00FE352D"/>
    <w:rsid w:val="00FE40EB"/>
    <w:rsid w:val="00FE4D02"/>
    <w:rsid w:val="00FE7D62"/>
    <w:rsid w:val="00FF0D0B"/>
    <w:rsid w:val="00FF1DA9"/>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CF7866"/>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CF7866"/>
    <w:rPr>
      <w:lang w:eastAsia="en-US"/>
    </w:rPr>
  </w:style>
  <w:style w:type="character" w:customStyle="1" w:styleId="Inget">
    <w:name w:val="Inget"/>
    <w:rsid w:val="00573D02"/>
  </w:style>
  <w:style w:type="numbering" w:customStyle="1" w:styleId="Importeradestilen4">
    <w:name w:val="Importerade stilen 4"/>
    <w:rsid w:val="00573D02"/>
    <w:pPr>
      <w:numPr>
        <w:numId w:val="7"/>
      </w:numPr>
    </w:pPr>
  </w:style>
  <w:style w:type="numbering" w:customStyle="1" w:styleId="Importeradestilen9">
    <w:name w:val="Importerade stilen 9"/>
    <w:rsid w:val="00573D02"/>
    <w:pPr>
      <w:numPr>
        <w:numId w:val="12"/>
      </w:numPr>
    </w:pPr>
  </w:style>
  <w:style w:type="numbering" w:customStyle="1" w:styleId="Importeradestilen5">
    <w:name w:val="Importerade stilen 5"/>
    <w:rsid w:val="00573D02"/>
    <w:pPr>
      <w:numPr>
        <w:numId w:val="8"/>
      </w:numPr>
    </w:pPr>
  </w:style>
  <w:style w:type="numbering" w:customStyle="1" w:styleId="Importeradestilen6">
    <w:name w:val="Importerade stilen 6"/>
    <w:rsid w:val="00573D02"/>
    <w:pPr>
      <w:numPr>
        <w:numId w:val="9"/>
      </w:numPr>
    </w:pPr>
  </w:style>
  <w:style w:type="numbering" w:customStyle="1" w:styleId="Importeradestilen8">
    <w:name w:val="Importerade stilen 8"/>
    <w:rsid w:val="00573D02"/>
    <w:pPr>
      <w:numPr>
        <w:numId w:val="11"/>
      </w:numPr>
    </w:pPr>
  </w:style>
  <w:style w:type="numbering" w:customStyle="1" w:styleId="Importeradestilen7">
    <w:name w:val="Importerade stilen 7"/>
    <w:rsid w:val="00573D02"/>
    <w:pPr>
      <w:numPr>
        <w:numId w:val="10"/>
      </w:numPr>
    </w:pPr>
  </w:style>
  <w:style w:type="numbering" w:customStyle="1" w:styleId="Importeradestilen3">
    <w:name w:val="Importerade stilen 3"/>
    <w:rsid w:val="00573D02"/>
    <w:pPr>
      <w:numPr>
        <w:numId w:val="6"/>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HeaderChar">
    <w:name w:val="Header Char"/>
    <w:basedOn w:val="DefaultParagraphFont"/>
    <w:link w:val="Header"/>
    <w:rsid w:val="006A6E23"/>
    <w:rPr>
      <w:b/>
      <w:sz w:val="18"/>
      <w:lang w:eastAsia="en-US"/>
    </w:rPr>
  </w:style>
  <w:style w:type="character" w:customStyle="1" w:styleId="FooterChar">
    <w:name w:val="Footer Char"/>
    <w:link w:val="Footer"/>
    <w:uiPriority w:val="99"/>
    <w:rsid w:val="00C66FDD"/>
    <w:rPr>
      <w:sz w:val="18"/>
      <w:lang w:eastAsia="en-US"/>
    </w:rPr>
  </w:style>
  <w:style w:type="paragraph" w:customStyle="1" w:styleId="indentlist">
    <w:name w:val="indent list"/>
    <w:basedOn w:val="Normal"/>
    <w:rsid w:val="00C66FDD"/>
    <w:pPr>
      <w:numPr>
        <w:numId w:val="19"/>
      </w:numPr>
      <w:tabs>
        <w:tab w:val="left" w:pos="720"/>
      </w:tabs>
      <w:spacing w:after="120"/>
    </w:pPr>
  </w:style>
  <w:style w:type="paragraph" w:customStyle="1" w:styleId="Logo">
    <w:name w:val="Logo"/>
    <w:rsid w:val="00C66FDD"/>
    <w:rPr>
      <w:rFonts w:ascii="Arial" w:hAnsi="Arial"/>
      <w:noProof/>
      <w:sz w:val="15"/>
      <w:lang w:val="de-CH" w:eastAsia="de-CH"/>
    </w:rPr>
  </w:style>
  <w:style w:type="paragraph" w:customStyle="1" w:styleId="KopfFett">
    <w:name w:val="KopfFett"/>
    <w:basedOn w:val="Header"/>
    <w:next w:val="Header"/>
    <w:rsid w:val="00C66FDD"/>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C66FDD"/>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paragraph" w:styleId="Revision">
    <w:name w:val="Revision"/>
    <w:hidden/>
    <w:uiPriority w:val="99"/>
    <w:semiHidden/>
    <w:rsid w:val="000A7D33"/>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CF7866"/>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CF7866"/>
    <w:rPr>
      <w:lang w:eastAsia="en-US"/>
    </w:rPr>
  </w:style>
  <w:style w:type="character" w:customStyle="1" w:styleId="Inget">
    <w:name w:val="Inget"/>
    <w:rsid w:val="00573D02"/>
  </w:style>
  <w:style w:type="numbering" w:customStyle="1" w:styleId="Importeradestilen4">
    <w:name w:val="Importerade stilen 4"/>
    <w:rsid w:val="00573D02"/>
    <w:pPr>
      <w:numPr>
        <w:numId w:val="7"/>
      </w:numPr>
    </w:pPr>
  </w:style>
  <w:style w:type="numbering" w:customStyle="1" w:styleId="Importeradestilen9">
    <w:name w:val="Importerade stilen 9"/>
    <w:rsid w:val="00573D02"/>
    <w:pPr>
      <w:numPr>
        <w:numId w:val="12"/>
      </w:numPr>
    </w:pPr>
  </w:style>
  <w:style w:type="numbering" w:customStyle="1" w:styleId="Importeradestilen5">
    <w:name w:val="Importerade stilen 5"/>
    <w:rsid w:val="00573D02"/>
    <w:pPr>
      <w:numPr>
        <w:numId w:val="8"/>
      </w:numPr>
    </w:pPr>
  </w:style>
  <w:style w:type="numbering" w:customStyle="1" w:styleId="Importeradestilen6">
    <w:name w:val="Importerade stilen 6"/>
    <w:rsid w:val="00573D02"/>
    <w:pPr>
      <w:numPr>
        <w:numId w:val="9"/>
      </w:numPr>
    </w:pPr>
  </w:style>
  <w:style w:type="numbering" w:customStyle="1" w:styleId="Importeradestilen8">
    <w:name w:val="Importerade stilen 8"/>
    <w:rsid w:val="00573D02"/>
    <w:pPr>
      <w:numPr>
        <w:numId w:val="11"/>
      </w:numPr>
    </w:pPr>
  </w:style>
  <w:style w:type="numbering" w:customStyle="1" w:styleId="Importeradestilen7">
    <w:name w:val="Importerade stilen 7"/>
    <w:rsid w:val="00573D02"/>
    <w:pPr>
      <w:numPr>
        <w:numId w:val="10"/>
      </w:numPr>
    </w:pPr>
  </w:style>
  <w:style w:type="numbering" w:customStyle="1" w:styleId="Importeradestilen3">
    <w:name w:val="Importerade stilen 3"/>
    <w:rsid w:val="00573D02"/>
    <w:pPr>
      <w:numPr>
        <w:numId w:val="6"/>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HeaderChar">
    <w:name w:val="Header Char"/>
    <w:basedOn w:val="DefaultParagraphFont"/>
    <w:link w:val="Header"/>
    <w:rsid w:val="006A6E23"/>
    <w:rPr>
      <w:b/>
      <w:sz w:val="18"/>
      <w:lang w:eastAsia="en-US"/>
    </w:rPr>
  </w:style>
  <w:style w:type="character" w:customStyle="1" w:styleId="FooterChar">
    <w:name w:val="Footer Char"/>
    <w:link w:val="Footer"/>
    <w:uiPriority w:val="99"/>
    <w:rsid w:val="00C66FDD"/>
    <w:rPr>
      <w:sz w:val="18"/>
      <w:lang w:eastAsia="en-US"/>
    </w:rPr>
  </w:style>
  <w:style w:type="paragraph" w:customStyle="1" w:styleId="indentlist">
    <w:name w:val="indent list"/>
    <w:basedOn w:val="Normal"/>
    <w:rsid w:val="00C66FDD"/>
    <w:pPr>
      <w:numPr>
        <w:numId w:val="19"/>
      </w:numPr>
      <w:tabs>
        <w:tab w:val="left" w:pos="720"/>
      </w:tabs>
      <w:spacing w:after="120"/>
    </w:pPr>
  </w:style>
  <w:style w:type="paragraph" w:customStyle="1" w:styleId="Logo">
    <w:name w:val="Logo"/>
    <w:rsid w:val="00C66FDD"/>
    <w:rPr>
      <w:rFonts w:ascii="Arial" w:hAnsi="Arial"/>
      <w:noProof/>
      <w:sz w:val="15"/>
      <w:lang w:val="de-CH" w:eastAsia="de-CH"/>
    </w:rPr>
  </w:style>
  <w:style w:type="paragraph" w:customStyle="1" w:styleId="KopfFett">
    <w:name w:val="KopfFett"/>
    <w:basedOn w:val="Header"/>
    <w:next w:val="Header"/>
    <w:rsid w:val="00C66FDD"/>
    <w:pPr>
      <w:pBdr>
        <w:bottom w:val="none" w:sz="0" w:space="0" w:color="auto"/>
      </w:pBdr>
      <w:tabs>
        <w:tab w:val="clear" w:pos="1247"/>
        <w:tab w:val="clear" w:pos="4536"/>
        <w:tab w:val="clear" w:pos="9072"/>
      </w:tabs>
      <w:suppressAutoHyphens/>
      <w:spacing w:after="0" w:line="200" w:lineRule="exact"/>
    </w:pPr>
    <w:rPr>
      <w:rFonts w:ascii="Arial" w:hAnsi="Arial"/>
      <w:noProof/>
      <w:sz w:val="15"/>
      <w:lang w:eastAsia="de-CH"/>
    </w:rPr>
  </w:style>
  <w:style w:type="paragraph" w:customStyle="1" w:styleId="KopfDept">
    <w:name w:val="KopfDept"/>
    <w:basedOn w:val="Header"/>
    <w:next w:val="KopfFett"/>
    <w:rsid w:val="00C66FDD"/>
    <w:pPr>
      <w:pBdr>
        <w:bottom w:val="none" w:sz="0" w:space="0" w:color="auto"/>
      </w:pBdr>
      <w:tabs>
        <w:tab w:val="clear" w:pos="1247"/>
        <w:tab w:val="clear" w:pos="4536"/>
        <w:tab w:val="clear" w:pos="9072"/>
      </w:tabs>
      <w:suppressAutoHyphens/>
      <w:spacing w:after="100" w:line="200" w:lineRule="exact"/>
      <w:contextualSpacing/>
    </w:pPr>
    <w:rPr>
      <w:rFonts w:ascii="Arial" w:hAnsi="Arial"/>
      <w:b w:val="0"/>
      <w:noProof/>
      <w:sz w:val="15"/>
      <w:lang w:eastAsia="de-CH"/>
    </w:rPr>
  </w:style>
  <w:style w:type="paragraph" w:styleId="Revision">
    <w:name w:val="Revision"/>
    <w:hidden/>
    <w:uiPriority w:val="99"/>
    <w:semiHidden/>
    <w:rsid w:val="000A7D3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939DF-0BB8-4BE3-98B0-46C7DE9AB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196F5075.dotm</Template>
  <TotalTime>6</TotalTime>
  <Pages>4</Pages>
  <Words>1165</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Cynthia Mwanza</cp:lastModifiedBy>
  <cp:revision>4</cp:revision>
  <cp:lastPrinted>2017-07-10T13:15:00Z</cp:lastPrinted>
  <dcterms:created xsi:type="dcterms:W3CDTF">2017-07-11T10:05:00Z</dcterms:created>
  <dcterms:modified xsi:type="dcterms:W3CDTF">2017-07-11T11:30:00Z</dcterms:modified>
</cp:coreProperties>
</file>