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jc w:val="right"/>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4"/>
        <w:gridCol w:w="4643"/>
        <w:gridCol w:w="3335"/>
      </w:tblGrid>
      <w:tr w:rsidR="006161DD" w:rsidRPr="001B418B" w:rsidTr="00406407">
        <w:trPr>
          <w:trHeight w:val="719"/>
          <w:jc w:val="right"/>
        </w:trPr>
        <w:tc>
          <w:tcPr>
            <w:tcW w:w="1734" w:type="dxa"/>
            <w:tcBorders>
              <w:top w:val="nil"/>
              <w:left w:val="nil"/>
              <w:bottom w:val="nil"/>
              <w:right w:val="nil"/>
            </w:tcBorders>
            <w:shd w:val="clear" w:color="auto" w:fill="auto"/>
            <w:tcMar>
              <w:top w:w="80" w:type="dxa"/>
              <w:left w:w="80" w:type="dxa"/>
              <w:bottom w:w="80" w:type="dxa"/>
              <w:right w:w="80" w:type="dxa"/>
            </w:tcMar>
          </w:tcPr>
          <w:p w:rsidR="006161DD" w:rsidRPr="001B418B" w:rsidRDefault="008F39B2" w:rsidP="001B418B">
            <w:pPr>
              <w:pStyle w:val="Body"/>
            </w:pPr>
            <w:r w:rsidRPr="001B418B">
              <w:rPr>
                <w:rFonts w:ascii="Arial" w:hAnsi="Arial"/>
                <w:b/>
                <w:bCs/>
                <w:sz w:val="27"/>
                <w:szCs w:val="27"/>
              </w:rPr>
              <w:t>UNITED</w:t>
            </w:r>
            <w:r w:rsidRPr="001B418B">
              <w:rPr>
                <w:rFonts w:ascii="Arial" w:hAnsi="Arial"/>
                <w:b/>
                <w:bCs/>
                <w:sz w:val="27"/>
                <w:szCs w:val="27"/>
              </w:rPr>
              <w:br/>
              <w:t>NATIONS</w:t>
            </w:r>
          </w:p>
        </w:tc>
        <w:tc>
          <w:tcPr>
            <w:tcW w:w="4643" w:type="dxa"/>
            <w:tcBorders>
              <w:top w:val="nil"/>
              <w:left w:val="nil"/>
              <w:bottom w:val="nil"/>
              <w:right w:val="nil"/>
            </w:tcBorders>
            <w:shd w:val="clear" w:color="auto" w:fill="auto"/>
            <w:tcMar>
              <w:top w:w="80" w:type="dxa"/>
              <w:left w:w="80" w:type="dxa"/>
              <w:bottom w:w="80" w:type="dxa"/>
              <w:right w:w="80" w:type="dxa"/>
            </w:tcMar>
          </w:tcPr>
          <w:p w:rsidR="006161DD" w:rsidRPr="001B418B" w:rsidRDefault="006161DD" w:rsidP="001B418B"/>
        </w:tc>
        <w:tc>
          <w:tcPr>
            <w:tcW w:w="3335" w:type="dxa"/>
            <w:tcBorders>
              <w:top w:val="nil"/>
              <w:left w:val="nil"/>
              <w:bottom w:val="nil"/>
              <w:right w:val="nil"/>
            </w:tcBorders>
            <w:shd w:val="clear" w:color="auto" w:fill="auto"/>
            <w:tcMar>
              <w:top w:w="80" w:type="dxa"/>
              <w:left w:w="80" w:type="dxa"/>
              <w:bottom w:w="80" w:type="dxa"/>
              <w:right w:w="80" w:type="dxa"/>
            </w:tcMar>
          </w:tcPr>
          <w:p w:rsidR="006161DD" w:rsidRPr="001B418B" w:rsidRDefault="008F39B2" w:rsidP="001B418B">
            <w:pPr>
              <w:pStyle w:val="Body"/>
              <w:jc w:val="right"/>
            </w:pPr>
            <w:r w:rsidRPr="001B418B">
              <w:rPr>
                <w:rFonts w:ascii="Arial" w:hAnsi="Arial"/>
                <w:b/>
                <w:bCs/>
                <w:sz w:val="64"/>
                <w:szCs w:val="64"/>
              </w:rPr>
              <w:t>MC</w:t>
            </w:r>
          </w:p>
        </w:tc>
      </w:tr>
      <w:tr w:rsidR="006161DD" w:rsidRPr="001B418B" w:rsidTr="00406407">
        <w:trPr>
          <w:trHeight w:val="313"/>
          <w:jc w:val="right"/>
        </w:trPr>
        <w:tc>
          <w:tcPr>
            <w:tcW w:w="1734"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Pr="001B418B" w:rsidRDefault="006161DD" w:rsidP="001B418B"/>
        </w:tc>
        <w:tc>
          <w:tcPr>
            <w:tcW w:w="4643"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Pr="001B418B" w:rsidRDefault="006161DD" w:rsidP="001B418B"/>
        </w:tc>
        <w:tc>
          <w:tcPr>
            <w:tcW w:w="3335"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Pr="001B418B" w:rsidRDefault="008F39B2" w:rsidP="001B418B">
            <w:pPr>
              <w:pStyle w:val="Body"/>
            </w:pPr>
            <w:r w:rsidRPr="001B418B">
              <w:rPr>
                <w:b/>
                <w:bCs/>
                <w:sz w:val="28"/>
                <w:szCs w:val="28"/>
              </w:rPr>
              <w:t>UNEP/</w:t>
            </w:r>
            <w:r w:rsidRPr="001B418B">
              <w:t>MC/COP.1/28</w:t>
            </w:r>
          </w:p>
        </w:tc>
      </w:tr>
      <w:tr w:rsidR="006161DD" w:rsidRPr="001B418B" w:rsidTr="00406407">
        <w:trPr>
          <w:trHeight w:val="2560"/>
          <w:jc w:val="right"/>
        </w:trPr>
        <w:tc>
          <w:tcPr>
            <w:tcW w:w="1734"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6161DD" w:rsidRPr="001B418B" w:rsidRDefault="008F39B2" w:rsidP="001B418B">
            <w:pPr>
              <w:pStyle w:val="Body"/>
            </w:pPr>
            <w:r w:rsidRPr="001B418B">
              <w:rPr>
                <w:noProof/>
              </w:rPr>
              <w:drawing>
                <wp:inline distT="0" distB="0" distL="0" distR="0" wp14:anchorId="54760B86" wp14:editId="4FA4F517">
                  <wp:extent cx="836295" cy="7734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9">
                            <a:extLst/>
                          </a:blip>
                          <a:stretch>
                            <a:fillRect/>
                          </a:stretch>
                        </pic:blipFill>
                        <pic:spPr>
                          <a:xfrm>
                            <a:off x="0" y="0"/>
                            <a:ext cx="836295" cy="773431"/>
                          </a:xfrm>
                          <a:prstGeom prst="rect">
                            <a:avLst/>
                          </a:prstGeom>
                          <a:ln w="12700" cap="flat">
                            <a:noFill/>
                            <a:miter lim="400000"/>
                          </a:ln>
                          <a:effectLst/>
                        </pic:spPr>
                      </pic:pic>
                    </a:graphicData>
                  </a:graphic>
                </wp:inline>
              </w:drawing>
            </w:r>
            <w:r w:rsidRPr="001B418B">
              <w:rPr>
                <w:noProof/>
              </w:rPr>
              <w:drawing>
                <wp:inline distT="0" distB="0" distL="0" distR="0" wp14:anchorId="065B42EF" wp14:editId="76237A8D">
                  <wp:extent cx="723900" cy="769620"/>
                  <wp:effectExtent l="0" t="0" r="0" b="0"/>
                  <wp:docPr id="1073741826" name="officeArt object" descr="EP"/>
                  <wp:cNvGraphicFramePr/>
                  <a:graphic xmlns:a="http://schemas.openxmlformats.org/drawingml/2006/main">
                    <a:graphicData uri="http://schemas.openxmlformats.org/drawingml/2006/picture">
                      <pic:pic xmlns:pic="http://schemas.openxmlformats.org/drawingml/2006/picture">
                        <pic:nvPicPr>
                          <pic:cNvPr id="1073741826" name="image2.png" descr="EP"/>
                          <pic:cNvPicPr>
                            <a:picLocks noChangeAspect="1"/>
                          </pic:cNvPicPr>
                        </pic:nvPicPr>
                        <pic:blipFill>
                          <a:blip r:embed="rId10">
                            <a:extLst/>
                          </a:blip>
                          <a:stretch>
                            <a:fillRect/>
                          </a:stretch>
                        </pic:blipFill>
                        <pic:spPr>
                          <a:xfrm>
                            <a:off x="0" y="0"/>
                            <a:ext cx="723900" cy="769620"/>
                          </a:xfrm>
                          <a:prstGeom prst="rect">
                            <a:avLst/>
                          </a:prstGeom>
                          <a:ln w="12700" cap="flat">
                            <a:noFill/>
                            <a:miter lim="400000"/>
                          </a:ln>
                          <a:effectLst/>
                        </pic:spPr>
                      </pic:pic>
                    </a:graphicData>
                  </a:graphic>
                </wp:inline>
              </w:drawing>
            </w:r>
          </w:p>
        </w:tc>
        <w:tc>
          <w:tcPr>
            <w:tcW w:w="4643"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6161DD" w:rsidRPr="001B418B" w:rsidRDefault="008F39B2" w:rsidP="001B418B">
            <w:pPr>
              <w:pStyle w:val="Body"/>
              <w:spacing w:before="1200"/>
            </w:pPr>
            <w:r w:rsidRPr="001B418B">
              <w:rPr>
                <w:rFonts w:ascii="Arial" w:hAnsi="Arial"/>
                <w:b/>
                <w:bCs/>
                <w:sz w:val="32"/>
                <w:szCs w:val="32"/>
              </w:rPr>
              <w:t>United Nations</w:t>
            </w:r>
            <w:r w:rsidRPr="001B418B">
              <w:rPr>
                <w:rFonts w:ascii="Arial Unicode MS" w:eastAsia="Arial Unicode MS" w:hAnsi="Arial Unicode MS" w:cs="Arial Unicode MS"/>
                <w:sz w:val="32"/>
                <w:szCs w:val="32"/>
              </w:rPr>
              <w:br/>
            </w:r>
            <w:r w:rsidRPr="001B418B">
              <w:rPr>
                <w:rFonts w:ascii="Arial" w:hAnsi="Arial"/>
                <w:b/>
                <w:bCs/>
                <w:sz w:val="32"/>
                <w:szCs w:val="32"/>
              </w:rPr>
              <w:t>Environment</w:t>
            </w:r>
            <w:r w:rsidRPr="001B418B">
              <w:rPr>
                <w:rFonts w:ascii="Arial Unicode MS" w:eastAsia="Arial Unicode MS" w:hAnsi="Arial Unicode MS" w:cs="Arial Unicode MS"/>
                <w:sz w:val="32"/>
                <w:szCs w:val="32"/>
              </w:rPr>
              <w:br/>
            </w:r>
            <w:proofErr w:type="spellStart"/>
            <w:r w:rsidRPr="001B418B">
              <w:rPr>
                <w:rFonts w:ascii="Arial" w:hAnsi="Arial"/>
                <w:b/>
                <w:bCs/>
                <w:sz w:val="32"/>
                <w:szCs w:val="32"/>
              </w:rPr>
              <w:t>Programme</w:t>
            </w:r>
            <w:proofErr w:type="spellEnd"/>
          </w:p>
        </w:tc>
        <w:tc>
          <w:tcPr>
            <w:tcW w:w="3335"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6161DD" w:rsidRPr="001B418B" w:rsidRDefault="008F39B2" w:rsidP="001B418B">
            <w:pPr>
              <w:pStyle w:val="Body"/>
              <w:spacing w:before="120"/>
            </w:pPr>
            <w:r w:rsidRPr="001B418B">
              <w:t>Distr.: General</w:t>
            </w:r>
            <w:r w:rsidRPr="001B418B">
              <w:rPr>
                <w:rFonts w:ascii="Arial Unicode MS" w:eastAsia="Arial Unicode MS" w:hAnsi="Arial Unicode MS" w:cs="Arial Unicode MS"/>
              </w:rPr>
              <w:br/>
            </w:r>
            <w:r w:rsidRPr="001B418B">
              <w:t>5 July 2017</w:t>
            </w:r>
          </w:p>
          <w:p w:rsidR="006161DD" w:rsidRPr="001B418B" w:rsidRDefault="008F39B2" w:rsidP="001B418B">
            <w:pPr>
              <w:pStyle w:val="Body"/>
              <w:spacing w:before="240"/>
            </w:pPr>
            <w:r w:rsidRPr="001B418B">
              <w:t>Original: English</w:t>
            </w:r>
          </w:p>
        </w:tc>
      </w:tr>
    </w:tbl>
    <w:p w:rsidR="006161DD" w:rsidRPr="0039471A" w:rsidRDefault="008F39B2" w:rsidP="0039471A">
      <w:pPr>
        <w:pStyle w:val="AATitle"/>
        <w:keepNext w:val="0"/>
        <w:keepLines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Cs w:val="0"/>
          <w:color w:val="auto"/>
          <w:bdr w:val="none" w:sz="0" w:space="0" w:color="auto"/>
          <w:lang w:val="en-GB"/>
        </w:rPr>
      </w:pPr>
      <w:r w:rsidRPr="0039471A">
        <w:rPr>
          <w:rFonts w:eastAsia="Times New Roman" w:cs="Times New Roman"/>
          <w:bCs w:val="0"/>
          <w:color w:val="auto"/>
          <w:bdr w:val="none" w:sz="0" w:space="0" w:color="auto"/>
          <w:lang w:val="en-GB"/>
        </w:rPr>
        <w:t>Conference of the Parties to the</w:t>
      </w:r>
      <w:r w:rsidRPr="0039471A">
        <w:rPr>
          <w:rFonts w:eastAsia="Times New Roman" w:cs="Times New Roman"/>
          <w:bCs w:val="0"/>
          <w:color w:val="auto"/>
          <w:bdr w:val="none" w:sz="0" w:space="0" w:color="auto"/>
          <w:lang w:val="en-GB"/>
        </w:rPr>
        <w:br/>
      </w:r>
      <w:proofErr w:type="spellStart"/>
      <w:r w:rsidRPr="0039471A">
        <w:rPr>
          <w:rFonts w:eastAsia="Times New Roman" w:cs="Times New Roman"/>
          <w:bCs w:val="0"/>
          <w:color w:val="auto"/>
          <w:bdr w:val="none" w:sz="0" w:space="0" w:color="auto"/>
          <w:lang w:val="en-GB"/>
        </w:rPr>
        <w:t>Minamata</w:t>
      </w:r>
      <w:proofErr w:type="spellEnd"/>
      <w:r w:rsidRPr="0039471A">
        <w:rPr>
          <w:rFonts w:eastAsia="Times New Roman" w:cs="Times New Roman"/>
          <w:bCs w:val="0"/>
          <w:color w:val="auto"/>
          <w:bdr w:val="none" w:sz="0" w:space="0" w:color="auto"/>
          <w:lang w:val="en-GB"/>
        </w:rPr>
        <w:t xml:space="preserve"> Convention on Mercury</w:t>
      </w:r>
    </w:p>
    <w:p w:rsidR="006161DD" w:rsidRPr="0039471A" w:rsidRDefault="008F39B2" w:rsidP="0039471A">
      <w:pPr>
        <w:pStyle w:val="AATitle"/>
        <w:keepNext w:val="0"/>
        <w:keepLines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Cs w:val="0"/>
          <w:color w:val="auto"/>
          <w:bdr w:val="none" w:sz="0" w:space="0" w:color="auto"/>
          <w:lang w:val="en-GB"/>
        </w:rPr>
      </w:pPr>
      <w:r w:rsidRPr="0039471A">
        <w:rPr>
          <w:rFonts w:eastAsia="Times New Roman" w:cs="Times New Roman"/>
          <w:bCs w:val="0"/>
          <w:color w:val="auto"/>
          <w:bdr w:val="none" w:sz="0" w:space="0" w:color="auto"/>
          <w:lang w:val="en-GB"/>
        </w:rPr>
        <w:t>First meeting</w:t>
      </w:r>
    </w:p>
    <w:p w:rsidR="006161DD" w:rsidRPr="0039471A" w:rsidRDefault="008F39B2" w:rsidP="0039471A">
      <w:pPr>
        <w:pStyle w:val="AATitle"/>
        <w:keepNext w:val="0"/>
        <w:keepLines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Cs w:val="0"/>
          <w:color w:val="auto"/>
          <w:bdr w:val="none" w:sz="0" w:space="0" w:color="auto"/>
          <w:lang w:val="en-GB"/>
        </w:rPr>
      </w:pPr>
      <w:r w:rsidRPr="0039471A">
        <w:rPr>
          <w:rFonts w:eastAsia="Times New Roman" w:cs="Times New Roman"/>
          <w:bCs w:val="0"/>
          <w:color w:val="auto"/>
          <w:bdr w:val="none" w:sz="0" w:space="0" w:color="auto"/>
          <w:lang w:val="en-GB"/>
        </w:rPr>
        <w:t>Geneva, 24–29 September 2017</w:t>
      </w:r>
    </w:p>
    <w:p w:rsidR="006161DD" w:rsidRPr="0039471A" w:rsidRDefault="008F39B2" w:rsidP="001B418B">
      <w:pPr>
        <w:pStyle w:val="AATitle"/>
        <w:keepNext w:val="0"/>
        <w:keepLines w:val="0"/>
        <w:rPr>
          <w:b w:val="0"/>
          <w:bCs w:val="0"/>
        </w:rPr>
      </w:pPr>
      <w:r w:rsidRPr="0039471A">
        <w:rPr>
          <w:b w:val="0"/>
          <w:bCs w:val="0"/>
        </w:rPr>
        <w:t>Item 5 (c) (iii) of the provisional agenda</w:t>
      </w:r>
      <w:r w:rsidRPr="0039471A">
        <w:rPr>
          <w:b w:val="0"/>
          <w:bCs w:val="0"/>
        </w:rPr>
        <w:footnoteReference w:customMarkFollows="1" w:id="2"/>
        <w:t>*</w:t>
      </w:r>
    </w:p>
    <w:p w:rsidR="006161DD" w:rsidRPr="001B418B" w:rsidRDefault="008F39B2" w:rsidP="0039471A">
      <w:pPr>
        <w:pStyle w:val="AATitle2"/>
        <w:spacing w:before="60"/>
        <w:ind w:right="4900"/>
      </w:pPr>
      <w:r w:rsidRPr="0039471A">
        <w:t>Matters for action by the Conference of the Parties at its first meeting: matters recommended by the intergovernmental negotiating committee: physical location of the permanent secretariat</w:t>
      </w:r>
      <w:r w:rsidR="0025468F" w:rsidRPr="0039471A">
        <w:t xml:space="preserve"> </w:t>
      </w:r>
    </w:p>
    <w:p w:rsidR="006161DD" w:rsidRPr="001B418B" w:rsidRDefault="008F39B2" w:rsidP="001B418B">
      <w:pPr>
        <w:pStyle w:val="BBTitle"/>
      </w:pPr>
      <w:r w:rsidRPr="001B418B">
        <w:t>Updated analysi</w:t>
      </w:r>
      <w:bookmarkStart w:id="0" w:name="_GoBack"/>
      <w:bookmarkEnd w:id="0"/>
      <w:r w:rsidRPr="001B418B">
        <w:t xml:space="preserve">s of the offer by the Government of Switzerland to host the permanent secretariat of the </w:t>
      </w:r>
      <w:proofErr w:type="spellStart"/>
      <w:r w:rsidRPr="001B418B">
        <w:t>Minamata</w:t>
      </w:r>
      <w:proofErr w:type="spellEnd"/>
      <w:r w:rsidRPr="001B418B">
        <w:t xml:space="preserve"> Convention on Mercury in Geneva, based on clarifications received on 27</w:t>
      </w:r>
      <w:r w:rsidR="001B418B">
        <w:t> </w:t>
      </w:r>
      <w:r w:rsidRPr="001B418B">
        <w:t>June 2017</w:t>
      </w:r>
    </w:p>
    <w:p w:rsidR="006161DD" w:rsidRPr="001B418B" w:rsidRDefault="008F39B2" w:rsidP="001B418B">
      <w:pPr>
        <w:pStyle w:val="CH2"/>
      </w:pPr>
      <w:r w:rsidRPr="001B418B">
        <w:rPr>
          <w:rFonts w:eastAsia="Arial Unicode MS" w:cs="Arial Unicode MS"/>
        </w:rPr>
        <w:tab/>
      </w:r>
      <w:r w:rsidRPr="001B418B">
        <w:rPr>
          <w:rFonts w:eastAsia="Arial Unicode MS" w:cs="Arial Unicode MS"/>
        </w:rPr>
        <w:tab/>
        <w:t>Note by the secretariat</w:t>
      </w:r>
    </w:p>
    <w:p w:rsidR="006161DD" w:rsidRPr="001B418B" w:rsidRDefault="008F39B2" w:rsidP="001B418B">
      <w:pPr>
        <w:pStyle w:val="Normalnumber"/>
        <w:numPr>
          <w:ilvl w:val="0"/>
          <w:numId w:val="2"/>
        </w:numPr>
      </w:pPr>
      <w:r w:rsidRPr="001B418B">
        <w:rPr>
          <w:rFonts w:eastAsia="Arial Unicode MS" w:cs="Arial Unicode MS"/>
        </w:rPr>
        <w:t xml:space="preserve">At its sixth session, held in Bangkok from 3 to 7 November 2014, the intergovernmental negotiating committee to prepare a global legally binding instrument on mercury requested the interim secretariat of the </w:t>
      </w:r>
      <w:proofErr w:type="spellStart"/>
      <w:r w:rsidRPr="001B418B">
        <w:rPr>
          <w:rFonts w:eastAsia="Arial Unicode MS" w:cs="Arial Unicode MS"/>
        </w:rPr>
        <w:t>Minamata</w:t>
      </w:r>
      <w:proofErr w:type="spellEnd"/>
      <w:r w:rsidRPr="001B418B">
        <w:rPr>
          <w:rFonts w:eastAsia="Arial Unicode MS" w:cs="Arial Unicode MS"/>
        </w:rPr>
        <w:t xml:space="preserve"> Convention on Mercury to invite offers by Governments interested in hosting the permanent secretariat of the Convention and to compile and </w:t>
      </w:r>
      <w:proofErr w:type="spellStart"/>
      <w:r w:rsidRPr="001B418B">
        <w:rPr>
          <w:rFonts w:eastAsia="Arial Unicode MS" w:cs="Arial Unicode MS"/>
        </w:rPr>
        <w:t>analyse</w:t>
      </w:r>
      <w:proofErr w:type="spellEnd"/>
      <w:r w:rsidRPr="001B418B">
        <w:rPr>
          <w:rFonts w:eastAsia="Arial Unicode MS" w:cs="Arial Unicode MS"/>
        </w:rPr>
        <w:t xml:space="preserve"> any such offers for consideration by the committee at its seventh session.</w:t>
      </w:r>
    </w:p>
    <w:p w:rsidR="006161DD" w:rsidRPr="001B418B" w:rsidRDefault="008F39B2" w:rsidP="001B418B">
      <w:pPr>
        <w:pStyle w:val="Normalnumber"/>
        <w:numPr>
          <w:ilvl w:val="0"/>
          <w:numId w:val="2"/>
        </w:numPr>
      </w:pPr>
      <w:r w:rsidRPr="001B418B">
        <w:rPr>
          <w:rFonts w:eastAsia="Arial Unicode MS" w:cs="Arial Unicode MS"/>
        </w:rPr>
        <w:t xml:space="preserve">Accordingly, the Executive Director of the United Nations Environment </w:t>
      </w:r>
      <w:proofErr w:type="spellStart"/>
      <w:r w:rsidRPr="001B418B">
        <w:rPr>
          <w:rFonts w:eastAsia="Arial Unicode MS" w:cs="Arial Unicode MS"/>
        </w:rPr>
        <w:t>Programme</w:t>
      </w:r>
      <w:proofErr w:type="spellEnd"/>
      <w:r w:rsidRPr="001B418B">
        <w:rPr>
          <w:rFonts w:eastAsia="Arial Unicode MS" w:cs="Arial Unicode MS"/>
        </w:rPr>
        <w:t xml:space="preserve"> (UNEP), on 5 December 2014, sent a letter to all Governments inviting the submission of offers to physically host the permanent secretariat of the Convention. The letter included, as an attachment, the categories of information that might form part of a proposal from a Government interested in physically hosting the permanent secretariat. </w:t>
      </w:r>
    </w:p>
    <w:p w:rsidR="006161DD" w:rsidRPr="001B418B" w:rsidRDefault="008F39B2" w:rsidP="001B418B">
      <w:pPr>
        <w:pStyle w:val="Normalnumber"/>
        <w:numPr>
          <w:ilvl w:val="0"/>
          <w:numId w:val="2"/>
        </w:numPr>
      </w:pPr>
      <w:r w:rsidRPr="001B418B">
        <w:rPr>
          <w:rFonts w:eastAsia="Arial Unicode MS" w:cs="Arial Unicode MS"/>
        </w:rPr>
        <w:t xml:space="preserve">One offer to physically host the secretariat of the </w:t>
      </w:r>
      <w:proofErr w:type="spellStart"/>
      <w:r w:rsidRPr="001B418B">
        <w:rPr>
          <w:rFonts w:eastAsia="Arial Unicode MS" w:cs="Arial Unicode MS"/>
        </w:rPr>
        <w:t>Minamata</w:t>
      </w:r>
      <w:proofErr w:type="spellEnd"/>
      <w:r w:rsidRPr="001B418B">
        <w:rPr>
          <w:rFonts w:eastAsia="Arial Unicode MS" w:cs="Arial Unicode MS"/>
        </w:rPr>
        <w:t xml:space="preserve"> Convention was received by the stated deadline. That offer was from the Government of Switzerland, which has offered to host the permanent secretariat in Geneva. The offer by the Government of Switzerland ((UNEP(DTIE)/Hg/INC.7/INF/5) and an analysis of that offer prepared by the interim secr</w:t>
      </w:r>
      <w:r w:rsidR="003D3067" w:rsidRPr="001B418B">
        <w:rPr>
          <w:rFonts w:eastAsia="Arial Unicode MS" w:cs="Arial Unicode MS"/>
        </w:rPr>
        <w:t>etariat (UNEP(DTIE)/Hg/INC.7/16</w:t>
      </w:r>
      <w:r w:rsidRPr="001B418B">
        <w:rPr>
          <w:rFonts w:eastAsia="Arial Unicode MS" w:cs="Arial Unicode MS"/>
        </w:rPr>
        <w:t xml:space="preserve">) were presented to the committee at its seventh session, which took place at the Dead Sea in Jordan from 10 to 15 March 2017. </w:t>
      </w:r>
    </w:p>
    <w:p w:rsidR="006161DD" w:rsidRPr="001B418B" w:rsidRDefault="008F39B2" w:rsidP="001B418B">
      <w:pPr>
        <w:pStyle w:val="Normalnumber"/>
        <w:numPr>
          <w:ilvl w:val="0"/>
          <w:numId w:val="2"/>
        </w:numPr>
      </w:pPr>
      <w:r w:rsidRPr="001B418B">
        <w:rPr>
          <w:rFonts w:eastAsia="Arial Unicode MS" w:cs="Arial Unicode MS"/>
        </w:rPr>
        <w:lastRenderedPageBreak/>
        <w:t xml:space="preserve">The committee at its seventh session considered the offer by the Government of Switzerland and the analysis of the offer by the interim secretariat, following which the committee requested the Government of Switzerland to consider clarifying the conditionality of its proposal for further consideration by the Conference of the Parties at its first meeting. </w:t>
      </w:r>
    </w:p>
    <w:p w:rsidR="006161DD" w:rsidRPr="001B418B" w:rsidRDefault="008F39B2" w:rsidP="001B418B">
      <w:pPr>
        <w:pStyle w:val="Normalnumber"/>
        <w:numPr>
          <w:ilvl w:val="0"/>
          <w:numId w:val="2"/>
        </w:numPr>
      </w:pPr>
      <w:r w:rsidRPr="001B418B">
        <w:rPr>
          <w:rFonts w:eastAsia="Arial Unicode MS" w:cs="Arial Unicode MS"/>
        </w:rPr>
        <w:t xml:space="preserve">The Government of Switzerland accordingly submitted a document clarifying and in some cases extending its offer to host the permanent secretariat, which was received by the interim secretariat on 27 June 2017. The document (UNEP/MC/COP.1/INF/8) and the original offer (UNEP/MC/COP.1/INF/7) are presented for the information of the Conference of the Parties at its first meeting. </w:t>
      </w:r>
    </w:p>
    <w:p w:rsidR="006161DD" w:rsidRPr="001B418B" w:rsidRDefault="008F39B2" w:rsidP="001B418B">
      <w:pPr>
        <w:pStyle w:val="Normalnumber"/>
        <w:numPr>
          <w:ilvl w:val="0"/>
          <w:numId w:val="2"/>
        </w:numPr>
      </w:pPr>
      <w:r w:rsidRPr="001B418B">
        <w:rPr>
          <w:rFonts w:eastAsia="Arial Unicode MS" w:cs="Arial Unicode MS"/>
        </w:rPr>
        <w:t xml:space="preserve">In the paragraphs below the </w:t>
      </w:r>
      <w:r w:rsidRPr="00AC5E13">
        <w:rPr>
          <w:rFonts w:eastAsia="Arial Unicode MS" w:cs="Arial Unicode MS"/>
        </w:rPr>
        <w:t>interim secretariat</w:t>
      </w:r>
      <w:r w:rsidRPr="001B418B">
        <w:rPr>
          <w:rFonts w:eastAsia="Arial Unicode MS" w:cs="Arial Unicode MS"/>
        </w:rPr>
        <w:t xml:space="preserve"> further analyses the offer by the Government of Switzerland in the light of the information provided in the clarification document. </w:t>
      </w:r>
    </w:p>
    <w:p w:rsidR="006161DD" w:rsidRPr="001B418B" w:rsidRDefault="008F39B2" w:rsidP="001B418B">
      <w:pPr>
        <w:pStyle w:val="CH2"/>
      </w:pPr>
      <w:r w:rsidRPr="001B418B">
        <w:rPr>
          <w:rFonts w:eastAsia="Arial Unicode MS" w:cs="Arial Unicode MS"/>
        </w:rPr>
        <w:tab/>
      </w:r>
      <w:r w:rsidRPr="001B418B">
        <w:rPr>
          <w:rFonts w:eastAsia="Arial Unicode MS" w:cs="Arial Unicode MS"/>
        </w:rPr>
        <w:tab/>
        <w:t>Option 1 (a): Merger into the secretariat of the Basel, Rotterdam and Stockholm convention utilizing its current structure</w:t>
      </w:r>
    </w:p>
    <w:p w:rsidR="006161DD" w:rsidRPr="001B418B" w:rsidRDefault="008F39B2" w:rsidP="001B418B">
      <w:pPr>
        <w:pStyle w:val="Normalnumber"/>
        <w:numPr>
          <w:ilvl w:val="0"/>
          <w:numId w:val="2"/>
        </w:numPr>
      </w:pPr>
      <w:r w:rsidRPr="001B418B">
        <w:rPr>
          <w:rFonts w:eastAsia="Arial Unicode MS" w:cs="Arial Unicode MS"/>
        </w:rPr>
        <w:t xml:space="preserve">The clarification document reiterates the Government of Switzerland’s support for the merger of the permanent secretariat of the </w:t>
      </w:r>
      <w:proofErr w:type="spellStart"/>
      <w:r w:rsidRPr="001B418B">
        <w:rPr>
          <w:rFonts w:eastAsia="Arial Unicode MS" w:cs="Arial Unicode MS"/>
        </w:rPr>
        <w:t>Minamata</w:t>
      </w:r>
      <w:proofErr w:type="spellEnd"/>
      <w:r w:rsidRPr="001B418B">
        <w:rPr>
          <w:rFonts w:eastAsia="Arial Unicode MS" w:cs="Arial Unicode MS"/>
        </w:rPr>
        <w:t xml:space="preserve"> Convention into the secretariat of the Basel, Rotterdam and Stockholm conventions utilizing the current structure of the latter. If that option is adopted the Government of Switzerland will make an annual host country contribution to the </w:t>
      </w:r>
      <w:proofErr w:type="spellStart"/>
      <w:r w:rsidRPr="001B418B">
        <w:rPr>
          <w:rFonts w:eastAsia="Arial Unicode MS" w:cs="Arial Unicode MS"/>
        </w:rPr>
        <w:t>Minamata</w:t>
      </w:r>
      <w:proofErr w:type="spellEnd"/>
      <w:r w:rsidRPr="001B418B">
        <w:rPr>
          <w:rFonts w:eastAsia="Arial Unicode MS" w:cs="Arial Unicode MS"/>
        </w:rPr>
        <w:t xml:space="preserve"> Convention of 2.5 million Swi</w:t>
      </w:r>
      <w:r w:rsidR="001B418B">
        <w:rPr>
          <w:rFonts w:eastAsia="Arial Unicode MS" w:cs="Arial Unicode MS"/>
        </w:rPr>
        <w:t xml:space="preserve">ss francs. </w:t>
      </w:r>
    </w:p>
    <w:p w:rsidR="006161DD" w:rsidRPr="001B418B" w:rsidRDefault="008F39B2" w:rsidP="001B418B">
      <w:pPr>
        <w:pStyle w:val="Normalnumber"/>
        <w:numPr>
          <w:ilvl w:val="0"/>
          <w:numId w:val="2"/>
        </w:numPr>
        <w:rPr>
          <w:rFonts w:eastAsia="Arial Unicode MS" w:cs="Arial Unicode MS"/>
        </w:rPr>
      </w:pPr>
      <w:r w:rsidRPr="001B418B">
        <w:rPr>
          <w:rFonts w:eastAsia="Arial Unicode MS" w:cs="Arial Unicode MS"/>
        </w:rPr>
        <w:t>With regard to this merged secretariat option, Switzerland clarified that its annual host country contribution would consist of two portions, the first of which would amount to two million Swiss</w:t>
      </w:r>
      <w:r w:rsidR="001B418B">
        <w:rPr>
          <w:rFonts w:eastAsia="Arial Unicode MS" w:cs="Arial Unicode MS"/>
        </w:rPr>
        <w:t> </w:t>
      </w:r>
      <w:r w:rsidR="001B418B" w:rsidRPr="001B418B">
        <w:rPr>
          <w:rFonts w:eastAsia="Arial Unicode MS" w:cs="Arial Unicode MS"/>
        </w:rPr>
        <w:t>fr</w:t>
      </w:r>
      <w:r w:rsidRPr="001B418B">
        <w:rPr>
          <w:rFonts w:eastAsia="Arial Unicode MS" w:cs="Arial Unicode MS"/>
        </w:rPr>
        <w:t xml:space="preserve">ancs, the use of which would be unrestricted; this portion of the annual contribution could, for example, be used to defray the costs of meetings, regardless of where they are held. Switzerland also clarified that this unearmarked portion of its annual contribution would include Switzerland’s assessed contribution as a Party to the Convention. (At the first meeting of the Conference of the Parties, as part of the finalization on the financial rules, it is to be decided how a host country contribution is to be divided between the general trust fund of the </w:t>
      </w:r>
      <w:proofErr w:type="spellStart"/>
      <w:r w:rsidRPr="001B418B">
        <w:rPr>
          <w:rFonts w:eastAsia="Arial Unicode MS" w:cs="Arial Unicode MS"/>
        </w:rPr>
        <w:t>Minamata</w:t>
      </w:r>
      <w:proofErr w:type="spellEnd"/>
      <w:r w:rsidRPr="001B418B">
        <w:rPr>
          <w:rFonts w:eastAsia="Arial Unicode MS" w:cs="Arial Unicode MS"/>
        </w:rPr>
        <w:t xml:space="preserve"> Convention that is to set up to support core activities, and the special trust fund that is to be funded through voluntary contributions to support additional activities). </w:t>
      </w:r>
    </w:p>
    <w:p w:rsidR="006161DD" w:rsidRPr="001B418B" w:rsidRDefault="008F39B2" w:rsidP="001B418B">
      <w:pPr>
        <w:pStyle w:val="Normalnumber"/>
        <w:numPr>
          <w:ilvl w:val="0"/>
          <w:numId w:val="2"/>
        </w:numPr>
        <w:rPr>
          <w:rFonts w:eastAsia="Arial Unicode MS" w:cs="Arial Unicode MS"/>
        </w:rPr>
      </w:pPr>
      <w:r w:rsidRPr="001B418B">
        <w:rPr>
          <w:rFonts w:eastAsia="Arial Unicode MS" w:cs="Arial Unicode MS"/>
        </w:rPr>
        <w:t xml:space="preserve">The second portion of Switzerland’s annual contribution if a fully merged secretariat option were adopted would consist of 500,000 Swiss francs earmarked for a position to support the integration of the secretariat and for joint activities of the </w:t>
      </w:r>
      <w:proofErr w:type="spellStart"/>
      <w:r w:rsidRPr="001B418B">
        <w:rPr>
          <w:rFonts w:eastAsia="Arial Unicode MS" w:cs="Arial Unicode MS"/>
        </w:rPr>
        <w:t>Minamata</w:t>
      </w:r>
      <w:proofErr w:type="spellEnd"/>
      <w:r w:rsidRPr="001B418B">
        <w:rPr>
          <w:rFonts w:eastAsia="Arial Unicode MS" w:cs="Arial Unicode MS"/>
        </w:rPr>
        <w:t xml:space="preserve">, Basel, Rotterdam and Stockholm conventions. </w:t>
      </w:r>
    </w:p>
    <w:p w:rsidR="006161DD" w:rsidRPr="001B418B" w:rsidRDefault="008F39B2" w:rsidP="001B418B">
      <w:pPr>
        <w:pStyle w:val="Normalnumber"/>
        <w:numPr>
          <w:ilvl w:val="0"/>
          <w:numId w:val="2"/>
        </w:numPr>
      </w:pPr>
      <w:r w:rsidRPr="001B418B">
        <w:rPr>
          <w:rFonts w:eastAsia="Arial Unicode MS" w:cs="Arial Unicode MS"/>
        </w:rPr>
        <w:t xml:space="preserve">Finally, in the fully merged secretariat option Switzerland would also offer an initial payment of 100,000 Swiss francs for office infrastructure and the consolidation of the secretariat. </w:t>
      </w:r>
    </w:p>
    <w:p w:rsidR="006161DD" w:rsidRPr="001B418B" w:rsidRDefault="008F39B2" w:rsidP="001B418B">
      <w:pPr>
        <w:pStyle w:val="CH2"/>
      </w:pPr>
      <w:r w:rsidRPr="001B418B">
        <w:rPr>
          <w:rFonts w:eastAsia="Arial Unicode MS" w:cs="Arial Unicode MS"/>
        </w:rPr>
        <w:tab/>
      </w:r>
      <w:r w:rsidRPr="001B418B">
        <w:rPr>
          <w:rFonts w:eastAsia="Arial Unicode MS" w:cs="Arial Unicode MS"/>
        </w:rPr>
        <w:tab/>
        <w:t>Option 1 (b): Merger into the secretariat of the Basel, Rotterdam and Stockholm conventions by creating, in the interim, a fourth branch</w:t>
      </w:r>
    </w:p>
    <w:p w:rsidR="006161DD" w:rsidRPr="001B418B" w:rsidRDefault="008F39B2" w:rsidP="001B418B">
      <w:pPr>
        <w:pStyle w:val="Normalnumber"/>
        <w:numPr>
          <w:ilvl w:val="0"/>
          <w:numId w:val="2"/>
        </w:numPr>
        <w:rPr>
          <w:rFonts w:eastAsia="Arial Unicode MS" w:cs="Arial Unicode MS"/>
        </w:rPr>
      </w:pPr>
      <w:r w:rsidRPr="001B418B">
        <w:rPr>
          <w:rFonts w:eastAsia="Arial Unicode MS" w:cs="Arial Unicode MS"/>
        </w:rPr>
        <w:t xml:space="preserve">The clarification document submitted by </w:t>
      </w:r>
      <w:r w:rsidRPr="005F0FD6">
        <w:rPr>
          <w:rFonts w:eastAsia="Arial Unicode MS" w:cs="Arial Unicode MS"/>
        </w:rPr>
        <w:t>the Government</w:t>
      </w:r>
      <w:r w:rsidRPr="001B418B">
        <w:rPr>
          <w:rFonts w:eastAsia="Arial Unicode MS" w:cs="Arial Unicode MS"/>
        </w:rPr>
        <w:t xml:space="preserve"> of Switzerland also addresses the possibility of merging the secretariat by creating, temporarily, a fourth branch of the secretariat. Switzerland’s original offer to host the permanent secretariat did not include consideration of this option. </w:t>
      </w:r>
    </w:p>
    <w:p w:rsidR="006161DD" w:rsidRPr="001B418B" w:rsidRDefault="008F39B2" w:rsidP="001B418B">
      <w:pPr>
        <w:pStyle w:val="Normalnumber"/>
        <w:numPr>
          <w:ilvl w:val="0"/>
          <w:numId w:val="2"/>
        </w:numPr>
        <w:rPr>
          <w:rFonts w:eastAsia="Arial Unicode MS" w:cs="Arial Unicode MS"/>
        </w:rPr>
      </w:pPr>
      <w:r w:rsidRPr="001B418B">
        <w:rPr>
          <w:rFonts w:eastAsia="Arial Unicode MS" w:cs="Arial Unicode MS"/>
        </w:rPr>
        <w:t xml:space="preserve">Switzerland indicates that if this option were adopted it would provide an annual unearmarked contribution of two million Swiss francs. As with the option above, it can be inferred that this unearmarked annual contrition is made available without any restriction on how it is used, including without any particular restriction for its use for meetings, wherever they may be held. As above, it can also be inferred that this unearmarked annual contribution of two million Swiss </w:t>
      </w:r>
      <w:r w:rsidR="005E3942" w:rsidRPr="001B418B">
        <w:rPr>
          <w:rFonts w:eastAsia="Arial Unicode MS" w:cs="Arial Unicode MS"/>
        </w:rPr>
        <w:t>f</w:t>
      </w:r>
      <w:r w:rsidRPr="001B418B">
        <w:rPr>
          <w:rFonts w:eastAsia="Arial Unicode MS" w:cs="Arial Unicode MS"/>
        </w:rPr>
        <w:t>rancs includes Switzerland’s assessed contribution as a Party to the Convention.</w:t>
      </w:r>
    </w:p>
    <w:p w:rsidR="006161DD" w:rsidRPr="001B418B" w:rsidRDefault="008F39B2" w:rsidP="001B418B">
      <w:pPr>
        <w:pStyle w:val="Normalnumber"/>
        <w:numPr>
          <w:ilvl w:val="0"/>
          <w:numId w:val="2"/>
        </w:numPr>
        <w:rPr>
          <w:rFonts w:eastAsia="Arial Unicode MS" w:cs="Arial Unicode MS"/>
        </w:rPr>
      </w:pPr>
      <w:r w:rsidRPr="001B418B">
        <w:rPr>
          <w:rFonts w:eastAsia="Arial Unicode MS" w:cs="Arial Unicode MS"/>
        </w:rPr>
        <w:t>This option would also include an initial payment of 100,000 Swiss francs for office infrastructure and the consolidation of the secretariat.</w:t>
      </w:r>
    </w:p>
    <w:p w:rsidR="006161DD" w:rsidRPr="001B418B" w:rsidRDefault="008F39B2" w:rsidP="001B418B">
      <w:pPr>
        <w:pStyle w:val="CH2"/>
      </w:pPr>
      <w:r w:rsidRPr="001B418B">
        <w:rPr>
          <w:rFonts w:eastAsia="Arial Unicode MS" w:cs="Arial Unicode MS"/>
        </w:rPr>
        <w:tab/>
      </w:r>
      <w:r w:rsidRPr="001B418B">
        <w:rPr>
          <w:rFonts w:eastAsia="Arial Unicode MS" w:cs="Arial Unicode MS"/>
        </w:rPr>
        <w:tab/>
        <w:t>Option 2: Utilizing the interim secretariat</w:t>
      </w:r>
    </w:p>
    <w:p w:rsidR="006161DD" w:rsidRPr="001B418B" w:rsidRDefault="008F39B2" w:rsidP="001B418B">
      <w:pPr>
        <w:pStyle w:val="Normalnumber"/>
        <w:numPr>
          <w:ilvl w:val="0"/>
          <w:numId w:val="2"/>
        </w:numPr>
        <w:rPr>
          <w:rFonts w:eastAsia="Arial Unicode MS" w:cs="Arial Unicode MS"/>
        </w:rPr>
      </w:pPr>
      <w:r w:rsidRPr="001B418B">
        <w:rPr>
          <w:rFonts w:eastAsia="Arial Unicode MS" w:cs="Arial Unicode MS"/>
        </w:rPr>
        <w:t xml:space="preserve">With regard to the option of utilizing the interim secretariat as the basis for a permanent secretariat in Geneva, Switzerland’s original limited Swiss support for such an option to its assessed contributions as a Party to the Convention. In the clarification document, however, the Government of Switzerland indicates that it would also provide a contribution of 100,000 Swiss </w:t>
      </w:r>
      <w:r w:rsidR="005E3942" w:rsidRPr="001B418B">
        <w:rPr>
          <w:rFonts w:eastAsia="Arial Unicode MS" w:cs="Arial Unicode MS"/>
        </w:rPr>
        <w:t>f</w:t>
      </w:r>
      <w:r w:rsidRPr="001B418B">
        <w:rPr>
          <w:rFonts w:eastAsia="Arial Unicode MS" w:cs="Arial Unicode MS"/>
        </w:rPr>
        <w:t>rancs for office infrastructure and the consolidation of the secretariat.</w:t>
      </w:r>
    </w:p>
    <w:p w:rsidR="006161DD" w:rsidRPr="001B418B" w:rsidRDefault="008F39B2" w:rsidP="001B418B">
      <w:pPr>
        <w:pStyle w:val="CH2"/>
      </w:pPr>
      <w:r w:rsidRPr="001B418B">
        <w:rPr>
          <w:rFonts w:eastAsia="Arial Unicode MS" w:cs="Arial Unicode MS"/>
        </w:rPr>
        <w:lastRenderedPageBreak/>
        <w:tab/>
      </w:r>
      <w:r w:rsidRPr="001B418B">
        <w:rPr>
          <w:rFonts w:eastAsia="Arial Unicode MS" w:cs="Arial Unicode MS"/>
        </w:rPr>
        <w:tab/>
        <w:t>For all options</w:t>
      </w:r>
    </w:p>
    <w:p w:rsidR="006161DD" w:rsidRPr="001B418B" w:rsidRDefault="008F39B2" w:rsidP="001B418B">
      <w:pPr>
        <w:pStyle w:val="Normalnumber"/>
        <w:numPr>
          <w:ilvl w:val="0"/>
          <w:numId w:val="2"/>
        </w:numPr>
      </w:pPr>
      <w:r w:rsidRPr="001B418B">
        <w:rPr>
          <w:rFonts w:eastAsia="Arial Unicode MS" w:cs="Arial Unicode MS"/>
        </w:rPr>
        <w:t xml:space="preserve">Lastly, for all options that involve the location of the permanent secretariat in Geneva, the Government of Switzerland has indicated that it would provide rent-free office space and rent-free use of the Geneva International Conference Centre for meeting purposes. </w:t>
      </w:r>
    </w:p>
    <w:p w:rsidR="006161DD" w:rsidRPr="001B418B" w:rsidRDefault="008F39B2" w:rsidP="001B418B">
      <w:pPr>
        <w:pStyle w:val="CH2"/>
      </w:pPr>
      <w:r w:rsidRPr="001B418B">
        <w:rPr>
          <w:rFonts w:eastAsia="Arial Unicode MS" w:cs="Arial Unicode MS"/>
        </w:rPr>
        <w:tab/>
      </w:r>
      <w:r w:rsidRPr="001B418B">
        <w:rPr>
          <w:rFonts w:eastAsia="Arial Unicode MS" w:cs="Arial Unicode MS"/>
        </w:rPr>
        <w:tab/>
        <w:t>Suggested action by the Conference of the Parties</w:t>
      </w:r>
    </w:p>
    <w:p w:rsidR="006161DD" w:rsidRPr="001B418B" w:rsidRDefault="008F39B2" w:rsidP="001B418B">
      <w:pPr>
        <w:pStyle w:val="Normalnumber"/>
        <w:numPr>
          <w:ilvl w:val="0"/>
          <w:numId w:val="2"/>
        </w:numPr>
      </w:pPr>
      <w:r w:rsidRPr="001B418B">
        <w:rPr>
          <w:rFonts w:eastAsia="Arial Unicode MS" w:cs="Arial Unicode MS"/>
        </w:rPr>
        <w:t xml:space="preserve">The Conference of the Parties may wish to consider the offer by the Government of Switzerland in its deliberations on the location of the permanent secretariat of the </w:t>
      </w:r>
      <w:proofErr w:type="spellStart"/>
      <w:r w:rsidRPr="001B418B">
        <w:rPr>
          <w:rFonts w:eastAsia="Arial Unicode MS" w:cs="Arial Unicode MS"/>
        </w:rPr>
        <w:t>Minamata</w:t>
      </w:r>
      <w:proofErr w:type="spellEnd"/>
      <w:r w:rsidRPr="001B418B">
        <w:rPr>
          <w:rFonts w:eastAsia="Arial Unicode MS" w:cs="Arial Unicode MS"/>
        </w:rPr>
        <w:t xml:space="preserve"> Convention. </w:t>
      </w:r>
    </w:p>
    <w:p w:rsidR="006161DD" w:rsidRDefault="006161DD" w:rsidP="001B418B">
      <w:pPr>
        <w:pStyle w:val="Normal-pool"/>
      </w:pPr>
    </w:p>
    <w:tbl>
      <w:tblPr>
        <w:tblW w:w="9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8"/>
        <w:gridCol w:w="1899"/>
        <w:gridCol w:w="1899"/>
        <w:gridCol w:w="1900"/>
        <w:gridCol w:w="1900"/>
      </w:tblGrid>
      <w:tr w:rsidR="006161DD" w:rsidTr="001B418B">
        <w:trPr>
          <w:trHeight w:val="324"/>
        </w:trPr>
        <w:tc>
          <w:tcPr>
            <w:tcW w:w="1898" w:type="dxa"/>
            <w:tcBorders>
              <w:top w:val="nil"/>
              <w:left w:val="nil"/>
              <w:bottom w:val="nil"/>
              <w:right w:val="nil"/>
            </w:tcBorders>
            <w:shd w:val="clear" w:color="auto" w:fill="auto"/>
            <w:tcMar>
              <w:top w:w="80" w:type="dxa"/>
              <w:left w:w="80" w:type="dxa"/>
              <w:bottom w:w="80" w:type="dxa"/>
              <w:right w:w="80" w:type="dxa"/>
            </w:tcMar>
          </w:tcPr>
          <w:p w:rsidR="006161DD" w:rsidRDefault="006161DD" w:rsidP="001B418B">
            <w:pPr>
              <w:spacing w:before="520"/>
            </w:pPr>
          </w:p>
        </w:tc>
        <w:tc>
          <w:tcPr>
            <w:tcW w:w="1899" w:type="dxa"/>
            <w:tcBorders>
              <w:top w:val="nil"/>
              <w:left w:val="nil"/>
              <w:bottom w:val="nil"/>
              <w:right w:val="nil"/>
            </w:tcBorders>
            <w:shd w:val="clear" w:color="auto" w:fill="auto"/>
            <w:tcMar>
              <w:top w:w="80" w:type="dxa"/>
              <w:left w:w="80" w:type="dxa"/>
              <w:bottom w:w="80" w:type="dxa"/>
              <w:right w:w="80" w:type="dxa"/>
            </w:tcMar>
          </w:tcPr>
          <w:p w:rsidR="006161DD" w:rsidRDefault="006161DD" w:rsidP="001B418B">
            <w:pPr>
              <w:spacing w:before="520"/>
            </w:pPr>
          </w:p>
        </w:tc>
        <w:tc>
          <w:tcPr>
            <w:tcW w:w="1899"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Default="006161DD" w:rsidP="001B418B">
            <w:pPr>
              <w:spacing w:before="520"/>
            </w:pPr>
          </w:p>
        </w:tc>
        <w:tc>
          <w:tcPr>
            <w:tcW w:w="1900" w:type="dxa"/>
            <w:tcBorders>
              <w:top w:val="nil"/>
              <w:left w:val="nil"/>
              <w:bottom w:val="nil"/>
              <w:right w:val="nil"/>
            </w:tcBorders>
            <w:shd w:val="clear" w:color="auto" w:fill="auto"/>
            <w:tcMar>
              <w:top w:w="80" w:type="dxa"/>
              <w:left w:w="80" w:type="dxa"/>
              <w:bottom w:w="80" w:type="dxa"/>
              <w:right w:w="80" w:type="dxa"/>
            </w:tcMar>
          </w:tcPr>
          <w:p w:rsidR="006161DD" w:rsidRDefault="006161DD" w:rsidP="001B418B">
            <w:pPr>
              <w:spacing w:before="520"/>
            </w:pPr>
          </w:p>
        </w:tc>
        <w:tc>
          <w:tcPr>
            <w:tcW w:w="1900" w:type="dxa"/>
            <w:tcBorders>
              <w:top w:val="nil"/>
              <w:left w:val="nil"/>
              <w:bottom w:val="nil"/>
              <w:right w:val="nil"/>
            </w:tcBorders>
            <w:shd w:val="clear" w:color="auto" w:fill="auto"/>
            <w:tcMar>
              <w:top w:w="80" w:type="dxa"/>
              <w:left w:w="80" w:type="dxa"/>
              <w:bottom w:w="80" w:type="dxa"/>
              <w:right w:w="80" w:type="dxa"/>
            </w:tcMar>
          </w:tcPr>
          <w:p w:rsidR="006161DD" w:rsidRDefault="006161DD" w:rsidP="001B418B">
            <w:pPr>
              <w:spacing w:before="520"/>
            </w:pPr>
          </w:p>
        </w:tc>
      </w:tr>
    </w:tbl>
    <w:p w:rsidR="006161DD" w:rsidRDefault="006161DD" w:rsidP="001B418B">
      <w:pPr>
        <w:pStyle w:val="Normal-pool"/>
        <w:widowControl w:val="0"/>
      </w:pPr>
    </w:p>
    <w:sectPr w:rsidR="006161DD">
      <w:headerReference w:type="even" r:id="rId11"/>
      <w:headerReference w:type="default" r:id="rId12"/>
      <w:footerReference w:type="even" r:id="rId13"/>
      <w:footerReference w:type="default" r:id="rId14"/>
      <w:headerReference w:type="first" r:id="rId15"/>
      <w:footerReference w:type="first" r:id="rId16"/>
      <w:pgSz w:w="11900" w:h="16840"/>
      <w:pgMar w:top="907" w:right="992" w:bottom="1418" w:left="1418" w:header="539"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B5" w:rsidRDefault="003202B5">
      <w:r>
        <w:separator/>
      </w:r>
    </w:p>
  </w:endnote>
  <w:endnote w:type="continuationSeparator" w:id="0">
    <w:p w:rsidR="003202B5" w:rsidRDefault="0032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B5" w:rsidRDefault="003202B5">
    <w:pPr>
      <w:pStyle w:val="Footer"/>
    </w:pPr>
    <w:r>
      <w:rPr>
        <w:b/>
        <w:bCs/>
      </w:rPr>
      <w:fldChar w:fldCharType="begin"/>
    </w:r>
    <w:r>
      <w:rPr>
        <w:b/>
        <w:bCs/>
      </w:rPr>
      <w:instrText xml:space="preserve"> PAGE </w:instrText>
    </w:r>
    <w:r>
      <w:rPr>
        <w:b/>
        <w:bCs/>
      </w:rPr>
      <w:fldChar w:fldCharType="separate"/>
    </w:r>
    <w:r w:rsidR="00E10CB2">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B5" w:rsidRDefault="003202B5">
    <w:pPr>
      <w:pStyle w:val="Footer"/>
      <w:jc w:val="right"/>
    </w:pPr>
    <w:r>
      <w:rPr>
        <w:b/>
        <w:bCs/>
      </w:rPr>
      <w:fldChar w:fldCharType="begin"/>
    </w:r>
    <w:r>
      <w:rPr>
        <w:b/>
        <w:bCs/>
      </w:rPr>
      <w:instrText xml:space="preserve"> PAGE </w:instrText>
    </w:r>
    <w:r>
      <w:rPr>
        <w:b/>
        <w:bCs/>
      </w:rPr>
      <w:fldChar w:fldCharType="separate"/>
    </w:r>
    <w:r w:rsidR="00E10CB2">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B5" w:rsidRDefault="003202B5">
    <w:pPr>
      <w:pStyle w:val="Footer"/>
    </w:pPr>
    <w:r>
      <w:rPr>
        <w:rFonts w:eastAsia="Arial Unicode MS" w:cs="Arial Unicode MS"/>
        <w:sz w:val="20"/>
        <w:szCs w:val="20"/>
      </w:rPr>
      <w:t>K1707152</w:t>
    </w:r>
    <w:r>
      <w:rPr>
        <w:rFonts w:eastAsia="Arial Unicode MS" w:cs="Arial Unicode MS"/>
        <w:sz w:val="20"/>
        <w:szCs w:val="20"/>
      </w:rPr>
      <w:tab/>
    </w:r>
    <w:r w:rsidR="00406407">
      <w:rPr>
        <w:rFonts w:eastAsia="Arial Unicode MS" w:cs="Arial Unicode MS"/>
        <w:sz w:val="20"/>
        <w:szCs w:val="20"/>
      </w:rPr>
      <w:t>0708</w:t>
    </w:r>
    <w:r>
      <w:rPr>
        <w:rFonts w:eastAsia="Arial Unicode MS" w:cs="Arial Unicode MS"/>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B5" w:rsidRPr="001B418B" w:rsidRDefault="003202B5" w:rsidP="001B418B">
      <w:pPr>
        <w:spacing w:after="120"/>
        <w:ind w:left="624"/>
        <w:rPr>
          <w:sz w:val="20"/>
          <w:szCs w:val="20"/>
        </w:rPr>
      </w:pPr>
      <w:r w:rsidRPr="001B418B">
        <w:rPr>
          <w:sz w:val="20"/>
          <w:szCs w:val="20"/>
        </w:rPr>
        <w:separator/>
      </w:r>
    </w:p>
  </w:footnote>
  <w:footnote w:type="continuationSeparator" w:id="0">
    <w:p w:rsidR="003202B5" w:rsidRDefault="003202B5">
      <w:r>
        <w:continuationSeparator/>
      </w:r>
    </w:p>
  </w:footnote>
  <w:footnote w:type="continuationNotice" w:id="1">
    <w:p w:rsidR="003202B5" w:rsidRDefault="003202B5"/>
  </w:footnote>
  <w:footnote w:id="2">
    <w:p w:rsidR="003202B5" w:rsidRDefault="003202B5">
      <w:pPr>
        <w:pStyle w:val="Body"/>
        <w:tabs>
          <w:tab w:val="left" w:pos="624"/>
        </w:tabs>
        <w:spacing w:before="20" w:after="40"/>
        <w:ind w:left="1247"/>
      </w:pPr>
      <w:r>
        <w:t>*</w:t>
      </w:r>
      <w:r>
        <w:rPr>
          <w:sz w:val="18"/>
          <w:szCs w:val="18"/>
          <w:lang w:val="de-DE"/>
        </w:rPr>
        <w:t xml:space="preserve">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B5" w:rsidRDefault="003202B5">
    <w:pPr>
      <w:pStyle w:val="Header"/>
    </w:pPr>
    <w:r>
      <w:t>UNEP/MC/COP.1/28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B5" w:rsidRDefault="003202B5">
    <w:pPr>
      <w:pStyle w:val="Header"/>
      <w:jc w:val="right"/>
    </w:pPr>
    <w:r>
      <w:t>UNEP/MC/COP.1/28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B5" w:rsidRDefault="003202B5" w:rsidP="001B418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992"/>
    <w:multiLevelType w:val="hybridMultilevel"/>
    <w:tmpl w:val="33D0F86E"/>
    <w:styleLink w:val="Normallist"/>
    <w:lvl w:ilvl="0" w:tplc="550C1774">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5568A74">
      <w:start w:val="1"/>
      <w:numFmt w:val="lowerLetter"/>
      <w:lvlText w:val="(%2)"/>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9007572">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AD69258">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4C48B70">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C648000">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tplc="06761978">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50928614">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2918E4E6">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EF64359"/>
    <w:multiLevelType w:val="hybridMultilevel"/>
    <w:tmpl w:val="33D0F86E"/>
    <w:numStyleLink w:val="Normallis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evenAndOddHeaders/>
  <w:characterSpacingControl w:val="doNotCompress"/>
  <w:hdrShapeDefaults>
    <o:shapedefaults v:ext="edit" spidmax="2052"/>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DD"/>
    <w:rsid w:val="0003372A"/>
    <w:rsid w:val="0004578A"/>
    <w:rsid w:val="001B418B"/>
    <w:rsid w:val="0025468F"/>
    <w:rsid w:val="003202B5"/>
    <w:rsid w:val="0039471A"/>
    <w:rsid w:val="003B2A85"/>
    <w:rsid w:val="003D3067"/>
    <w:rsid w:val="00406407"/>
    <w:rsid w:val="00444CA0"/>
    <w:rsid w:val="004A48E4"/>
    <w:rsid w:val="00547D8A"/>
    <w:rsid w:val="005E3942"/>
    <w:rsid w:val="005F0FD6"/>
    <w:rsid w:val="0061286E"/>
    <w:rsid w:val="006161DD"/>
    <w:rsid w:val="00691B11"/>
    <w:rsid w:val="008F39B2"/>
    <w:rsid w:val="009C4445"/>
    <w:rsid w:val="00AC5E13"/>
    <w:rsid w:val="00CD21E7"/>
    <w:rsid w:val="00E10CB2"/>
    <w:rsid w:val="00FC7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left" w:pos="1247"/>
        <w:tab w:val="center" w:pos="4536"/>
        <w:tab w:val="right" w:pos="9072"/>
      </w:tabs>
      <w:spacing w:after="120"/>
    </w:pPr>
    <w:rPr>
      <w:rFonts w:cs="Arial Unicode MS"/>
      <w:b/>
      <w:bCs/>
      <w:color w:val="000000"/>
      <w:sz w:val="18"/>
      <w:szCs w:val="18"/>
      <w:u w:color="000000"/>
    </w:rPr>
  </w:style>
  <w:style w:type="paragraph" w:styleId="Footer">
    <w:name w:val="foote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tabs>
        <w:tab w:val="left" w:pos="1247"/>
        <w:tab w:val="left" w:pos="1814"/>
        <w:tab w:val="left" w:pos="2381"/>
        <w:tab w:val="left" w:pos="2948"/>
        <w:tab w:val="left" w:pos="3515"/>
      </w:tabs>
    </w:pPr>
    <w:rPr>
      <w:rFonts w:eastAsia="Times New Roman"/>
      <w:color w:val="000000"/>
      <w:u w:color="000000"/>
    </w:rPr>
  </w:style>
  <w:style w:type="paragraph" w:customStyle="1" w:styleId="AATitle">
    <w:name w:val="AA_Title"/>
    <w:pPr>
      <w:keepNext/>
      <w:keepLines/>
      <w:tabs>
        <w:tab w:val="left" w:pos="1247"/>
        <w:tab w:val="left" w:pos="1814"/>
        <w:tab w:val="left" w:pos="2381"/>
        <w:tab w:val="left" w:pos="2948"/>
        <w:tab w:val="left" w:pos="3515"/>
        <w:tab w:val="left" w:pos="4082"/>
      </w:tabs>
      <w:suppressAutoHyphens/>
      <w:ind w:right="5103"/>
    </w:pPr>
    <w:rPr>
      <w:rFonts w:cs="Arial Unicode MS"/>
      <w:b/>
      <w:bCs/>
      <w:color w:val="000000"/>
      <w:u w:color="000000"/>
    </w:rPr>
  </w:style>
  <w:style w:type="paragraph" w:customStyle="1" w:styleId="AATitle2">
    <w:name w:val="AA_Title2"/>
    <w:pPr>
      <w:keepNext/>
      <w:keepLines/>
      <w:tabs>
        <w:tab w:val="left" w:pos="1247"/>
        <w:tab w:val="left" w:pos="1814"/>
        <w:tab w:val="left" w:pos="2381"/>
        <w:tab w:val="left" w:pos="2948"/>
        <w:tab w:val="left" w:pos="3515"/>
      </w:tabs>
      <w:suppressAutoHyphens/>
      <w:spacing w:before="120" w:after="120"/>
      <w:ind w:right="4536"/>
    </w:pPr>
    <w:rPr>
      <w:rFonts w:cs="Arial Unicode MS"/>
      <w:b/>
      <w:bCs/>
      <w:color w:val="000000"/>
      <w:u w:color="000000"/>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r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rPr>
  </w:style>
  <w:style w:type="paragraph" w:customStyle="1" w:styleId="Normalnumber">
    <w:name w:val="Normal_number"/>
    <w:pPr>
      <w:tabs>
        <w:tab w:val="left" w:pos="1134"/>
        <w:tab w:val="left" w:pos="1247"/>
        <w:tab w:val="left" w:pos="1814"/>
        <w:tab w:val="left" w:pos="2381"/>
        <w:tab w:val="left" w:pos="2948"/>
        <w:tab w:val="left" w:pos="3515"/>
        <w:tab w:val="left" w:pos="4082"/>
      </w:tabs>
      <w:spacing w:after="120"/>
      <w:ind w:firstLine="567"/>
    </w:pPr>
    <w:rPr>
      <w:rFonts w:eastAsia="Times New Roman"/>
      <w:color w:val="000000"/>
      <w:u w:color="000000"/>
    </w:rPr>
  </w:style>
  <w:style w:type="numbering" w:customStyle="1" w:styleId="Normallist">
    <w:name w:val="Normal_list"/>
    <w:pPr>
      <w:numPr>
        <w:numId w:val="1"/>
      </w:numPr>
    </w:p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paragraph" w:styleId="BalloonText">
    <w:name w:val="Balloon Text"/>
    <w:basedOn w:val="Normal"/>
    <w:link w:val="BalloonTextChar"/>
    <w:uiPriority w:val="99"/>
    <w:semiHidden/>
    <w:unhideWhenUsed/>
    <w:rsid w:val="0025468F"/>
    <w:rPr>
      <w:rFonts w:ascii="Tahoma" w:hAnsi="Tahoma" w:cs="Tahoma"/>
      <w:sz w:val="16"/>
      <w:szCs w:val="16"/>
    </w:rPr>
  </w:style>
  <w:style w:type="character" w:customStyle="1" w:styleId="BalloonTextChar">
    <w:name w:val="Balloon Text Char"/>
    <w:basedOn w:val="DefaultParagraphFont"/>
    <w:link w:val="BalloonText"/>
    <w:uiPriority w:val="99"/>
    <w:semiHidden/>
    <w:rsid w:val="00254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left" w:pos="1247"/>
        <w:tab w:val="center" w:pos="4536"/>
        <w:tab w:val="right" w:pos="9072"/>
      </w:tabs>
      <w:spacing w:after="120"/>
    </w:pPr>
    <w:rPr>
      <w:rFonts w:cs="Arial Unicode MS"/>
      <w:b/>
      <w:bCs/>
      <w:color w:val="000000"/>
      <w:sz w:val="18"/>
      <w:szCs w:val="18"/>
      <w:u w:color="000000"/>
    </w:rPr>
  </w:style>
  <w:style w:type="paragraph" w:styleId="Footer">
    <w:name w:val="foote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tabs>
        <w:tab w:val="left" w:pos="1247"/>
        <w:tab w:val="left" w:pos="1814"/>
        <w:tab w:val="left" w:pos="2381"/>
        <w:tab w:val="left" w:pos="2948"/>
        <w:tab w:val="left" w:pos="3515"/>
      </w:tabs>
    </w:pPr>
    <w:rPr>
      <w:rFonts w:eastAsia="Times New Roman"/>
      <w:color w:val="000000"/>
      <w:u w:color="000000"/>
    </w:rPr>
  </w:style>
  <w:style w:type="paragraph" w:customStyle="1" w:styleId="AATitle">
    <w:name w:val="AA_Title"/>
    <w:pPr>
      <w:keepNext/>
      <w:keepLines/>
      <w:tabs>
        <w:tab w:val="left" w:pos="1247"/>
        <w:tab w:val="left" w:pos="1814"/>
        <w:tab w:val="left" w:pos="2381"/>
        <w:tab w:val="left" w:pos="2948"/>
        <w:tab w:val="left" w:pos="3515"/>
        <w:tab w:val="left" w:pos="4082"/>
      </w:tabs>
      <w:suppressAutoHyphens/>
      <w:ind w:right="5103"/>
    </w:pPr>
    <w:rPr>
      <w:rFonts w:cs="Arial Unicode MS"/>
      <w:b/>
      <w:bCs/>
      <w:color w:val="000000"/>
      <w:u w:color="000000"/>
    </w:rPr>
  </w:style>
  <w:style w:type="paragraph" w:customStyle="1" w:styleId="AATitle2">
    <w:name w:val="AA_Title2"/>
    <w:pPr>
      <w:keepNext/>
      <w:keepLines/>
      <w:tabs>
        <w:tab w:val="left" w:pos="1247"/>
        <w:tab w:val="left" w:pos="1814"/>
        <w:tab w:val="left" w:pos="2381"/>
        <w:tab w:val="left" w:pos="2948"/>
        <w:tab w:val="left" w:pos="3515"/>
      </w:tabs>
      <w:suppressAutoHyphens/>
      <w:spacing w:before="120" w:after="120"/>
      <w:ind w:right="4536"/>
    </w:pPr>
    <w:rPr>
      <w:rFonts w:cs="Arial Unicode MS"/>
      <w:b/>
      <w:bCs/>
      <w:color w:val="000000"/>
      <w:u w:color="000000"/>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r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rPr>
  </w:style>
  <w:style w:type="paragraph" w:customStyle="1" w:styleId="Normalnumber">
    <w:name w:val="Normal_number"/>
    <w:pPr>
      <w:tabs>
        <w:tab w:val="left" w:pos="1134"/>
        <w:tab w:val="left" w:pos="1247"/>
        <w:tab w:val="left" w:pos="1814"/>
        <w:tab w:val="left" w:pos="2381"/>
        <w:tab w:val="left" w:pos="2948"/>
        <w:tab w:val="left" w:pos="3515"/>
        <w:tab w:val="left" w:pos="4082"/>
      </w:tabs>
      <w:spacing w:after="120"/>
      <w:ind w:firstLine="567"/>
    </w:pPr>
    <w:rPr>
      <w:rFonts w:eastAsia="Times New Roman"/>
      <w:color w:val="000000"/>
      <w:u w:color="000000"/>
    </w:rPr>
  </w:style>
  <w:style w:type="numbering" w:customStyle="1" w:styleId="Normallist">
    <w:name w:val="Normal_list"/>
    <w:pPr>
      <w:numPr>
        <w:numId w:val="1"/>
      </w:numPr>
    </w:p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paragraph" w:styleId="BalloonText">
    <w:name w:val="Balloon Text"/>
    <w:basedOn w:val="Normal"/>
    <w:link w:val="BalloonTextChar"/>
    <w:uiPriority w:val="99"/>
    <w:semiHidden/>
    <w:unhideWhenUsed/>
    <w:rsid w:val="0025468F"/>
    <w:rPr>
      <w:rFonts w:ascii="Tahoma" w:hAnsi="Tahoma" w:cs="Tahoma"/>
      <w:sz w:val="16"/>
      <w:szCs w:val="16"/>
    </w:rPr>
  </w:style>
  <w:style w:type="character" w:customStyle="1" w:styleId="BalloonTextChar">
    <w:name w:val="Balloon Text Char"/>
    <w:basedOn w:val="DefaultParagraphFont"/>
    <w:link w:val="BalloonText"/>
    <w:uiPriority w:val="99"/>
    <w:semiHidden/>
    <w:rsid w:val="00254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C792-B1C9-42F1-A14B-1F808B62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5BFDD84C.dotm</Template>
  <TotalTime>7</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Pastore</dc:creator>
  <cp:lastModifiedBy>Jane Mbau</cp:lastModifiedBy>
  <cp:revision>6</cp:revision>
  <cp:lastPrinted>2017-08-07T13:44:00Z</cp:lastPrinted>
  <dcterms:created xsi:type="dcterms:W3CDTF">2017-07-25T14:10:00Z</dcterms:created>
  <dcterms:modified xsi:type="dcterms:W3CDTF">2017-08-07T13:44:00Z</dcterms:modified>
</cp:coreProperties>
</file>