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4751"/>
        <w:gridCol w:w="3411"/>
      </w:tblGrid>
      <w:tr w:rsidR="00032E4E" w:rsidRPr="00CD7E37" w:rsidTr="0028599B">
        <w:trPr>
          <w:cantSplit/>
          <w:trHeight w:val="850"/>
          <w:jc w:val="right"/>
        </w:trPr>
        <w:tc>
          <w:tcPr>
            <w:tcW w:w="1550" w:type="dxa"/>
          </w:tcPr>
          <w:p w:rsidR="00032E4E" w:rsidRPr="00CD7E37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CD7E37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Pr="00CD7E37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:rsidR="00032E4E" w:rsidRPr="00CD7E37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:rsidR="00032E4E" w:rsidRPr="00CD7E37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CD7E37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CD7E37" w:rsidTr="0028599B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:rsidR="00032E4E" w:rsidRPr="00CD7E37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032E4E" w:rsidRPr="00CD7E37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32E4E" w:rsidRPr="00CD7E37" w:rsidRDefault="00032E4E" w:rsidP="00787688">
            <w:pPr>
              <w:rPr>
                <w:noProof/>
                <w:sz w:val="18"/>
                <w:szCs w:val="18"/>
              </w:rPr>
            </w:pPr>
            <w:r w:rsidRPr="00CD7E37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CD7E37">
              <w:rPr>
                <w:b/>
                <w:bCs/>
                <w:sz w:val="28"/>
              </w:rPr>
              <w:t>/</w:t>
            </w:r>
            <w:r w:rsidR="00787688" w:rsidRPr="00CD7E37">
              <w:t>MC</w:t>
            </w:r>
            <w:r w:rsidRPr="00CD7E37">
              <w:t>/</w:t>
            </w:r>
            <w:bookmarkEnd w:id="0"/>
            <w:bookmarkEnd w:id="1"/>
            <w:r w:rsidR="00787688" w:rsidRPr="00CD7E37">
              <w:t>COP.1</w:t>
            </w:r>
            <w:r w:rsidRPr="00CD7E37">
              <w:t>/</w:t>
            </w:r>
            <w:r w:rsidR="00592326" w:rsidRPr="00CD7E37">
              <w:t>26</w:t>
            </w:r>
          </w:p>
        </w:tc>
      </w:tr>
      <w:bookmarkStart w:id="2" w:name="_MON_1021710482"/>
      <w:bookmarkEnd w:id="2"/>
      <w:bookmarkStart w:id="3" w:name="_MON_1021710510"/>
      <w:bookmarkEnd w:id="3"/>
      <w:tr w:rsidR="00032E4E" w:rsidRPr="00CD7E37" w:rsidTr="0028599B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CD7E37" w:rsidRDefault="00032E4E" w:rsidP="00023DA9">
            <w:pPr>
              <w:rPr>
                <w:noProof/>
              </w:rPr>
            </w:pPr>
            <w:r w:rsidRPr="00CD7E37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1.25pt" o:ole="" fillcolor="window">
                  <v:imagedata r:id="rId9" o:title=""/>
                </v:shape>
                <o:OLEObject Type="Embed" ProgID="Word.Picture.8" ShapeID="_x0000_i1025" DrawAspect="Content" ObjectID="_1558502616" r:id="rId10"/>
              </w:object>
            </w:r>
            <w:r w:rsidR="00112A4A" w:rsidRPr="00CD7E37">
              <w:rPr>
                <w:noProof/>
                <w:lang w:eastAsia="en-GB"/>
              </w:rPr>
              <w:drawing>
                <wp:inline distT="0" distB="0" distL="0" distR="0" wp14:anchorId="107DF45A" wp14:editId="4B13DF09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CD7E37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CD7E37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Pr="00CD7E37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Pr="00CD7E37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CD7E37" w:rsidRDefault="00032E4E" w:rsidP="00787688">
            <w:pPr>
              <w:spacing w:before="120"/>
            </w:pPr>
            <w:r w:rsidRPr="00CD7E37">
              <w:t>Distr.: General</w:t>
            </w:r>
            <w:r w:rsidRPr="00CD7E37">
              <w:br w:type="textWrapping" w:clear="all"/>
            </w:r>
            <w:r w:rsidR="005D04E8" w:rsidRPr="00CD7E37">
              <w:t>27 April 2017</w:t>
            </w:r>
          </w:p>
          <w:p w:rsidR="00032E4E" w:rsidRPr="00CD7E37" w:rsidRDefault="00032E4E" w:rsidP="005D04E8">
            <w:pPr>
              <w:spacing w:before="120"/>
            </w:pPr>
            <w:r w:rsidRPr="00CD7E37">
              <w:t>Original: English</w:t>
            </w:r>
          </w:p>
        </w:tc>
      </w:tr>
    </w:tbl>
    <w:p w:rsidR="0028599B" w:rsidRPr="00CD7E37" w:rsidRDefault="0028599B" w:rsidP="0028599B">
      <w:pPr>
        <w:pStyle w:val="AATitle"/>
        <w:keepNext w:val="0"/>
        <w:keepLines w:val="0"/>
      </w:pPr>
      <w:r w:rsidRPr="00CD7E37">
        <w:t>Conference of the Parties to the</w:t>
      </w:r>
    </w:p>
    <w:p w:rsidR="00E976AB" w:rsidRPr="00CD7E37" w:rsidRDefault="00787688" w:rsidP="00E976AB">
      <w:pPr>
        <w:pStyle w:val="AATitle"/>
        <w:keepNext w:val="0"/>
        <w:keepLines w:val="0"/>
      </w:pPr>
      <w:r w:rsidRPr="00CD7E37">
        <w:t>Minamata Convention on Mercury</w:t>
      </w:r>
    </w:p>
    <w:p w:rsidR="00E976AB" w:rsidRPr="00CD7E37" w:rsidRDefault="00787688" w:rsidP="00E976AB">
      <w:pPr>
        <w:pStyle w:val="AATitle"/>
        <w:keepNext w:val="0"/>
        <w:keepLines w:val="0"/>
      </w:pPr>
      <w:r w:rsidRPr="00CD7E37">
        <w:t>First meeting</w:t>
      </w:r>
    </w:p>
    <w:p w:rsidR="00E976AB" w:rsidRPr="00CD7E37" w:rsidRDefault="00787688" w:rsidP="00CA170B">
      <w:pPr>
        <w:pStyle w:val="AATitle"/>
        <w:rPr>
          <w:b w:val="0"/>
        </w:rPr>
      </w:pPr>
      <w:r w:rsidRPr="00CD7E37">
        <w:rPr>
          <w:b w:val="0"/>
        </w:rPr>
        <w:t>Geneva</w:t>
      </w:r>
      <w:r w:rsidR="00E976AB" w:rsidRPr="00CD7E37">
        <w:rPr>
          <w:b w:val="0"/>
        </w:rPr>
        <w:t xml:space="preserve">, </w:t>
      </w:r>
      <w:r w:rsidR="00CA170B" w:rsidRPr="00CD7E37">
        <w:rPr>
          <w:b w:val="0"/>
        </w:rPr>
        <w:t>24</w:t>
      </w:r>
      <w:r w:rsidR="00024BBF" w:rsidRPr="00CD7E37">
        <w:rPr>
          <w:b w:val="0"/>
        </w:rPr>
        <w:t xml:space="preserve">–29 </w:t>
      </w:r>
      <w:r w:rsidR="00CA170B" w:rsidRPr="00CD7E37">
        <w:rPr>
          <w:b w:val="0"/>
        </w:rPr>
        <w:t xml:space="preserve">September </w:t>
      </w:r>
      <w:r w:rsidRPr="00CD7E37">
        <w:rPr>
          <w:b w:val="0"/>
        </w:rPr>
        <w:t>2017</w:t>
      </w:r>
    </w:p>
    <w:p w:rsidR="00C20379" w:rsidRPr="00CD7E37" w:rsidRDefault="00C20379" w:rsidP="00C20379">
      <w:pPr>
        <w:pStyle w:val="AATitle"/>
        <w:keepNext w:val="0"/>
        <w:keepLines w:val="0"/>
        <w:rPr>
          <w:b w:val="0"/>
        </w:rPr>
      </w:pPr>
      <w:r w:rsidRPr="00CD7E37">
        <w:rPr>
          <w:b w:val="0"/>
        </w:rPr>
        <w:t>Item 6 (h) of the provisional agenda</w:t>
      </w:r>
      <w:r w:rsidRPr="00CD7E37">
        <w:rPr>
          <w:b w:val="0"/>
        </w:rPr>
        <w:footnoteReference w:customMarkFollows="1" w:id="1"/>
        <w:t>*</w:t>
      </w:r>
    </w:p>
    <w:p w:rsidR="00C20379" w:rsidRPr="00CD7E37" w:rsidRDefault="00C20379" w:rsidP="00C510F4">
      <w:pPr>
        <w:pStyle w:val="AATitle2"/>
      </w:pPr>
      <w:r w:rsidRPr="00CD7E37">
        <w:rPr>
          <w:bCs/>
        </w:rPr>
        <w:t>Matters stipulated by the Convention for action by the Conference of the Parties</w:t>
      </w:r>
      <w:r w:rsidRPr="00CD7E37">
        <w:t>: the definition of mercury waste thresholds referred to in paragraph 2 of article 11</w:t>
      </w:r>
    </w:p>
    <w:p w:rsidR="0015219A" w:rsidRPr="00CD7E37" w:rsidRDefault="0015219A" w:rsidP="00EC0F68">
      <w:pPr>
        <w:pStyle w:val="BBTitle"/>
      </w:pPr>
      <w:r w:rsidRPr="00CD7E37">
        <w:t>Compilation of</w:t>
      </w:r>
      <w:r w:rsidR="00BB01AC" w:rsidRPr="00CD7E37">
        <w:t xml:space="preserve"> additional</w:t>
      </w:r>
      <w:r w:rsidRPr="00CD7E37">
        <w:t xml:space="preserve"> information on the use of mercury waste thresholds</w:t>
      </w:r>
      <w:r w:rsidR="00B52182" w:rsidRPr="00CD7E37">
        <w:t xml:space="preserve"> </w:t>
      </w:r>
    </w:p>
    <w:p w:rsidR="0015219A" w:rsidRPr="00CD7E37" w:rsidRDefault="0015219A" w:rsidP="00EC0F68">
      <w:pPr>
        <w:pStyle w:val="CH2"/>
      </w:pPr>
      <w:r w:rsidRPr="00CD7E37">
        <w:tab/>
      </w:r>
      <w:r w:rsidRPr="00CD7E37">
        <w:tab/>
        <w:t xml:space="preserve">Note by the </w:t>
      </w:r>
      <w:r w:rsidR="00001974" w:rsidRPr="00CD7E37">
        <w:t>secretariat</w:t>
      </w:r>
    </w:p>
    <w:p w:rsidR="00BB01AC" w:rsidRPr="00CD7E37" w:rsidRDefault="00B43AE4" w:rsidP="00EC0F68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 w:rsidRPr="00CD7E37">
        <w:t>In paragraph 2 of article 11, th</w:t>
      </w:r>
      <w:r w:rsidR="00BB01AC" w:rsidRPr="00CD7E37">
        <w:t>e Minamata Convention on Mercury defines mercury wastes as “substances or objects:</w:t>
      </w:r>
    </w:p>
    <w:p w:rsidR="00BB01AC" w:rsidRPr="00CD7E37" w:rsidRDefault="00BB01AC" w:rsidP="00885EE4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CD7E37">
        <w:t>Consisting of mercury or mercury compounds;</w:t>
      </w:r>
    </w:p>
    <w:p w:rsidR="00BB01AC" w:rsidRPr="00CD7E37" w:rsidRDefault="00BB01AC" w:rsidP="00885EE4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CD7E37">
        <w:t>Containing mercury or mercury compounds; or</w:t>
      </w:r>
    </w:p>
    <w:p w:rsidR="00BB01AC" w:rsidRPr="00CD7E37" w:rsidRDefault="00BB01AC" w:rsidP="00885EE4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CD7E37">
        <w:t xml:space="preserve">Contaminated with mercury or mercury compounds, </w:t>
      </w:r>
    </w:p>
    <w:p w:rsidR="00BB01AC" w:rsidRPr="00CD7E37" w:rsidRDefault="00BB01AC" w:rsidP="00BB01AC">
      <w:pPr>
        <w:pStyle w:val="Normalnumber"/>
        <w:numPr>
          <w:ilvl w:val="0"/>
          <w:numId w:val="0"/>
        </w:numPr>
        <w:ind w:left="1247"/>
      </w:pPr>
      <w:r w:rsidRPr="00CD7E37">
        <w:t xml:space="preserve">in a quantity above the relevant thresholds defined by the Conference of the Parties, in collaboration with the relevant bodies of the Basel Convention [on the Control of Transboundary Movements of Hazardous Wastes and Their Disposal] in a harmonized manner, that are disposed of or are intended to be disposed of or are required to be disposed of by the provisions of national law or this Convention.” </w:t>
      </w:r>
    </w:p>
    <w:p w:rsidR="00BB01AC" w:rsidRPr="00CD7E37" w:rsidRDefault="00BB01AC" w:rsidP="00D6719D">
      <w:pPr>
        <w:pStyle w:val="Normalnumber"/>
      </w:pPr>
      <w:r w:rsidRPr="00CD7E37">
        <w:t>In paragraph 8 of its resolution on arrangements in the interim period (</w:t>
      </w:r>
      <w:r w:rsidR="00A63B6A" w:rsidRPr="00CD7E37">
        <w:t xml:space="preserve">document </w:t>
      </w:r>
      <w:r w:rsidRPr="00CD7E37">
        <w:t xml:space="preserve">UNEP(DTIE)/Hg/CONF/4, annex I), the Conference of Plenipotentiaries requested the intergovernmental negotiating committee </w:t>
      </w:r>
      <w:r w:rsidR="007674E3" w:rsidRPr="00CD7E37">
        <w:t xml:space="preserve">to prepare a global legally binding instrument </w:t>
      </w:r>
      <w:r w:rsidR="000114D1" w:rsidRPr="00CD7E37">
        <w:t xml:space="preserve">on mercury </w:t>
      </w:r>
      <w:r w:rsidRPr="00CD7E37">
        <w:t>to support, as practicable and consistent with the priorities in the Convention, those activities</w:t>
      </w:r>
      <w:r w:rsidRPr="00CD7E37">
        <w:rPr>
          <w:rFonts w:eastAsia="MS Mincho"/>
          <w:bCs/>
          <w:iCs/>
        </w:rPr>
        <w:t xml:space="preserve"> required</w:t>
      </w:r>
      <w:r w:rsidRPr="00CD7E37">
        <w:t xml:space="preserve"> or encouraged by the Convention that w</w:t>
      </w:r>
      <w:r w:rsidR="00047B5B" w:rsidRPr="00CD7E37">
        <w:t>ould</w:t>
      </w:r>
      <w:r w:rsidRPr="00CD7E37">
        <w:t xml:space="preserve"> facilitate </w:t>
      </w:r>
      <w:r w:rsidR="00D6719D" w:rsidRPr="00CD7E37">
        <w:t>its</w:t>
      </w:r>
      <w:r w:rsidRPr="00CD7E37">
        <w:t xml:space="preserve"> rapid entry into force and </w:t>
      </w:r>
      <w:r w:rsidR="00A63B6A" w:rsidRPr="00CD7E37">
        <w:t xml:space="preserve">its </w:t>
      </w:r>
      <w:r w:rsidRPr="00CD7E37">
        <w:t xml:space="preserve">effective implementation upon entry into force, including in particular thresholds for the identification of mercury waste pursuant to paragraph 2 of </w:t>
      </w:r>
      <w:r w:rsidR="007674E3" w:rsidRPr="00CD7E37">
        <w:t xml:space="preserve">article </w:t>
      </w:r>
      <w:r w:rsidRPr="00CD7E37">
        <w:t>11, among other things.</w:t>
      </w:r>
    </w:p>
    <w:p w:rsidR="00E25B92" w:rsidRPr="00CD7E37" w:rsidRDefault="00615A97" w:rsidP="00B3554E">
      <w:pPr>
        <w:pStyle w:val="Normalnumber"/>
      </w:pPr>
      <w:r w:rsidRPr="00CD7E37">
        <w:t>As a result</w:t>
      </w:r>
      <w:r w:rsidR="00B3554E" w:rsidRPr="00CD7E37">
        <w:t xml:space="preserve">, </w:t>
      </w:r>
      <w:r w:rsidR="00452933" w:rsidRPr="00CD7E37">
        <w:t>the committee considered the issue of mercury waste thresholds</w:t>
      </w:r>
      <w:r w:rsidR="00B3554E" w:rsidRPr="00CD7E37">
        <w:t xml:space="preserve"> at its sixth and seventh sessions</w:t>
      </w:r>
      <w:r w:rsidR="00452933" w:rsidRPr="00CD7E37">
        <w:t xml:space="preserve">. </w:t>
      </w:r>
      <w:r w:rsidR="00DC20FB" w:rsidRPr="00CD7E37">
        <w:t xml:space="preserve">At its sixth session, the committee </w:t>
      </w:r>
      <w:r w:rsidRPr="00CD7E37">
        <w:t>requested</w:t>
      </w:r>
      <w:r w:rsidR="00B3554E" w:rsidRPr="00CD7E37">
        <w:t xml:space="preserve"> </w:t>
      </w:r>
      <w:r w:rsidR="00DC20FB" w:rsidRPr="00CD7E37">
        <w:t>countries to provide the secretariat with information on their use of mercury thresholds and the levels established</w:t>
      </w:r>
      <w:r w:rsidR="00A63B6A" w:rsidRPr="00CD7E37">
        <w:t xml:space="preserve"> and</w:t>
      </w:r>
      <w:r w:rsidR="000114D1" w:rsidRPr="00CD7E37">
        <w:t xml:space="preserve"> the secretariat to compile such information for consideration at its seventh session</w:t>
      </w:r>
      <w:r w:rsidR="00DC20FB" w:rsidRPr="00CD7E37">
        <w:t xml:space="preserve">. Submissions were received from nine countries and one regional economic integration organization. </w:t>
      </w:r>
      <w:r w:rsidR="003F3591" w:rsidRPr="00CD7E37">
        <w:t xml:space="preserve">After considering the compilation of </w:t>
      </w:r>
      <w:r w:rsidR="007674E3" w:rsidRPr="00CD7E37">
        <w:t xml:space="preserve">those </w:t>
      </w:r>
      <w:r w:rsidR="003F3591" w:rsidRPr="00CD7E37">
        <w:t>submissions</w:t>
      </w:r>
      <w:r w:rsidR="007674E3" w:rsidRPr="00CD7E37">
        <w:t>,</w:t>
      </w:r>
      <w:r w:rsidR="003F3591" w:rsidRPr="00CD7E37">
        <w:rPr>
          <w:rStyle w:val="FootnoteReference"/>
        </w:rPr>
        <w:footnoteReference w:id="2"/>
      </w:r>
      <w:r w:rsidR="003F3591" w:rsidRPr="00CD7E37">
        <w:t xml:space="preserve"> the</w:t>
      </w:r>
      <w:r w:rsidR="00DC20FB" w:rsidRPr="00CD7E37">
        <w:t xml:space="preserve"> </w:t>
      </w:r>
      <w:r w:rsidR="003F3591" w:rsidRPr="00CD7E37">
        <w:t xml:space="preserve">committee at its seventh session </w:t>
      </w:r>
      <w:r w:rsidR="00452933" w:rsidRPr="00CD7E37">
        <w:t xml:space="preserve">decided </w:t>
      </w:r>
      <w:r w:rsidR="00E25B92" w:rsidRPr="00CD7E37">
        <w:rPr>
          <w:rFonts w:cs="Arial Unicode MS"/>
        </w:rPr>
        <w:t xml:space="preserve">that the secretariat should collect </w:t>
      </w:r>
      <w:r w:rsidR="00592326" w:rsidRPr="00CD7E37">
        <w:rPr>
          <w:rFonts w:cs="Arial Unicode MS"/>
        </w:rPr>
        <w:t xml:space="preserve">from Governments and others </w:t>
      </w:r>
      <w:r w:rsidR="00E25B92" w:rsidRPr="00CD7E37">
        <w:rPr>
          <w:rFonts w:cs="Arial Unicode MS"/>
        </w:rPr>
        <w:t>additional information on the use of mercury waste thresholds</w:t>
      </w:r>
      <w:r w:rsidR="00047B5B" w:rsidRPr="00CD7E37">
        <w:rPr>
          <w:rFonts w:cs="Arial Unicode MS"/>
        </w:rPr>
        <w:t>,</w:t>
      </w:r>
      <w:r w:rsidR="00E25B92" w:rsidRPr="00CD7E37">
        <w:rPr>
          <w:rFonts w:cs="Arial Unicode MS"/>
        </w:rPr>
        <w:t xml:space="preserve"> </w:t>
      </w:r>
      <w:r w:rsidR="000B3902" w:rsidRPr="00CD7E37">
        <w:rPr>
          <w:rFonts w:cs="Arial Unicode MS"/>
        </w:rPr>
        <w:t xml:space="preserve">and </w:t>
      </w:r>
      <w:r w:rsidR="00AD6CAF" w:rsidRPr="00CD7E37">
        <w:rPr>
          <w:rFonts w:cs="Arial Unicode MS"/>
        </w:rPr>
        <w:t xml:space="preserve">that </w:t>
      </w:r>
      <w:r w:rsidR="00AD6CAF" w:rsidRPr="00CD7E37">
        <w:rPr>
          <w:rFonts w:cs="Arial Unicode MS"/>
        </w:rPr>
        <w:lastRenderedPageBreak/>
        <w:t>informal efforts to propose appropriate thresholds should be pursued by those with the relevant expertise</w:t>
      </w:r>
      <w:r w:rsidR="003E15F1">
        <w:rPr>
          <w:rFonts w:cs="Arial Unicode MS"/>
        </w:rPr>
        <w:t>.</w:t>
      </w:r>
    </w:p>
    <w:p w:rsidR="00BB01AC" w:rsidRPr="00CD7E37" w:rsidRDefault="00D6719D" w:rsidP="00D6719D">
      <w:pPr>
        <w:pStyle w:val="Normalnumber"/>
      </w:pPr>
      <w:r w:rsidRPr="00CD7E37">
        <w:t>Further</w:t>
      </w:r>
      <w:r w:rsidR="00AD6CAF" w:rsidRPr="00CD7E37">
        <w:t xml:space="preserve"> to the </w:t>
      </w:r>
      <w:r w:rsidR="004233E2" w:rsidRPr="00CD7E37">
        <w:t>call</w:t>
      </w:r>
      <w:r w:rsidR="00AD6CAF" w:rsidRPr="00CD7E37">
        <w:t xml:space="preserve"> for additional information</w:t>
      </w:r>
      <w:r w:rsidR="00592326" w:rsidRPr="00CD7E37">
        <w:t xml:space="preserve"> on the use of mercury waste thresholds</w:t>
      </w:r>
      <w:r w:rsidR="004233E2" w:rsidRPr="00CD7E37">
        <w:t>, submissions</w:t>
      </w:r>
      <w:r w:rsidR="00EE3823" w:rsidRPr="00CD7E37">
        <w:t xml:space="preserve"> </w:t>
      </w:r>
      <w:r w:rsidR="004233E2" w:rsidRPr="00CD7E37">
        <w:t xml:space="preserve">were received </w:t>
      </w:r>
      <w:r w:rsidR="00EE3823" w:rsidRPr="00CD7E37">
        <w:t xml:space="preserve">from </w:t>
      </w:r>
      <w:r w:rsidR="004233E2" w:rsidRPr="00CD7E37">
        <w:t>six c</w:t>
      </w:r>
      <w:r w:rsidR="00BB01AC" w:rsidRPr="00CD7E37">
        <w:t>ountries</w:t>
      </w:r>
      <w:r w:rsidR="00DC20FB" w:rsidRPr="00CD7E37">
        <w:t xml:space="preserve"> and</w:t>
      </w:r>
      <w:r w:rsidR="00BB01AC" w:rsidRPr="00CD7E37">
        <w:t xml:space="preserve"> </w:t>
      </w:r>
      <w:r w:rsidR="00A73FED" w:rsidRPr="00CD7E37">
        <w:t>one</w:t>
      </w:r>
      <w:r w:rsidR="00BB01AC" w:rsidRPr="00CD7E37">
        <w:t xml:space="preserve"> regional economic integration organization</w:t>
      </w:r>
      <w:r w:rsidR="00803074" w:rsidRPr="00CD7E37">
        <w:t>.</w:t>
      </w:r>
      <w:r w:rsidR="00A17246" w:rsidRPr="00CD7E37">
        <w:rPr>
          <w:rStyle w:val="FootnoteReference"/>
        </w:rPr>
        <w:footnoteReference w:id="3"/>
      </w:r>
      <w:r w:rsidR="00803074" w:rsidRPr="00CD7E37">
        <w:t xml:space="preserve"> </w:t>
      </w:r>
      <w:r w:rsidR="004233E2" w:rsidRPr="00CD7E37">
        <w:t xml:space="preserve">A compilation of </w:t>
      </w:r>
      <w:r w:rsidR="00A17246" w:rsidRPr="00CD7E37">
        <w:t xml:space="preserve">those </w:t>
      </w:r>
      <w:r w:rsidR="004233E2" w:rsidRPr="00CD7E37">
        <w:t xml:space="preserve">submissions is set out in the annex to the present note. It should be noted that three countries and the regional economic integration organization </w:t>
      </w:r>
      <w:r w:rsidR="00A77149" w:rsidRPr="00CD7E37">
        <w:t>provided information that complements the</w:t>
      </w:r>
      <w:r w:rsidR="004233E2" w:rsidRPr="00CD7E37">
        <w:t xml:space="preserve"> information </w:t>
      </w:r>
      <w:r w:rsidR="00A77149" w:rsidRPr="00CD7E37">
        <w:t xml:space="preserve">they had </w:t>
      </w:r>
      <w:r w:rsidRPr="00CD7E37">
        <w:t xml:space="preserve">already </w:t>
      </w:r>
      <w:r w:rsidR="00A77149" w:rsidRPr="00CD7E37">
        <w:t xml:space="preserve">submitted </w:t>
      </w:r>
      <w:r w:rsidR="004233E2" w:rsidRPr="00CD7E37">
        <w:t xml:space="preserve">in </w:t>
      </w:r>
      <w:r w:rsidR="00A17246" w:rsidRPr="00CD7E37">
        <w:t>follow-</w:t>
      </w:r>
      <w:r w:rsidR="004233E2" w:rsidRPr="00CD7E37">
        <w:t>up to</w:t>
      </w:r>
      <w:r w:rsidRPr="00CD7E37">
        <w:t xml:space="preserve"> the sixth session of the committee</w:t>
      </w:r>
      <w:r w:rsidR="00A77149" w:rsidRPr="00CD7E37">
        <w:t>.</w:t>
      </w:r>
    </w:p>
    <w:p w:rsidR="00FB075B" w:rsidRPr="00CD7E37" w:rsidRDefault="00D6719D" w:rsidP="006D7FE0">
      <w:pPr>
        <w:pStyle w:val="Normalnumber"/>
      </w:pPr>
      <w:r w:rsidRPr="00CD7E37">
        <w:t>Finally</w:t>
      </w:r>
      <w:r w:rsidR="00A17246" w:rsidRPr="00CD7E37">
        <w:t>,</w:t>
      </w:r>
      <w:r w:rsidRPr="00CD7E37">
        <w:t xml:space="preserve"> further</w:t>
      </w:r>
      <w:r w:rsidR="00FB075B" w:rsidRPr="00CD7E37">
        <w:t xml:space="preserve"> to the request for informal efforts</w:t>
      </w:r>
      <w:r w:rsidR="00FB075B" w:rsidRPr="00CD7E37">
        <w:rPr>
          <w:rFonts w:cs="Arial Unicode MS"/>
        </w:rPr>
        <w:t xml:space="preserve"> to propose appropriate thresholds, </w:t>
      </w:r>
      <w:r w:rsidR="005208F1" w:rsidRPr="00CD7E37">
        <w:rPr>
          <w:rFonts w:cs="Arial Unicode MS"/>
        </w:rPr>
        <w:t xml:space="preserve">the Government of Japan led </w:t>
      </w:r>
      <w:r w:rsidR="00FB075B" w:rsidRPr="00CD7E37">
        <w:rPr>
          <w:rFonts w:cs="Arial Unicode MS"/>
        </w:rPr>
        <w:t xml:space="preserve">an </w:t>
      </w:r>
      <w:r w:rsidR="006D7FE0" w:rsidRPr="00CD7E37">
        <w:rPr>
          <w:rFonts w:cs="Arial Unicode MS"/>
        </w:rPr>
        <w:t>informal</w:t>
      </w:r>
      <w:r w:rsidR="00FB075B" w:rsidRPr="00CD7E37">
        <w:rPr>
          <w:rFonts w:cs="Arial Unicode MS"/>
        </w:rPr>
        <w:t xml:space="preserve"> process</w:t>
      </w:r>
      <w:r w:rsidR="005208F1" w:rsidRPr="00CD7E37">
        <w:rPr>
          <w:rFonts w:cs="Arial Unicode MS"/>
        </w:rPr>
        <w:t xml:space="preserve"> </w:t>
      </w:r>
      <w:r w:rsidR="00A17246" w:rsidRPr="00CD7E37">
        <w:rPr>
          <w:rFonts w:cs="Arial Unicode MS"/>
        </w:rPr>
        <w:t xml:space="preserve">that </w:t>
      </w:r>
      <w:r w:rsidR="005208F1" w:rsidRPr="00CD7E37">
        <w:rPr>
          <w:rFonts w:cs="Arial Unicode MS"/>
        </w:rPr>
        <w:t>included consultations</w:t>
      </w:r>
      <w:r w:rsidR="00AA5F6B" w:rsidRPr="00CD7E37">
        <w:rPr>
          <w:rFonts w:cs="Arial Unicode MS"/>
        </w:rPr>
        <w:t xml:space="preserve"> with experts including the co-leads of </w:t>
      </w:r>
      <w:r w:rsidR="006D7FE0" w:rsidRPr="00CD7E37">
        <w:rPr>
          <w:rFonts w:cs="Arial Unicode MS"/>
        </w:rPr>
        <w:t>the products, waste and storage areas of the</w:t>
      </w:r>
      <w:r w:rsidR="00AA5F6B" w:rsidRPr="00CD7E37">
        <w:rPr>
          <w:rFonts w:cs="Arial Unicode MS"/>
        </w:rPr>
        <w:t xml:space="preserve"> </w:t>
      </w:r>
      <w:r w:rsidR="005208F1" w:rsidRPr="00CD7E37">
        <w:rPr>
          <w:rFonts w:cs="Arial Unicode MS"/>
        </w:rPr>
        <w:t>global mercury partnership</w:t>
      </w:r>
      <w:r w:rsidR="00AA5F6B" w:rsidRPr="00CD7E37">
        <w:rPr>
          <w:rFonts w:cs="Arial Unicode MS"/>
        </w:rPr>
        <w:t xml:space="preserve">. </w:t>
      </w:r>
      <w:r w:rsidR="00FB075B" w:rsidRPr="00CD7E37">
        <w:rPr>
          <w:rFonts w:cs="Arial Unicode MS"/>
        </w:rPr>
        <w:t xml:space="preserve">The contribution of this process to </w:t>
      </w:r>
      <w:r w:rsidR="00A17246" w:rsidRPr="00CD7E37">
        <w:rPr>
          <w:rFonts w:cs="Arial Unicode MS"/>
        </w:rPr>
        <w:t xml:space="preserve">the Conference at its </w:t>
      </w:r>
      <w:r w:rsidR="00FB075B" w:rsidRPr="00CD7E37">
        <w:rPr>
          <w:rFonts w:cs="Arial Unicode MS"/>
        </w:rPr>
        <w:t xml:space="preserve">first meeting is presented in document </w:t>
      </w:r>
      <w:r w:rsidRPr="00CD7E37">
        <w:rPr>
          <w:rFonts w:cs="Arial Unicode MS"/>
        </w:rPr>
        <w:t>UNEP/MC/COP.1/</w:t>
      </w:r>
      <w:r w:rsidR="006D7FE0" w:rsidRPr="00CD7E37">
        <w:rPr>
          <w:rFonts w:cs="Arial Unicode MS"/>
        </w:rPr>
        <w:t>INF.10</w:t>
      </w:r>
      <w:r w:rsidR="009A04E4" w:rsidRPr="00CD7E37">
        <w:rPr>
          <w:rFonts w:cs="Arial Unicode MS"/>
        </w:rPr>
        <w:t>.</w:t>
      </w:r>
    </w:p>
    <w:p w:rsidR="00FB075B" w:rsidRPr="00CD7E37" w:rsidRDefault="00885EE4" w:rsidP="00885EE4">
      <w:pPr>
        <w:pStyle w:val="CH3"/>
      </w:pPr>
      <w:r w:rsidRPr="00CD7E37">
        <w:tab/>
      </w:r>
      <w:r w:rsidRPr="00CD7E37">
        <w:tab/>
      </w:r>
      <w:r w:rsidR="00FB075B" w:rsidRPr="00CD7E37">
        <w:t>Suggested action by the Conference of the Parties</w:t>
      </w:r>
    </w:p>
    <w:p w:rsidR="00BB01AC" w:rsidRPr="00CD7E37" w:rsidRDefault="00803074" w:rsidP="00CD7E37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 w:rsidRPr="00CD7E37">
        <w:t xml:space="preserve">The Conference </w:t>
      </w:r>
      <w:r w:rsidR="00BB01AC" w:rsidRPr="00CD7E37">
        <w:t xml:space="preserve">may wish to consider the information provided </w:t>
      </w:r>
      <w:r w:rsidR="004233E2" w:rsidRPr="00CD7E37">
        <w:t xml:space="preserve">in the annex to the present note </w:t>
      </w:r>
      <w:r w:rsidR="006D7FE0" w:rsidRPr="00CD7E37">
        <w:t>and</w:t>
      </w:r>
      <w:r w:rsidR="004233E2" w:rsidRPr="00CD7E37">
        <w:t xml:space="preserve"> in document UNEP(DTIE)/Hg/INC.7/19</w:t>
      </w:r>
      <w:r w:rsidR="006D7FE0" w:rsidRPr="00CD7E37">
        <w:t>, as well as the information provided through the informal process,</w:t>
      </w:r>
      <w:r w:rsidR="004233E2" w:rsidRPr="00CD7E37">
        <w:t xml:space="preserve"> and </w:t>
      </w:r>
      <w:r w:rsidR="00AA5F6B" w:rsidRPr="00CD7E37">
        <w:t>further consider establishing</w:t>
      </w:r>
      <w:r w:rsidR="00D6719D" w:rsidRPr="00CD7E37">
        <w:t xml:space="preserve"> </w:t>
      </w:r>
      <w:r w:rsidR="004233E2" w:rsidRPr="00CD7E37">
        <w:t>mercury waste thresholds</w:t>
      </w:r>
      <w:r w:rsidR="006D7FE0" w:rsidRPr="00CD7E37">
        <w:t>.</w:t>
      </w:r>
    </w:p>
    <w:p w:rsidR="0015219A" w:rsidRPr="00CD7E37" w:rsidRDefault="0015219A" w:rsidP="0015219A">
      <w:pPr>
        <w:tabs>
          <w:tab w:val="left" w:pos="4082"/>
        </w:tabs>
        <w:spacing w:before="360" w:after="120"/>
        <w:rPr>
          <w:b/>
          <w:bCs/>
        </w:rPr>
        <w:sectPr w:rsidR="0015219A" w:rsidRPr="00CD7E37" w:rsidSect="006E67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15219A" w:rsidRPr="00CD7E37" w:rsidRDefault="0015219A" w:rsidP="00EC0F68">
      <w:pPr>
        <w:pStyle w:val="ZZAnxheader"/>
      </w:pPr>
      <w:r w:rsidRPr="00CD7E37">
        <w:lastRenderedPageBreak/>
        <w:t>Annex</w:t>
      </w:r>
    </w:p>
    <w:p w:rsidR="0015219A" w:rsidRPr="00CD7E37" w:rsidRDefault="0015219A" w:rsidP="00EC0F68">
      <w:pPr>
        <w:pStyle w:val="ZZAnxtitle"/>
      </w:pPr>
      <w:r w:rsidRPr="00CD7E37">
        <w:t xml:space="preserve">Compilation of </w:t>
      </w:r>
      <w:r w:rsidR="00592326" w:rsidRPr="00CD7E37">
        <w:t>additional information</w:t>
      </w:r>
      <w:r w:rsidRPr="00CD7E37">
        <w:t xml:space="preserve"> on the use of mercury waste thresholds </w:t>
      </w:r>
    </w:p>
    <w:p w:rsidR="0015219A" w:rsidRPr="00CD7E37" w:rsidRDefault="0015219A" w:rsidP="0059232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1843"/>
          <w:tab w:val="left" w:pos="4082"/>
        </w:tabs>
        <w:spacing w:after="120"/>
        <w:ind w:left="1247"/>
      </w:pPr>
      <w:r w:rsidRPr="00CD7E37">
        <w:t xml:space="preserve">The information set out in the table below is a summary of the information </w:t>
      </w:r>
      <w:r w:rsidR="00A17246" w:rsidRPr="00CD7E37">
        <w:t xml:space="preserve">on the use of mercury waste thresholds </w:t>
      </w:r>
      <w:r w:rsidRPr="00CD7E37">
        <w:t xml:space="preserve">submitted by </w:t>
      </w:r>
      <w:r w:rsidR="00592326" w:rsidRPr="00CD7E37">
        <w:t>six</w:t>
      </w:r>
      <w:r w:rsidRPr="00CD7E37">
        <w:t xml:space="preserve"> countries</w:t>
      </w:r>
      <w:r w:rsidR="00592326" w:rsidRPr="00CD7E37">
        <w:t xml:space="preserve"> and</w:t>
      </w:r>
      <w:r w:rsidRPr="00CD7E37">
        <w:t xml:space="preserve"> one region</w:t>
      </w:r>
      <w:r w:rsidR="00235811" w:rsidRPr="00CD7E37">
        <w:t>al economic integration organiza</w:t>
      </w:r>
      <w:r w:rsidRPr="00CD7E37">
        <w:t xml:space="preserve">tion. A blank box in any of the columns in the table indicates that no information of the type indicated </w:t>
      </w:r>
      <w:r w:rsidR="000E30E6" w:rsidRPr="00CD7E37">
        <w:t xml:space="preserve">in </w:t>
      </w:r>
      <w:r w:rsidRPr="00CD7E37">
        <w:t>the head</w:t>
      </w:r>
      <w:r w:rsidR="00DD746C" w:rsidRPr="00CD7E37">
        <w:t>ing of that column was provided</w:t>
      </w:r>
      <w:r w:rsidRPr="00CD7E37">
        <w:t>.</w:t>
      </w:r>
    </w:p>
    <w:tbl>
      <w:tblPr>
        <w:tblW w:w="1482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4110"/>
        <w:gridCol w:w="4480"/>
        <w:gridCol w:w="4450"/>
      </w:tblGrid>
      <w:tr w:rsidR="000F3A83" w:rsidRPr="00CD7E37" w:rsidTr="008B74D2">
        <w:trPr>
          <w:tblHeader/>
        </w:trPr>
        <w:tc>
          <w:tcPr>
            <w:tcW w:w="1787" w:type="dxa"/>
            <w:shd w:val="clear" w:color="auto" w:fill="auto"/>
          </w:tcPr>
          <w:p w:rsidR="0015219A" w:rsidRPr="00CD7E37" w:rsidRDefault="0015219A" w:rsidP="00892ADF">
            <w:pPr>
              <w:tabs>
                <w:tab w:val="left" w:pos="4082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r w:rsidRPr="00CD7E37">
              <w:rPr>
                <w:b/>
                <w:bCs/>
                <w:sz w:val="18"/>
                <w:szCs w:val="18"/>
              </w:rPr>
              <w:t>Submitting party</w:t>
            </w:r>
          </w:p>
        </w:tc>
        <w:tc>
          <w:tcPr>
            <w:tcW w:w="4110" w:type="dxa"/>
            <w:shd w:val="clear" w:color="auto" w:fill="auto"/>
          </w:tcPr>
          <w:p w:rsidR="0015219A" w:rsidRPr="00CD7E37" w:rsidRDefault="0015219A" w:rsidP="00892ADF">
            <w:pPr>
              <w:tabs>
                <w:tab w:val="left" w:pos="4082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r w:rsidRPr="00CD7E37">
              <w:rPr>
                <w:b/>
                <w:bCs/>
                <w:sz w:val="18"/>
                <w:szCs w:val="18"/>
              </w:rPr>
              <w:t>Use of mercury wa</w:t>
            </w:r>
            <w:r w:rsidR="00235811" w:rsidRPr="00CD7E37">
              <w:rPr>
                <w:b/>
                <w:bCs/>
                <w:sz w:val="18"/>
                <w:szCs w:val="18"/>
              </w:rPr>
              <w:t xml:space="preserve">ste thresholds </w:t>
            </w:r>
          </w:p>
        </w:tc>
        <w:tc>
          <w:tcPr>
            <w:tcW w:w="4480" w:type="dxa"/>
          </w:tcPr>
          <w:p w:rsidR="0015219A" w:rsidRPr="00CD7E37" w:rsidRDefault="0015219A" w:rsidP="00892ADF">
            <w:pPr>
              <w:tabs>
                <w:tab w:val="left" w:pos="4082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r w:rsidRPr="00CD7E37">
              <w:rPr>
                <w:b/>
                <w:bCs/>
                <w:sz w:val="18"/>
                <w:szCs w:val="18"/>
              </w:rPr>
              <w:t>Threshold level</w:t>
            </w:r>
          </w:p>
        </w:tc>
        <w:tc>
          <w:tcPr>
            <w:tcW w:w="4450" w:type="dxa"/>
            <w:shd w:val="clear" w:color="auto" w:fill="auto"/>
          </w:tcPr>
          <w:p w:rsidR="0015219A" w:rsidRPr="00CD7E37" w:rsidRDefault="0015219A" w:rsidP="00892ADF">
            <w:pPr>
              <w:tabs>
                <w:tab w:val="left" w:pos="4082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r w:rsidRPr="00CD7E37">
              <w:rPr>
                <w:b/>
                <w:bCs/>
                <w:sz w:val="18"/>
                <w:szCs w:val="18"/>
              </w:rPr>
              <w:t>Additional information</w:t>
            </w:r>
          </w:p>
        </w:tc>
      </w:tr>
      <w:tr w:rsidR="000F3A83" w:rsidRPr="00CD7E37" w:rsidTr="008B74D2">
        <w:tc>
          <w:tcPr>
            <w:tcW w:w="1787" w:type="dxa"/>
            <w:shd w:val="clear" w:color="auto" w:fill="auto"/>
          </w:tcPr>
          <w:p w:rsidR="0015219A" w:rsidRPr="00CD7E37" w:rsidRDefault="0015219A" w:rsidP="006A7CA0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Brazil</w:t>
            </w:r>
            <w:r w:rsidR="004E4EF1" w:rsidRPr="00CD7E37">
              <w:rPr>
                <w:sz w:val="18"/>
                <w:szCs w:val="18"/>
              </w:rPr>
              <w:t xml:space="preserve"> – </w:t>
            </w:r>
            <w:r w:rsidR="000F3A83" w:rsidRPr="00CD7E37">
              <w:rPr>
                <w:i/>
                <w:iCs/>
                <w:sz w:val="18"/>
                <w:szCs w:val="18"/>
              </w:rPr>
              <w:t>submission complements inf</w:t>
            </w:r>
            <w:r w:rsidR="004E4EF1" w:rsidRPr="00CD7E37">
              <w:rPr>
                <w:i/>
                <w:iCs/>
                <w:sz w:val="18"/>
                <w:szCs w:val="18"/>
              </w:rPr>
              <w:t>ormation provided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 in </w:t>
            </w:r>
            <w:r w:rsidR="000E30E6" w:rsidRPr="00CD7E37">
              <w:rPr>
                <w:i/>
                <w:iCs/>
                <w:sz w:val="18"/>
                <w:szCs w:val="18"/>
              </w:rPr>
              <w:t>follow-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up to </w:t>
            </w:r>
            <w:r w:rsidR="000E30E6" w:rsidRPr="00CD7E37">
              <w:rPr>
                <w:i/>
                <w:iCs/>
                <w:sz w:val="18"/>
                <w:szCs w:val="18"/>
              </w:rPr>
              <w:t xml:space="preserve">the sixth session of the intergovernmental negotiating committee </w:t>
            </w:r>
            <w:r w:rsidR="000F3A83" w:rsidRPr="00CD7E37">
              <w:rPr>
                <w:i/>
                <w:iCs/>
                <w:sz w:val="18"/>
                <w:szCs w:val="18"/>
              </w:rPr>
              <w:t>and compiled in document UNEP(DTIE)/Hg/INC.7/19</w:t>
            </w:r>
          </w:p>
        </w:tc>
        <w:tc>
          <w:tcPr>
            <w:tcW w:w="4110" w:type="dxa"/>
            <w:shd w:val="clear" w:color="auto" w:fill="auto"/>
          </w:tcPr>
          <w:p w:rsidR="00F61ADD" w:rsidRPr="00CD7E37" w:rsidRDefault="00235811" w:rsidP="006A7CA0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As per the</w:t>
            </w:r>
            <w:r w:rsidRPr="00CD7E37">
              <w:rPr>
                <w:i/>
                <w:iCs/>
                <w:sz w:val="18"/>
                <w:szCs w:val="18"/>
              </w:rPr>
              <w:t xml:space="preserve"> Technical Standard NBR Nº 10.004/2004, </w:t>
            </w:r>
            <w:r w:rsidRPr="00CD7E37">
              <w:rPr>
                <w:sz w:val="18"/>
                <w:szCs w:val="18"/>
              </w:rPr>
              <w:t>which establishes the procedures for classifying solid waste as hazardous or non-hazardous (taking into account the process from which the waste originates</w:t>
            </w:r>
            <w:r w:rsidR="000E30E6" w:rsidRPr="00CD7E37">
              <w:rPr>
                <w:sz w:val="18"/>
                <w:szCs w:val="18"/>
              </w:rPr>
              <w:t xml:space="preserve">, </w:t>
            </w:r>
            <w:r w:rsidRPr="00CD7E37">
              <w:rPr>
                <w:sz w:val="18"/>
                <w:szCs w:val="18"/>
              </w:rPr>
              <w:t>the characteristics of the waste and a comparison of its components), t</w:t>
            </w:r>
            <w:r w:rsidR="00955109" w:rsidRPr="00CD7E37">
              <w:rPr>
                <w:sz w:val="18"/>
                <w:szCs w:val="18"/>
              </w:rPr>
              <w:t xml:space="preserve">hresholds on mercury levels are used to determine whether certain types of wastes </w:t>
            </w:r>
            <w:r w:rsidR="000E30E6" w:rsidRPr="00CD7E37">
              <w:rPr>
                <w:sz w:val="18"/>
                <w:szCs w:val="18"/>
              </w:rPr>
              <w:t xml:space="preserve">are </w:t>
            </w:r>
            <w:r w:rsidR="00955109" w:rsidRPr="00CD7E37">
              <w:rPr>
                <w:sz w:val="18"/>
                <w:szCs w:val="18"/>
              </w:rPr>
              <w:t>hazardous, while others are characterized as hazardous simply by the presence of mercury.</w:t>
            </w:r>
          </w:p>
        </w:tc>
        <w:tc>
          <w:tcPr>
            <w:tcW w:w="4480" w:type="dxa"/>
          </w:tcPr>
          <w:p w:rsidR="00F61ADD" w:rsidRPr="00CD7E37" w:rsidRDefault="000F738B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When laboratory tests are required to determine whether a waste should be characterized as hazardous, the following thresholds are used:</w:t>
            </w:r>
            <w:r w:rsidR="00F61ADD" w:rsidRPr="00CD7E37">
              <w:rPr>
                <w:sz w:val="18"/>
                <w:szCs w:val="18"/>
              </w:rPr>
              <w:t xml:space="preserve"> </w:t>
            </w:r>
          </w:p>
          <w:p w:rsidR="00F61ADD" w:rsidRPr="00CD7E37" w:rsidRDefault="000E30E6" w:rsidP="00EC0F68">
            <w:pPr>
              <w:numPr>
                <w:ilvl w:val="0"/>
                <w:numId w:val="19"/>
              </w:numPr>
              <w:tabs>
                <w:tab w:val="clear" w:pos="1247"/>
                <w:tab w:val="left" w:pos="4082"/>
              </w:tabs>
              <w:spacing w:before="80" w:after="80"/>
              <w:ind w:left="363" w:hanging="363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T</w:t>
            </w:r>
            <w:r w:rsidR="00F61ADD" w:rsidRPr="00CD7E37">
              <w:rPr>
                <w:sz w:val="18"/>
                <w:szCs w:val="18"/>
              </w:rPr>
              <w:t xml:space="preserve">he amount of mercury is over 0.1 mg/L in the leaching test; </w:t>
            </w:r>
          </w:p>
          <w:p w:rsidR="0015219A" w:rsidRPr="00CD7E37" w:rsidRDefault="000E30E6">
            <w:pPr>
              <w:numPr>
                <w:ilvl w:val="0"/>
                <w:numId w:val="19"/>
              </w:numPr>
              <w:tabs>
                <w:tab w:val="clear" w:pos="1247"/>
                <w:tab w:val="left" w:pos="4082"/>
              </w:tabs>
              <w:spacing w:before="80" w:after="80"/>
              <w:ind w:left="363" w:hanging="363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T</w:t>
            </w:r>
            <w:r w:rsidR="00F61ADD" w:rsidRPr="00CD7E37">
              <w:rPr>
                <w:sz w:val="18"/>
                <w:szCs w:val="18"/>
              </w:rPr>
              <w:t>he amount of mercury is over 0</w:t>
            </w:r>
            <w:r w:rsidR="006F6848" w:rsidRPr="00CD7E37">
              <w:rPr>
                <w:sz w:val="18"/>
                <w:szCs w:val="18"/>
              </w:rPr>
              <w:t>.</w:t>
            </w:r>
            <w:r w:rsidR="00F61ADD" w:rsidRPr="00CD7E37">
              <w:rPr>
                <w:sz w:val="18"/>
                <w:szCs w:val="18"/>
              </w:rPr>
              <w:t xml:space="preserve">001 mg/L in the </w:t>
            </w:r>
            <w:r w:rsidRPr="00CD7E37">
              <w:rPr>
                <w:sz w:val="18"/>
                <w:szCs w:val="18"/>
              </w:rPr>
              <w:t xml:space="preserve">solubilization </w:t>
            </w:r>
            <w:r w:rsidR="00F61ADD" w:rsidRPr="00CD7E37">
              <w:rPr>
                <w:sz w:val="18"/>
                <w:szCs w:val="18"/>
              </w:rPr>
              <w:t>test</w:t>
            </w:r>
            <w:r w:rsidR="000F738B" w:rsidRPr="00CD7E37">
              <w:rPr>
                <w:sz w:val="18"/>
                <w:szCs w:val="18"/>
              </w:rPr>
              <w:t>.</w:t>
            </w:r>
          </w:p>
        </w:tc>
        <w:tc>
          <w:tcPr>
            <w:tcW w:w="4450" w:type="dxa"/>
            <w:shd w:val="clear" w:color="auto" w:fill="auto"/>
          </w:tcPr>
          <w:p w:rsidR="001E2AC2" w:rsidRPr="00CD7E37" w:rsidRDefault="001E2AC2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</w:p>
        </w:tc>
      </w:tr>
      <w:tr w:rsidR="000F3A83" w:rsidRPr="00CD7E37" w:rsidTr="008B74D2">
        <w:trPr>
          <w:trHeight w:val="1451"/>
        </w:trPr>
        <w:tc>
          <w:tcPr>
            <w:tcW w:w="1787" w:type="dxa"/>
            <w:shd w:val="clear" w:color="auto" w:fill="auto"/>
          </w:tcPr>
          <w:p w:rsidR="0015219A" w:rsidRPr="00CD7E37" w:rsidRDefault="0015219A" w:rsidP="006A7CA0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European Union and its member States</w:t>
            </w:r>
            <w:r w:rsidR="000F3A83" w:rsidRPr="00CD7E37">
              <w:rPr>
                <w:sz w:val="18"/>
                <w:szCs w:val="18"/>
              </w:rPr>
              <w:t xml:space="preserve"> </w:t>
            </w:r>
            <w:r w:rsidR="000E30E6" w:rsidRPr="00CD7E37">
              <w:rPr>
                <w:sz w:val="18"/>
                <w:szCs w:val="18"/>
              </w:rPr>
              <w:t xml:space="preserve">– 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submission complements information provided in </w:t>
            </w:r>
            <w:r w:rsidR="000E30E6" w:rsidRPr="00CD7E37">
              <w:rPr>
                <w:i/>
                <w:iCs/>
                <w:sz w:val="18"/>
                <w:szCs w:val="18"/>
              </w:rPr>
              <w:t>follow-</w:t>
            </w:r>
            <w:r w:rsidR="000F3A83" w:rsidRPr="00CD7E37">
              <w:rPr>
                <w:i/>
                <w:iCs/>
                <w:sz w:val="18"/>
                <w:szCs w:val="18"/>
              </w:rPr>
              <w:t>up to</w:t>
            </w:r>
            <w:r w:rsidR="000E30E6" w:rsidRPr="00CD7E37">
              <w:rPr>
                <w:i/>
                <w:iCs/>
                <w:sz w:val="18"/>
                <w:szCs w:val="18"/>
              </w:rPr>
              <w:t xml:space="preserve"> the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 </w:t>
            </w:r>
            <w:r w:rsidR="000E30E6" w:rsidRPr="00CD7E37">
              <w:rPr>
                <w:i/>
                <w:iCs/>
                <w:sz w:val="18"/>
                <w:szCs w:val="18"/>
              </w:rPr>
              <w:t xml:space="preserve">sixth session of the committee </w:t>
            </w:r>
            <w:r w:rsidR="000F3A83" w:rsidRPr="00CD7E37">
              <w:rPr>
                <w:i/>
                <w:iCs/>
                <w:sz w:val="18"/>
                <w:szCs w:val="18"/>
              </w:rPr>
              <w:t>and compiled in document UNEP(DTIE)/Hg/INC.7/19</w:t>
            </w:r>
          </w:p>
        </w:tc>
        <w:tc>
          <w:tcPr>
            <w:tcW w:w="4110" w:type="dxa"/>
            <w:shd w:val="clear" w:color="auto" w:fill="auto"/>
          </w:tcPr>
          <w:p w:rsidR="0015219A" w:rsidRPr="00CD7E37" w:rsidRDefault="00955109" w:rsidP="006A7CA0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The </w:t>
            </w:r>
            <w:r w:rsidRPr="00CD7E37">
              <w:rPr>
                <w:i/>
                <w:iCs/>
                <w:sz w:val="18"/>
                <w:szCs w:val="18"/>
              </w:rPr>
              <w:t>Guidelines for the characterization of dredged material and its reallocation into public waters</w:t>
            </w:r>
            <w:r w:rsidR="000E30E6" w:rsidRPr="00CD7E37">
              <w:rPr>
                <w:i/>
                <w:iCs/>
                <w:sz w:val="18"/>
                <w:szCs w:val="18"/>
              </w:rPr>
              <w:t>,</w:t>
            </w:r>
            <w:r w:rsidRPr="00CD7E37">
              <w:rPr>
                <w:rStyle w:val="FootnoteReference"/>
                <w:sz w:val="18"/>
              </w:rPr>
              <w:footnoteReference w:id="4"/>
            </w:r>
            <w:r w:rsidRPr="00CD7E37">
              <w:rPr>
                <w:sz w:val="18"/>
                <w:szCs w:val="18"/>
              </w:rPr>
              <w:t xml:space="preserve"> developed by the Spanish Interminist</w:t>
            </w:r>
            <w:r w:rsidR="006A7CA0" w:rsidRPr="00CD7E37">
              <w:rPr>
                <w:sz w:val="18"/>
                <w:szCs w:val="18"/>
              </w:rPr>
              <w:t>erial</w:t>
            </w:r>
            <w:r w:rsidRPr="00CD7E37">
              <w:rPr>
                <w:sz w:val="18"/>
                <w:szCs w:val="18"/>
              </w:rPr>
              <w:t xml:space="preserve"> Commission for Marine Strategies</w:t>
            </w:r>
            <w:r w:rsidR="006A7CA0" w:rsidRPr="00CD7E37">
              <w:rPr>
                <w:sz w:val="18"/>
                <w:szCs w:val="18"/>
              </w:rPr>
              <w:t>,</w:t>
            </w:r>
            <w:r w:rsidRPr="00CD7E37">
              <w:rPr>
                <w:sz w:val="18"/>
                <w:szCs w:val="18"/>
              </w:rPr>
              <w:t xml:space="preserve"> establishes thresholds for a set </w:t>
            </w:r>
            <w:r w:rsidR="00841C32" w:rsidRPr="00CD7E37">
              <w:rPr>
                <w:sz w:val="18"/>
                <w:szCs w:val="18"/>
              </w:rPr>
              <w:t xml:space="preserve">of </w:t>
            </w:r>
            <w:r w:rsidRPr="00CD7E37">
              <w:rPr>
                <w:sz w:val="18"/>
                <w:szCs w:val="18"/>
              </w:rPr>
              <w:t>contaminants</w:t>
            </w:r>
            <w:r w:rsidR="002B1C41" w:rsidRPr="00CD7E37">
              <w:rPr>
                <w:sz w:val="18"/>
                <w:szCs w:val="18"/>
              </w:rPr>
              <w:t>, including mercury</w:t>
            </w:r>
            <w:r w:rsidR="00A63B6A" w:rsidRPr="00CD7E37">
              <w:rPr>
                <w:sz w:val="18"/>
                <w:szCs w:val="18"/>
              </w:rPr>
              <w:t>,</w:t>
            </w:r>
            <w:r w:rsidR="002B1C41" w:rsidRPr="00CD7E37">
              <w:rPr>
                <w:sz w:val="18"/>
                <w:szCs w:val="18"/>
              </w:rPr>
              <w:t xml:space="preserve"> for the consideration of</w:t>
            </w:r>
            <w:r w:rsidRPr="00CD7E37">
              <w:rPr>
                <w:sz w:val="18"/>
                <w:szCs w:val="18"/>
              </w:rPr>
              <w:t xml:space="preserve"> marine dredged material as non</w:t>
            </w:r>
            <w:r w:rsidR="000E30E6" w:rsidRPr="00CD7E37">
              <w:rPr>
                <w:sz w:val="18"/>
                <w:szCs w:val="18"/>
              </w:rPr>
              <w:noBreakHyphen/>
            </w:r>
            <w:r w:rsidRPr="00CD7E37">
              <w:rPr>
                <w:sz w:val="18"/>
                <w:szCs w:val="18"/>
              </w:rPr>
              <w:t>hazardous sediments.</w:t>
            </w:r>
          </w:p>
        </w:tc>
        <w:tc>
          <w:tcPr>
            <w:tcW w:w="4480" w:type="dxa"/>
          </w:tcPr>
          <w:p w:rsidR="0015219A" w:rsidRPr="00CD7E37" w:rsidRDefault="00235811" w:rsidP="006A7CA0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As per the guidelines, t</w:t>
            </w:r>
            <w:r w:rsidR="000F738B" w:rsidRPr="00CD7E37">
              <w:rPr>
                <w:sz w:val="18"/>
                <w:szCs w:val="18"/>
              </w:rPr>
              <w:t>h</w:t>
            </w:r>
            <w:r w:rsidR="00841C32" w:rsidRPr="00CD7E37">
              <w:rPr>
                <w:sz w:val="18"/>
                <w:szCs w:val="18"/>
              </w:rPr>
              <w:t>e th</w:t>
            </w:r>
            <w:r w:rsidRPr="00CD7E37">
              <w:rPr>
                <w:sz w:val="18"/>
                <w:szCs w:val="18"/>
              </w:rPr>
              <w:t xml:space="preserve">reshold on mercury </w:t>
            </w:r>
            <w:r w:rsidR="000E30E6" w:rsidRPr="00CD7E37">
              <w:rPr>
                <w:sz w:val="18"/>
                <w:szCs w:val="18"/>
              </w:rPr>
              <w:t xml:space="preserve">that </w:t>
            </w:r>
            <w:r w:rsidRPr="00CD7E37">
              <w:rPr>
                <w:sz w:val="18"/>
                <w:szCs w:val="18"/>
              </w:rPr>
              <w:t>is used</w:t>
            </w:r>
            <w:r w:rsidR="00955109" w:rsidRPr="00CD7E37">
              <w:rPr>
                <w:sz w:val="18"/>
                <w:szCs w:val="18"/>
              </w:rPr>
              <w:t xml:space="preserve"> </w:t>
            </w:r>
            <w:r w:rsidR="00841C32" w:rsidRPr="00CD7E37">
              <w:rPr>
                <w:sz w:val="18"/>
                <w:szCs w:val="18"/>
              </w:rPr>
              <w:t xml:space="preserve">in the assessment of marine dredged material is </w:t>
            </w:r>
            <w:r w:rsidR="000F738B" w:rsidRPr="00CD7E37">
              <w:rPr>
                <w:sz w:val="18"/>
                <w:szCs w:val="18"/>
              </w:rPr>
              <w:t>17</w:t>
            </w:r>
            <w:r w:rsidR="00DF3944" w:rsidRPr="00CD7E37">
              <w:rPr>
                <w:sz w:val="18"/>
                <w:szCs w:val="18"/>
              </w:rPr>
              <w:t> </w:t>
            </w:r>
            <w:r w:rsidR="000F738B" w:rsidRPr="00CD7E37">
              <w:rPr>
                <w:sz w:val="18"/>
                <w:szCs w:val="18"/>
              </w:rPr>
              <w:t>mg/kg on a dry weight basis, referred to the non-coarse fraction, less than 2 mm.</w:t>
            </w:r>
          </w:p>
        </w:tc>
        <w:tc>
          <w:tcPr>
            <w:tcW w:w="4450" w:type="dxa"/>
            <w:shd w:val="clear" w:color="auto" w:fill="auto"/>
          </w:tcPr>
          <w:p w:rsidR="0015219A" w:rsidRPr="00CD7E37" w:rsidRDefault="0015219A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</w:p>
        </w:tc>
      </w:tr>
      <w:tr w:rsidR="000F3A83" w:rsidRPr="00CD7E37" w:rsidTr="008B74D2">
        <w:tc>
          <w:tcPr>
            <w:tcW w:w="1787" w:type="dxa"/>
            <w:shd w:val="clear" w:color="auto" w:fill="auto"/>
          </w:tcPr>
          <w:p w:rsidR="0015219A" w:rsidRPr="00CD7E37" w:rsidRDefault="0015219A" w:rsidP="006A7CA0">
            <w:pPr>
              <w:keepNext/>
              <w:keepLines/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Japan</w:t>
            </w:r>
            <w:r w:rsidR="000F3A83" w:rsidRPr="00CD7E37">
              <w:rPr>
                <w:sz w:val="18"/>
                <w:szCs w:val="18"/>
              </w:rPr>
              <w:t xml:space="preserve"> </w:t>
            </w:r>
            <w:r w:rsidR="006A7CA0" w:rsidRPr="00CD7E37">
              <w:rPr>
                <w:sz w:val="18"/>
                <w:szCs w:val="18"/>
              </w:rPr>
              <w:t xml:space="preserve">– 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submission complements information provided in </w:t>
            </w:r>
            <w:r w:rsidR="006A7CA0" w:rsidRPr="00CD7E37">
              <w:rPr>
                <w:i/>
                <w:iCs/>
                <w:sz w:val="18"/>
                <w:szCs w:val="18"/>
              </w:rPr>
              <w:t>follow-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up to </w:t>
            </w:r>
            <w:r w:rsidR="006A7CA0" w:rsidRPr="00CD7E37">
              <w:rPr>
                <w:i/>
                <w:iCs/>
                <w:sz w:val="18"/>
                <w:szCs w:val="18"/>
              </w:rPr>
              <w:t xml:space="preserve">the sixth session of the committee </w:t>
            </w:r>
            <w:r w:rsidR="000F3A83" w:rsidRPr="00CD7E37">
              <w:rPr>
                <w:i/>
                <w:iCs/>
                <w:sz w:val="18"/>
                <w:szCs w:val="18"/>
              </w:rPr>
              <w:t>and compiled in document UNEP(DTIE)/Hg/INC.7/19</w:t>
            </w:r>
          </w:p>
        </w:tc>
        <w:tc>
          <w:tcPr>
            <w:tcW w:w="4110" w:type="dxa"/>
            <w:shd w:val="clear" w:color="auto" w:fill="auto"/>
          </w:tcPr>
          <w:p w:rsidR="00673E24" w:rsidRPr="00CD7E37" w:rsidRDefault="00A64300" w:rsidP="005D04E8">
            <w:pPr>
              <w:keepNext/>
              <w:keepLines/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T</w:t>
            </w:r>
            <w:r w:rsidR="00BE1699" w:rsidRPr="00CD7E37">
              <w:rPr>
                <w:sz w:val="18"/>
                <w:szCs w:val="18"/>
              </w:rPr>
              <w:t xml:space="preserve">hresholds are being developed for </w:t>
            </w:r>
            <w:r w:rsidR="00673E24" w:rsidRPr="00CD7E37">
              <w:rPr>
                <w:sz w:val="18"/>
                <w:szCs w:val="18"/>
              </w:rPr>
              <w:t xml:space="preserve">two </w:t>
            </w:r>
            <w:r w:rsidR="00BE1699" w:rsidRPr="00CD7E37">
              <w:rPr>
                <w:sz w:val="18"/>
                <w:szCs w:val="18"/>
              </w:rPr>
              <w:t xml:space="preserve">new mercury </w:t>
            </w:r>
            <w:r w:rsidRPr="00CD7E37">
              <w:rPr>
                <w:sz w:val="18"/>
                <w:szCs w:val="18"/>
              </w:rPr>
              <w:t xml:space="preserve">waste categories: </w:t>
            </w:r>
          </w:p>
          <w:p w:rsidR="00673E24" w:rsidRPr="00CD7E37" w:rsidRDefault="00A64300" w:rsidP="00EC0F68">
            <w:pPr>
              <w:pStyle w:val="ListParagraph"/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80" w:after="80"/>
              <w:ind w:left="284" w:hanging="284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Dust and other wastes containing mercury</w:t>
            </w:r>
            <w:r w:rsidR="00B1730F" w:rsidRPr="00CD7E37">
              <w:rPr>
                <w:sz w:val="18"/>
                <w:szCs w:val="18"/>
              </w:rPr>
              <w:t>, which include burnt residues, dust, sludge, waste acid, waste alkali and slag containing mercury or mercury compounds with a mercury concentration above a certain threshold</w:t>
            </w:r>
            <w:r w:rsidR="006A7CA0" w:rsidRPr="00CD7E37">
              <w:rPr>
                <w:sz w:val="18"/>
                <w:szCs w:val="18"/>
              </w:rPr>
              <w:t>;</w:t>
            </w:r>
          </w:p>
          <w:p w:rsidR="00C23CBC" w:rsidRPr="00CD7E37" w:rsidRDefault="00A64300" w:rsidP="00EC0F68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80" w:after="80"/>
              <w:ind w:left="284" w:hanging="284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Industrial wastes of mercury-added products.</w:t>
            </w:r>
          </w:p>
        </w:tc>
        <w:tc>
          <w:tcPr>
            <w:tcW w:w="4480" w:type="dxa"/>
          </w:tcPr>
          <w:p w:rsidR="00B1730F" w:rsidRPr="00CD7E37" w:rsidRDefault="00E40F10" w:rsidP="005D04E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  <w:lang w:eastAsia="zh-CN"/>
              </w:rPr>
              <w:t>For d</w:t>
            </w:r>
            <w:r w:rsidR="00A64300" w:rsidRPr="00CD7E37">
              <w:rPr>
                <w:sz w:val="18"/>
                <w:szCs w:val="18"/>
                <w:lang w:eastAsia="zh-CN"/>
              </w:rPr>
              <w:t xml:space="preserve">ust and </w:t>
            </w:r>
            <w:r w:rsidR="00B1730F" w:rsidRPr="00CD7E37">
              <w:rPr>
                <w:sz w:val="18"/>
                <w:szCs w:val="18"/>
                <w:lang w:eastAsia="zh-CN"/>
              </w:rPr>
              <w:t>other wastes containing mercury</w:t>
            </w:r>
            <w:r w:rsidR="006A7CA0" w:rsidRPr="00CD7E37">
              <w:rPr>
                <w:sz w:val="18"/>
                <w:szCs w:val="18"/>
                <w:lang w:eastAsia="zh-CN"/>
              </w:rPr>
              <w:t xml:space="preserve">, </w:t>
            </w:r>
            <w:r w:rsidR="00A64300" w:rsidRPr="00CD7E37">
              <w:rPr>
                <w:sz w:val="18"/>
                <w:szCs w:val="18"/>
                <w:lang w:eastAsia="zh-CN"/>
              </w:rPr>
              <w:t>the planned threshold</w:t>
            </w:r>
            <w:r w:rsidR="00B1730F" w:rsidRPr="00CD7E37">
              <w:rPr>
                <w:sz w:val="18"/>
                <w:szCs w:val="18"/>
                <w:lang w:eastAsia="zh-CN"/>
              </w:rPr>
              <w:t xml:space="preserve"> </w:t>
            </w:r>
            <w:r w:rsidR="00A64300" w:rsidRPr="00CD7E37">
              <w:rPr>
                <w:sz w:val="18"/>
                <w:szCs w:val="18"/>
                <w:lang w:eastAsia="zh-CN"/>
              </w:rPr>
              <w:t xml:space="preserve">is </w:t>
            </w:r>
            <w:r w:rsidR="00B1730F" w:rsidRPr="00CD7E37">
              <w:rPr>
                <w:sz w:val="18"/>
                <w:szCs w:val="18"/>
                <w:lang w:eastAsia="zh-CN"/>
              </w:rPr>
              <w:t>15</w:t>
            </w:r>
            <w:r w:rsidR="00C74894" w:rsidRPr="00CD7E37">
              <w:rPr>
                <w:sz w:val="18"/>
                <w:szCs w:val="18"/>
                <w:lang w:eastAsia="zh-CN"/>
              </w:rPr>
              <w:t xml:space="preserve"> </w:t>
            </w:r>
            <w:r w:rsidR="00B1730F" w:rsidRPr="00CD7E37">
              <w:rPr>
                <w:sz w:val="18"/>
                <w:szCs w:val="18"/>
                <w:lang w:eastAsia="zh-CN"/>
              </w:rPr>
              <w:t>mg/kg.</w:t>
            </w:r>
            <w:r w:rsidR="00841C32" w:rsidRPr="00CD7E37">
              <w:rPr>
                <w:sz w:val="18"/>
                <w:szCs w:val="18"/>
                <w:lang w:eastAsia="zh-CN"/>
              </w:rPr>
              <w:t xml:space="preserve"> </w:t>
            </w:r>
            <w:r w:rsidR="002B1C41" w:rsidRPr="00CD7E37">
              <w:rPr>
                <w:sz w:val="18"/>
                <w:szCs w:val="18"/>
                <w:lang w:eastAsia="zh-CN"/>
              </w:rPr>
              <w:t>For the recovery of m</w:t>
            </w:r>
            <w:r w:rsidR="00841C32" w:rsidRPr="00CD7E37">
              <w:rPr>
                <w:sz w:val="18"/>
                <w:szCs w:val="18"/>
                <w:lang w:eastAsia="zh-CN"/>
              </w:rPr>
              <w:t>ercury from such waste</w:t>
            </w:r>
            <w:r w:rsidRPr="00CD7E37">
              <w:rPr>
                <w:sz w:val="18"/>
                <w:szCs w:val="18"/>
                <w:lang w:eastAsia="zh-CN"/>
              </w:rPr>
              <w:t>s</w:t>
            </w:r>
            <w:r w:rsidR="00841C32" w:rsidRPr="00CD7E37">
              <w:rPr>
                <w:sz w:val="18"/>
                <w:szCs w:val="18"/>
                <w:lang w:eastAsia="zh-CN"/>
              </w:rPr>
              <w:t xml:space="preserve"> </w:t>
            </w:r>
            <w:r w:rsidRPr="00CD7E37">
              <w:rPr>
                <w:sz w:val="18"/>
                <w:szCs w:val="18"/>
              </w:rPr>
              <w:t>prior to their disposal</w:t>
            </w:r>
            <w:r w:rsidR="002B1C41" w:rsidRPr="00CD7E37">
              <w:rPr>
                <w:sz w:val="18"/>
                <w:szCs w:val="18"/>
              </w:rPr>
              <w:t>, the planned threshold is a mercury content</w:t>
            </w:r>
            <w:r w:rsidRPr="00CD7E37">
              <w:rPr>
                <w:sz w:val="18"/>
                <w:szCs w:val="18"/>
              </w:rPr>
              <w:t xml:space="preserve"> of at least</w:t>
            </w:r>
            <w:r w:rsidR="00B1730F" w:rsidRPr="00CD7E37">
              <w:rPr>
                <w:sz w:val="18"/>
                <w:szCs w:val="18"/>
                <w:lang w:eastAsia="zh-CN"/>
              </w:rPr>
              <w:t xml:space="preserve"> 1,000</w:t>
            </w:r>
            <w:r w:rsidR="00C74894" w:rsidRPr="00CD7E37">
              <w:rPr>
                <w:sz w:val="18"/>
                <w:szCs w:val="18"/>
                <w:lang w:eastAsia="zh-CN"/>
              </w:rPr>
              <w:t xml:space="preserve"> </w:t>
            </w:r>
            <w:r w:rsidR="00B1730F" w:rsidRPr="00CD7E37">
              <w:rPr>
                <w:sz w:val="18"/>
                <w:szCs w:val="18"/>
                <w:lang w:eastAsia="zh-CN"/>
              </w:rPr>
              <w:t>mg/kg</w:t>
            </w:r>
            <w:r w:rsidR="00673E24" w:rsidRPr="00CD7E37">
              <w:rPr>
                <w:sz w:val="18"/>
                <w:szCs w:val="18"/>
                <w:lang w:eastAsia="zh-CN"/>
              </w:rPr>
              <w:t>.</w:t>
            </w:r>
          </w:p>
          <w:p w:rsidR="00B1730F" w:rsidRPr="00CD7E37" w:rsidRDefault="00673E24" w:rsidP="005D04E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80" w:after="80"/>
              <w:rPr>
                <w:sz w:val="18"/>
                <w:szCs w:val="18"/>
                <w:lang w:eastAsia="zh-CN"/>
              </w:rPr>
            </w:pPr>
            <w:r w:rsidRPr="00CD7E37">
              <w:rPr>
                <w:sz w:val="18"/>
                <w:szCs w:val="18"/>
                <w:lang w:eastAsia="zh-CN"/>
              </w:rPr>
              <w:t>Categorization as</w:t>
            </w:r>
            <w:r w:rsidR="00B1730F" w:rsidRPr="00CD7E37">
              <w:rPr>
                <w:sz w:val="18"/>
                <w:szCs w:val="18"/>
                <w:lang w:eastAsia="zh-CN"/>
              </w:rPr>
              <w:t xml:space="preserve"> “</w:t>
            </w:r>
            <w:r w:rsidR="006A7CA0" w:rsidRPr="00CD7E37">
              <w:rPr>
                <w:sz w:val="18"/>
                <w:szCs w:val="18"/>
                <w:lang w:eastAsia="zh-CN"/>
              </w:rPr>
              <w:t xml:space="preserve">industrial </w:t>
            </w:r>
            <w:r w:rsidR="00B1730F" w:rsidRPr="00CD7E37">
              <w:rPr>
                <w:sz w:val="18"/>
                <w:szCs w:val="18"/>
                <w:lang w:eastAsia="zh-CN"/>
              </w:rPr>
              <w:t>wastes of mercury-added products</w:t>
            </w:r>
            <w:r w:rsidRPr="00CD7E37">
              <w:rPr>
                <w:sz w:val="18"/>
                <w:szCs w:val="18"/>
                <w:lang w:eastAsia="zh-CN"/>
              </w:rPr>
              <w:t>” will be according to the product type and no</w:t>
            </w:r>
            <w:r w:rsidR="002B1C41" w:rsidRPr="00CD7E37">
              <w:rPr>
                <w:sz w:val="18"/>
                <w:szCs w:val="18"/>
                <w:lang w:eastAsia="zh-CN"/>
              </w:rPr>
              <w:t xml:space="preserve">t the mercury content. The same </w:t>
            </w:r>
            <w:r w:rsidRPr="00CD7E37">
              <w:rPr>
                <w:sz w:val="18"/>
                <w:szCs w:val="18"/>
                <w:lang w:eastAsia="zh-CN"/>
              </w:rPr>
              <w:t xml:space="preserve">approach will apply to the requirement for </w:t>
            </w:r>
            <w:r w:rsidRPr="00CD7E37">
              <w:rPr>
                <w:sz w:val="18"/>
                <w:szCs w:val="18"/>
              </w:rPr>
              <w:t>mercury recovery prior to</w:t>
            </w:r>
            <w:r w:rsidR="002B1C41" w:rsidRPr="00CD7E37">
              <w:rPr>
                <w:sz w:val="18"/>
                <w:szCs w:val="18"/>
              </w:rPr>
              <w:t xml:space="preserve"> the</w:t>
            </w:r>
            <w:r w:rsidRPr="00CD7E37">
              <w:rPr>
                <w:sz w:val="18"/>
                <w:szCs w:val="18"/>
              </w:rPr>
              <w:t xml:space="preserve"> disposal</w:t>
            </w:r>
            <w:r w:rsidR="00E40F10" w:rsidRPr="00CD7E37">
              <w:rPr>
                <w:sz w:val="18"/>
                <w:szCs w:val="18"/>
              </w:rPr>
              <w:t xml:space="preserve"> of such wastes</w:t>
            </w:r>
            <w:r w:rsidRPr="00CD7E37">
              <w:rPr>
                <w:sz w:val="18"/>
                <w:szCs w:val="18"/>
              </w:rPr>
              <w:t>.</w:t>
            </w:r>
          </w:p>
          <w:p w:rsidR="00B1730F" w:rsidRPr="00CD7E37" w:rsidRDefault="00B1730F" w:rsidP="005D04E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  <w:lang w:eastAsia="zh-CN"/>
              </w:rPr>
              <w:t xml:space="preserve">Public comments have been solicited on </w:t>
            </w:r>
            <w:r w:rsidR="00673E24" w:rsidRPr="00CD7E37">
              <w:rPr>
                <w:sz w:val="18"/>
                <w:szCs w:val="18"/>
                <w:lang w:eastAsia="zh-CN"/>
              </w:rPr>
              <w:t>the above</w:t>
            </w:r>
            <w:r w:rsidR="00E40F10" w:rsidRPr="00CD7E37">
              <w:rPr>
                <w:sz w:val="18"/>
                <w:szCs w:val="18"/>
                <w:lang w:eastAsia="zh-CN"/>
              </w:rPr>
              <w:t xml:space="preserve"> thresholds and approach</w:t>
            </w:r>
            <w:r w:rsidRPr="00CD7E37">
              <w:rPr>
                <w:sz w:val="18"/>
                <w:szCs w:val="18"/>
                <w:lang w:eastAsia="zh-CN"/>
              </w:rPr>
              <w:t xml:space="preserve">. </w:t>
            </w:r>
          </w:p>
        </w:tc>
        <w:tc>
          <w:tcPr>
            <w:tcW w:w="4450" w:type="dxa"/>
            <w:shd w:val="clear" w:color="auto" w:fill="auto"/>
          </w:tcPr>
          <w:p w:rsidR="00673E24" w:rsidRPr="00CD7E37" w:rsidRDefault="00A64300" w:rsidP="005D04E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80" w:after="80"/>
              <w:rPr>
                <w:sz w:val="18"/>
                <w:szCs w:val="18"/>
                <w:lang w:eastAsia="zh-CN"/>
              </w:rPr>
            </w:pPr>
            <w:r w:rsidRPr="00CD7E37">
              <w:rPr>
                <w:sz w:val="18"/>
                <w:szCs w:val="18"/>
                <w:lang w:eastAsia="zh-CN"/>
              </w:rPr>
              <w:t>“Specifically controlled industrial wastes”</w:t>
            </w:r>
            <w:r w:rsidR="00E40F10" w:rsidRPr="00CD7E37">
              <w:rPr>
                <w:sz w:val="18"/>
                <w:szCs w:val="18"/>
                <w:lang w:eastAsia="zh-CN"/>
              </w:rPr>
              <w:t>,</w:t>
            </w:r>
            <w:r w:rsidRPr="00CD7E37">
              <w:rPr>
                <w:sz w:val="18"/>
                <w:szCs w:val="18"/>
                <w:lang w:eastAsia="zh-CN"/>
              </w:rPr>
              <w:t xml:space="preserve"> </w:t>
            </w:r>
            <w:r w:rsidR="00E40F10" w:rsidRPr="00CD7E37">
              <w:rPr>
                <w:sz w:val="18"/>
                <w:szCs w:val="18"/>
                <w:lang w:eastAsia="zh-CN"/>
              </w:rPr>
              <w:t>which refer</w:t>
            </w:r>
            <w:r w:rsidRPr="00CD7E37">
              <w:rPr>
                <w:sz w:val="18"/>
                <w:szCs w:val="18"/>
                <w:lang w:eastAsia="zh-CN"/>
              </w:rPr>
              <w:t xml:space="preserve"> to wastes generated from </w:t>
            </w:r>
            <w:r w:rsidR="00E40F10" w:rsidRPr="00CD7E37">
              <w:rPr>
                <w:sz w:val="18"/>
                <w:szCs w:val="18"/>
                <w:lang w:eastAsia="zh-CN"/>
              </w:rPr>
              <w:t>specified facilities</w:t>
            </w:r>
            <w:r w:rsidRPr="00CD7E37">
              <w:rPr>
                <w:sz w:val="18"/>
                <w:szCs w:val="18"/>
                <w:lang w:eastAsia="zh-CN"/>
              </w:rPr>
              <w:t xml:space="preserve"> exceeding 0.005</w:t>
            </w:r>
            <w:r w:rsidR="00DF3944" w:rsidRPr="00CD7E37">
              <w:rPr>
                <w:sz w:val="18"/>
                <w:szCs w:val="18"/>
                <w:lang w:eastAsia="zh-CN"/>
              </w:rPr>
              <w:t> </w:t>
            </w:r>
            <w:r w:rsidRPr="00CD7E37">
              <w:rPr>
                <w:sz w:val="18"/>
                <w:szCs w:val="18"/>
                <w:lang w:eastAsia="zh-CN"/>
              </w:rPr>
              <w:t>mg-Hg/L in</w:t>
            </w:r>
            <w:r w:rsidR="00E40F10" w:rsidRPr="00CD7E37">
              <w:rPr>
                <w:sz w:val="18"/>
                <w:szCs w:val="18"/>
                <w:lang w:eastAsia="zh-CN"/>
              </w:rPr>
              <w:t xml:space="preserve"> Japan’s official leaching test</w:t>
            </w:r>
            <w:r w:rsidR="002B1C41" w:rsidRPr="00CD7E37">
              <w:rPr>
                <w:sz w:val="18"/>
                <w:szCs w:val="18"/>
                <w:lang w:eastAsia="zh-CN"/>
              </w:rPr>
              <w:t>,</w:t>
            </w:r>
            <w:r w:rsidR="00E40F10" w:rsidRPr="00CD7E37">
              <w:rPr>
                <w:sz w:val="18"/>
                <w:szCs w:val="18"/>
                <w:lang w:eastAsia="zh-CN"/>
              </w:rPr>
              <w:t xml:space="preserve"> along with “dust and other wastes containing mercury” would correspond to “substances or objects contaminated with mercury or mercury compounds” as per </w:t>
            </w:r>
            <w:r w:rsidR="003A0B88" w:rsidRPr="00CD7E37">
              <w:rPr>
                <w:sz w:val="18"/>
                <w:szCs w:val="18"/>
                <w:lang w:eastAsia="zh-CN"/>
              </w:rPr>
              <w:t xml:space="preserve">article </w:t>
            </w:r>
            <w:r w:rsidR="00E40F10" w:rsidRPr="00CD7E37">
              <w:rPr>
                <w:sz w:val="18"/>
                <w:szCs w:val="18"/>
                <w:lang w:eastAsia="zh-CN"/>
              </w:rPr>
              <w:t xml:space="preserve">11 of the Minamata Convention, while “industrial wastes of mercury-added products” would correspond to “substances or objects containing mercury or mercury compounds” as per </w:t>
            </w:r>
            <w:r w:rsidR="003A0B88" w:rsidRPr="00CD7E37">
              <w:rPr>
                <w:sz w:val="18"/>
                <w:szCs w:val="18"/>
                <w:lang w:eastAsia="zh-CN"/>
              </w:rPr>
              <w:t xml:space="preserve">article </w:t>
            </w:r>
            <w:r w:rsidR="00E40F10" w:rsidRPr="00CD7E37">
              <w:rPr>
                <w:sz w:val="18"/>
                <w:szCs w:val="18"/>
                <w:lang w:eastAsia="zh-CN"/>
              </w:rPr>
              <w:t xml:space="preserve">11. </w:t>
            </w:r>
          </w:p>
          <w:p w:rsidR="00C23CBC" w:rsidRPr="00CD7E37" w:rsidRDefault="00A63B6A" w:rsidP="003A0B8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80" w:after="80"/>
              <w:rPr>
                <w:sz w:val="18"/>
                <w:szCs w:val="18"/>
                <w:lang w:eastAsia="zh-CN"/>
              </w:rPr>
            </w:pPr>
            <w:r w:rsidRPr="00CD7E37">
              <w:rPr>
                <w:sz w:val="18"/>
                <w:szCs w:val="18"/>
                <w:lang w:eastAsia="zh-CN"/>
              </w:rPr>
              <w:t>Mixing “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industrial wastes of mercury-added products” with </w:t>
            </w:r>
            <w:r w:rsidRPr="00CD7E37">
              <w:rPr>
                <w:sz w:val="18"/>
                <w:szCs w:val="18"/>
                <w:lang w:eastAsia="zh-CN"/>
              </w:rPr>
              <w:t>other types of waste and disposing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 </w:t>
            </w:r>
            <w:r w:rsidR="00A727C6" w:rsidRPr="00CD7E37">
              <w:rPr>
                <w:sz w:val="18"/>
                <w:szCs w:val="18"/>
                <w:lang w:eastAsia="zh-CN"/>
              </w:rPr>
              <w:t xml:space="preserve">of 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them in landfills dedicated </w:t>
            </w:r>
            <w:r w:rsidR="002B1C41" w:rsidRPr="00CD7E37">
              <w:rPr>
                <w:sz w:val="18"/>
                <w:szCs w:val="18"/>
                <w:lang w:eastAsia="zh-CN"/>
              </w:rPr>
              <w:t>to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 inert wastes </w:t>
            </w:r>
            <w:r w:rsidRPr="00CD7E37">
              <w:rPr>
                <w:sz w:val="18"/>
                <w:szCs w:val="18"/>
                <w:lang w:eastAsia="zh-CN"/>
              </w:rPr>
              <w:t>are prohibited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. Mercury must be recovered from </w:t>
            </w:r>
            <w:r w:rsidR="003A0B88" w:rsidRPr="00CD7E37">
              <w:rPr>
                <w:sz w:val="18"/>
                <w:szCs w:val="18"/>
                <w:lang w:eastAsia="zh-CN"/>
              </w:rPr>
              <w:t xml:space="preserve">industrial 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wastes of </w:t>
            </w:r>
            <w:r w:rsidR="00815A43">
              <w:rPr>
                <w:sz w:val="18"/>
                <w:szCs w:val="18"/>
                <w:lang w:eastAsia="zh-CN"/>
              </w:rPr>
              <w:br/>
            </w:r>
            <w:bookmarkStart w:id="4" w:name="_GoBack"/>
            <w:bookmarkEnd w:id="4"/>
            <w:r w:rsidR="00C23CBC" w:rsidRPr="00CD7E37">
              <w:rPr>
                <w:sz w:val="18"/>
                <w:szCs w:val="18"/>
                <w:lang w:eastAsia="zh-CN"/>
              </w:rPr>
              <w:t>mercury-added products</w:t>
            </w:r>
            <w:r w:rsidR="003A0B88" w:rsidRPr="00CD7E37">
              <w:rPr>
                <w:sz w:val="18"/>
                <w:szCs w:val="18"/>
                <w:lang w:eastAsia="zh-CN"/>
              </w:rPr>
              <w:t>,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 such as sphygmomanometers </w:t>
            </w:r>
            <w:r w:rsidR="003A0B88" w:rsidRPr="00CD7E37">
              <w:rPr>
                <w:sz w:val="18"/>
                <w:szCs w:val="18"/>
                <w:lang w:eastAsia="zh-CN"/>
              </w:rPr>
              <w:t xml:space="preserve">that </w:t>
            </w:r>
            <w:r w:rsidR="00C23CBC" w:rsidRPr="00CD7E37">
              <w:rPr>
                <w:sz w:val="18"/>
                <w:szCs w:val="18"/>
                <w:lang w:eastAsia="zh-CN"/>
              </w:rPr>
              <w:t>contain elemental mercury</w:t>
            </w:r>
            <w:r w:rsidR="003A0B88" w:rsidRPr="00CD7E37">
              <w:rPr>
                <w:sz w:val="18"/>
                <w:szCs w:val="18"/>
                <w:lang w:eastAsia="zh-CN"/>
              </w:rPr>
              <w:t>,</w:t>
            </w:r>
            <w:r w:rsidR="00C23CBC" w:rsidRPr="00CD7E37">
              <w:rPr>
                <w:sz w:val="18"/>
                <w:szCs w:val="18"/>
                <w:lang w:eastAsia="zh-CN"/>
              </w:rPr>
              <w:t xml:space="preserve"> prior to their disposal. </w:t>
            </w:r>
          </w:p>
        </w:tc>
      </w:tr>
      <w:tr w:rsidR="004233E2" w:rsidRPr="00CD7E37" w:rsidTr="008B74D2">
        <w:tc>
          <w:tcPr>
            <w:tcW w:w="1787" w:type="dxa"/>
            <w:shd w:val="clear" w:color="auto" w:fill="auto"/>
          </w:tcPr>
          <w:p w:rsidR="004233E2" w:rsidRPr="00CD7E37" w:rsidRDefault="004233E2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Madagascar</w:t>
            </w:r>
          </w:p>
        </w:tc>
        <w:tc>
          <w:tcPr>
            <w:tcW w:w="4110" w:type="dxa"/>
            <w:shd w:val="clear" w:color="auto" w:fill="auto"/>
          </w:tcPr>
          <w:p w:rsidR="004233E2" w:rsidRPr="00CD7E37" w:rsidRDefault="001E2AC2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No threshold has been established to define solid waste containing mercury.</w:t>
            </w:r>
          </w:p>
          <w:p w:rsidR="00677EBB" w:rsidRPr="00CD7E37" w:rsidRDefault="00677EBB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Decree 2003/464 of 15/04/</w:t>
            </w:r>
            <w:r w:rsidR="003A0B88" w:rsidRPr="00CD7E37">
              <w:rPr>
                <w:sz w:val="18"/>
                <w:szCs w:val="18"/>
              </w:rPr>
              <w:t>20</w:t>
            </w:r>
            <w:r w:rsidRPr="00CD7E37">
              <w:rPr>
                <w:sz w:val="18"/>
                <w:szCs w:val="18"/>
              </w:rPr>
              <w:t xml:space="preserve">03 </w:t>
            </w:r>
            <w:r w:rsidR="008B7DFC" w:rsidRPr="00CD7E37">
              <w:rPr>
                <w:sz w:val="18"/>
                <w:szCs w:val="18"/>
              </w:rPr>
              <w:t xml:space="preserve">sets the national standard in relation to </w:t>
            </w:r>
            <w:r w:rsidRPr="00CD7E37">
              <w:rPr>
                <w:sz w:val="18"/>
                <w:szCs w:val="18"/>
              </w:rPr>
              <w:t xml:space="preserve">the classification of surface waters and the </w:t>
            </w:r>
            <w:r w:rsidR="008B7DFC" w:rsidRPr="00CD7E37">
              <w:rPr>
                <w:sz w:val="18"/>
                <w:szCs w:val="18"/>
              </w:rPr>
              <w:t>release of</w:t>
            </w:r>
            <w:r w:rsidRPr="00CD7E37">
              <w:rPr>
                <w:sz w:val="18"/>
                <w:szCs w:val="18"/>
              </w:rPr>
              <w:t xml:space="preserve"> </w:t>
            </w:r>
            <w:r w:rsidRPr="00CD7E37">
              <w:rPr>
                <w:sz w:val="18"/>
                <w:szCs w:val="18"/>
                <w:lang w:eastAsia="zh-CN"/>
              </w:rPr>
              <w:t>liquid effluents</w:t>
            </w:r>
            <w:r w:rsidRPr="00CD7E37">
              <w:rPr>
                <w:sz w:val="18"/>
                <w:szCs w:val="18"/>
              </w:rPr>
              <w:t xml:space="preserve"> into the environment</w:t>
            </w:r>
            <w:r w:rsidR="008B7DFC" w:rsidRPr="00CD7E37">
              <w:rPr>
                <w:sz w:val="18"/>
                <w:szCs w:val="18"/>
              </w:rPr>
              <w:t xml:space="preserve">. The </w:t>
            </w:r>
            <w:r w:rsidR="004A667A" w:rsidRPr="00CD7E37">
              <w:rPr>
                <w:sz w:val="18"/>
                <w:szCs w:val="18"/>
              </w:rPr>
              <w:t xml:space="preserve">decree </w:t>
            </w:r>
            <w:r w:rsidR="008B7DFC" w:rsidRPr="00CD7E37">
              <w:rPr>
                <w:sz w:val="18"/>
                <w:szCs w:val="18"/>
              </w:rPr>
              <w:t>defines polluting liquid effluents and establishes norms for wastewater from hotel infrastructures, from manufacturing or transformation activity</w:t>
            </w:r>
            <w:r w:rsidR="004A667A" w:rsidRPr="00CD7E37">
              <w:rPr>
                <w:sz w:val="18"/>
                <w:szCs w:val="18"/>
              </w:rPr>
              <w:t>,</w:t>
            </w:r>
            <w:r w:rsidR="008B7DFC" w:rsidRPr="00CD7E37">
              <w:rPr>
                <w:sz w:val="18"/>
                <w:szCs w:val="18"/>
              </w:rPr>
              <w:t xml:space="preserve"> as well as drain waters from </w:t>
            </w:r>
            <w:r w:rsidR="004A667A" w:rsidRPr="00CD7E37">
              <w:rPr>
                <w:sz w:val="18"/>
                <w:szCs w:val="18"/>
              </w:rPr>
              <w:t>petroleum-</w:t>
            </w:r>
            <w:r w:rsidR="0016317F" w:rsidRPr="00CD7E37">
              <w:rPr>
                <w:sz w:val="18"/>
                <w:szCs w:val="18"/>
              </w:rPr>
              <w:t>related activities (gas stations, vehicle wash water, garages, storage units)</w:t>
            </w:r>
            <w:r w:rsidR="004A667A" w:rsidRPr="00CD7E37">
              <w:rPr>
                <w:sz w:val="18"/>
                <w:szCs w:val="18"/>
              </w:rPr>
              <w:t>.</w:t>
            </w:r>
          </w:p>
        </w:tc>
        <w:tc>
          <w:tcPr>
            <w:tcW w:w="4480" w:type="dxa"/>
          </w:tcPr>
          <w:p w:rsidR="00B43B22" w:rsidRPr="00CD7E37" w:rsidRDefault="00B43B22" w:rsidP="00EC0F68">
            <w:pPr>
              <w:pStyle w:val="ListParagraph"/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80" w:after="80"/>
              <w:ind w:left="284" w:hanging="284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For the discharge of mercury in liquid effluents, the threshold is 0.005 mg/l.</w:t>
            </w:r>
          </w:p>
          <w:p w:rsidR="00B43B22" w:rsidRPr="00CD7E37" w:rsidRDefault="00677EBB">
            <w:pPr>
              <w:pStyle w:val="ListParagraph"/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80" w:after="80"/>
              <w:ind w:left="284" w:hanging="284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For t</w:t>
            </w:r>
            <w:r w:rsidR="00B43B22" w:rsidRPr="00CD7E37">
              <w:rPr>
                <w:sz w:val="18"/>
                <w:szCs w:val="18"/>
              </w:rPr>
              <w:t>he</w:t>
            </w:r>
            <w:r w:rsidRPr="00CD7E37">
              <w:rPr>
                <w:sz w:val="18"/>
                <w:szCs w:val="18"/>
              </w:rPr>
              <w:t xml:space="preserve"> spreading of sludges</w:t>
            </w:r>
            <w:r w:rsidR="00B43B22" w:rsidRPr="00CD7E37">
              <w:rPr>
                <w:sz w:val="18"/>
                <w:szCs w:val="18"/>
              </w:rPr>
              <w:t xml:space="preserve"> from wastewater treatment, </w:t>
            </w:r>
            <w:r w:rsidRPr="00CD7E37">
              <w:rPr>
                <w:sz w:val="18"/>
                <w:szCs w:val="18"/>
              </w:rPr>
              <w:t xml:space="preserve">the maximum concentration in the sludge is </w:t>
            </w:r>
            <w:r w:rsidR="00B43B22" w:rsidRPr="00CD7E37">
              <w:rPr>
                <w:sz w:val="18"/>
                <w:szCs w:val="18"/>
              </w:rPr>
              <w:t>20 mg/kg</w:t>
            </w:r>
            <w:r w:rsidRPr="00CD7E37">
              <w:rPr>
                <w:sz w:val="18"/>
                <w:szCs w:val="18"/>
              </w:rPr>
              <w:t xml:space="preserve"> of dry matter, with a maximum intake of 1</w:t>
            </w:r>
            <w:r w:rsidR="00E13714" w:rsidRPr="00CD7E37">
              <w:rPr>
                <w:sz w:val="18"/>
                <w:szCs w:val="18"/>
              </w:rPr>
              <w:t> </w:t>
            </w:r>
            <w:r w:rsidRPr="00CD7E37">
              <w:rPr>
                <w:sz w:val="18"/>
                <w:szCs w:val="18"/>
              </w:rPr>
              <w:t>kg/ha/10 years.</w:t>
            </w:r>
          </w:p>
        </w:tc>
        <w:tc>
          <w:tcPr>
            <w:tcW w:w="4450" w:type="dxa"/>
            <w:shd w:val="clear" w:color="auto" w:fill="auto"/>
          </w:tcPr>
          <w:p w:rsidR="004233E2" w:rsidRPr="00CD7E37" w:rsidRDefault="00404B2E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Waste management is still </w:t>
            </w:r>
            <w:r w:rsidR="00677EBB" w:rsidRPr="00CD7E37">
              <w:rPr>
                <w:sz w:val="18"/>
                <w:szCs w:val="18"/>
              </w:rPr>
              <w:t>limited</w:t>
            </w:r>
            <w:r w:rsidRPr="00CD7E37">
              <w:rPr>
                <w:sz w:val="18"/>
                <w:szCs w:val="18"/>
              </w:rPr>
              <w:t xml:space="preserve"> </w:t>
            </w:r>
            <w:r w:rsidR="00677EBB" w:rsidRPr="00CD7E37">
              <w:rPr>
                <w:sz w:val="18"/>
                <w:szCs w:val="18"/>
              </w:rPr>
              <w:t>in Madagascar</w:t>
            </w:r>
            <w:r w:rsidR="00C74894" w:rsidRPr="00CD7E37">
              <w:rPr>
                <w:sz w:val="18"/>
                <w:szCs w:val="18"/>
              </w:rPr>
              <w:t>,</w:t>
            </w:r>
            <w:r w:rsidR="00677EBB" w:rsidRPr="00CD7E37">
              <w:rPr>
                <w:sz w:val="18"/>
                <w:szCs w:val="18"/>
              </w:rPr>
              <w:t xml:space="preserve"> </w:t>
            </w:r>
            <w:r w:rsidRPr="00CD7E37">
              <w:rPr>
                <w:sz w:val="18"/>
                <w:szCs w:val="18"/>
              </w:rPr>
              <w:t xml:space="preserve">and in general no sorting of waste is done. </w:t>
            </w:r>
            <w:r w:rsidR="00673E24" w:rsidRPr="00CD7E37">
              <w:rPr>
                <w:sz w:val="18"/>
                <w:szCs w:val="18"/>
              </w:rPr>
              <w:t>Mercury</w:t>
            </w:r>
            <w:r w:rsidR="00C74894" w:rsidRPr="00CD7E37">
              <w:rPr>
                <w:sz w:val="18"/>
                <w:szCs w:val="18"/>
              </w:rPr>
              <w:t>-</w:t>
            </w:r>
            <w:r w:rsidR="00673E24" w:rsidRPr="00CD7E37">
              <w:rPr>
                <w:sz w:val="18"/>
                <w:szCs w:val="18"/>
              </w:rPr>
              <w:t>containing waste</w:t>
            </w:r>
            <w:r w:rsidRPr="00CD7E37">
              <w:rPr>
                <w:sz w:val="18"/>
                <w:szCs w:val="18"/>
              </w:rPr>
              <w:t>s</w:t>
            </w:r>
            <w:r w:rsidR="00673E24" w:rsidRPr="00CD7E37">
              <w:rPr>
                <w:sz w:val="18"/>
                <w:szCs w:val="18"/>
              </w:rPr>
              <w:t xml:space="preserve"> (batteries, lamps, </w:t>
            </w:r>
            <w:r w:rsidRPr="00CD7E37">
              <w:rPr>
                <w:sz w:val="18"/>
                <w:szCs w:val="18"/>
              </w:rPr>
              <w:t>electrical switches</w:t>
            </w:r>
            <w:r w:rsidR="00C74894" w:rsidRPr="00CD7E37">
              <w:rPr>
                <w:sz w:val="18"/>
                <w:szCs w:val="18"/>
              </w:rPr>
              <w:t>,</w:t>
            </w:r>
            <w:r w:rsidRPr="00CD7E37">
              <w:rPr>
                <w:sz w:val="18"/>
                <w:szCs w:val="18"/>
              </w:rPr>
              <w:t xml:space="preserve"> etc.)</w:t>
            </w:r>
            <w:r w:rsidR="00673E24" w:rsidRPr="00CD7E37">
              <w:rPr>
                <w:sz w:val="18"/>
                <w:szCs w:val="18"/>
              </w:rPr>
              <w:t xml:space="preserve"> are mixed with other household waste. </w:t>
            </w:r>
            <w:r w:rsidRPr="00CD7E37">
              <w:rPr>
                <w:sz w:val="18"/>
                <w:szCs w:val="18"/>
              </w:rPr>
              <w:t>Hence the steps</w:t>
            </w:r>
            <w:r w:rsidR="002B1C41" w:rsidRPr="00CD7E37">
              <w:rPr>
                <w:sz w:val="18"/>
                <w:szCs w:val="18"/>
              </w:rPr>
              <w:t xml:space="preserve"> to ensure</w:t>
            </w:r>
            <w:r w:rsidRPr="00CD7E37">
              <w:rPr>
                <w:sz w:val="18"/>
                <w:szCs w:val="18"/>
              </w:rPr>
              <w:t xml:space="preserve"> the environmentally sound management of wastes containing mercury, including in handling, sorting, collection, packaging, labelling, transportation and storage, are not met. </w:t>
            </w:r>
          </w:p>
          <w:p w:rsidR="00677EBB" w:rsidRPr="00CD7E37" w:rsidRDefault="00677EBB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Despite </w:t>
            </w:r>
            <w:r w:rsidR="008B7DFC" w:rsidRPr="00CD7E37">
              <w:rPr>
                <w:sz w:val="18"/>
                <w:szCs w:val="18"/>
              </w:rPr>
              <w:t xml:space="preserve">the existence of </w:t>
            </w:r>
            <w:r w:rsidRPr="00CD7E37">
              <w:rPr>
                <w:sz w:val="18"/>
                <w:szCs w:val="18"/>
              </w:rPr>
              <w:t>norms for wastewater, Mad</w:t>
            </w:r>
            <w:r w:rsidR="002B1C41" w:rsidRPr="00CD7E37">
              <w:rPr>
                <w:sz w:val="18"/>
                <w:szCs w:val="18"/>
              </w:rPr>
              <w:t xml:space="preserve">agascar does not have </w:t>
            </w:r>
            <w:r w:rsidRPr="00CD7E37">
              <w:rPr>
                <w:sz w:val="18"/>
                <w:szCs w:val="18"/>
              </w:rPr>
              <w:t>equipment for</w:t>
            </w:r>
            <w:r w:rsidR="002B1C41" w:rsidRPr="00CD7E37">
              <w:rPr>
                <w:sz w:val="18"/>
                <w:szCs w:val="18"/>
              </w:rPr>
              <w:t xml:space="preserve"> measuring</w:t>
            </w:r>
            <w:r w:rsidRPr="00CD7E37">
              <w:rPr>
                <w:sz w:val="18"/>
                <w:szCs w:val="18"/>
              </w:rPr>
              <w:t xml:space="preserve"> mercury.</w:t>
            </w:r>
          </w:p>
        </w:tc>
      </w:tr>
      <w:tr w:rsidR="001E1EB3" w:rsidRPr="00CD7E37" w:rsidTr="008B74D2">
        <w:tc>
          <w:tcPr>
            <w:tcW w:w="1787" w:type="dxa"/>
            <w:shd w:val="clear" w:color="auto" w:fill="auto"/>
          </w:tcPr>
          <w:p w:rsidR="001E1EB3" w:rsidRPr="00CD7E37" w:rsidRDefault="001E1EB3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Republic of Korea</w:t>
            </w:r>
          </w:p>
        </w:tc>
        <w:tc>
          <w:tcPr>
            <w:tcW w:w="4110" w:type="dxa"/>
            <w:shd w:val="clear" w:color="auto" w:fill="auto"/>
          </w:tcPr>
          <w:p w:rsidR="001E1EB3" w:rsidRPr="00CD7E37" w:rsidRDefault="003C2546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A t</w:t>
            </w:r>
            <w:r w:rsidR="001E1EB3" w:rsidRPr="00CD7E37">
              <w:rPr>
                <w:sz w:val="18"/>
                <w:szCs w:val="18"/>
              </w:rPr>
              <w:t xml:space="preserve">hreshold </w:t>
            </w:r>
            <w:r w:rsidRPr="00CD7E37">
              <w:rPr>
                <w:sz w:val="18"/>
                <w:szCs w:val="18"/>
              </w:rPr>
              <w:t xml:space="preserve">for mercury </w:t>
            </w:r>
            <w:r w:rsidR="001E1EB3" w:rsidRPr="00CD7E37">
              <w:rPr>
                <w:sz w:val="18"/>
                <w:szCs w:val="18"/>
              </w:rPr>
              <w:t xml:space="preserve">is used </w:t>
            </w:r>
            <w:r w:rsidRPr="00CD7E37">
              <w:rPr>
                <w:sz w:val="18"/>
                <w:szCs w:val="18"/>
              </w:rPr>
              <w:t xml:space="preserve">in the classification of </w:t>
            </w:r>
            <w:r w:rsidR="007E793D" w:rsidRPr="00CD7E37">
              <w:rPr>
                <w:sz w:val="18"/>
                <w:szCs w:val="18"/>
              </w:rPr>
              <w:t xml:space="preserve">waste as </w:t>
            </w:r>
            <w:r w:rsidR="001E1EB3" w:rsidRPr="00CD7E37">
              <w:rPr>
                <w:sz w:val="18"/>
                <w:szCs w:val="18"/>
              </w:rPr>
              <w:t>hazardous</w:t>
            </w:r>
            <w:r w:rsidRPr="00CD7E37">
              <w:rPr>
                <w:sz w:val="18"/>
                <w:szCs w:val="18"/>
              </w:rPr>
              <w:t xml:space="preserve"> waste</w:t>
            </w:r>
            <w:r w:rsidR="001E1EB3" w:rsidRPr="00CD7E37">
              <w:rPr>
                <w:sz w:val="18"/>
                <w:szCs w:val="18"/>
              </w:rPr>
              <w:t xml:space="preserve">. </w:t>
            </w:r>
          </w:p>
          <w:p w:rsidR="003C2546" w:rsidRPr="00CD7E37" w:rsidRDefault="007E793D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Mercury-added products that are disposed of are recycled, following prior recovery of the mercury, and the residues </w:t>
            </w:r>
            <w:r w:rsidR="004A667A" w:rsidRPr="00CD7E37">
              <w:rPr>
                <w:sz w:val="18"/>
                <w:szCs w:val="18"/>
              </w:rPr>
              <w:t xml:space="preserve">are </w:t>
            </w:r>
            <w:r w:rsidRPr="00CD7E37">
              <w:rPr>
                <w:sz w:val="18"/>
                <w:szCs w:val="18"/>
              </w:rPr>
              <w:t>disposed of in general waste landfill provided the mercury content is below the threshold.</w:t>
            </w:r>
          </w:p>
        </w:tc>
        <w:tc>
          <w:tcPr>
            <w:tcW w:w="4480" w:type="dxa"/>
          </w:tcPr>
          <w:p w:rsidR="001E1EB3" w:rsidRPr="00CD7E37" w:rsidRDefault="001E1EB3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Wastes containing more than 0.005 mg/L of total mercury by leaching test are classified as hazardous wastes</w:t>
            </w:r>
            <w:r w:rsidR="007E793D" w:rsidRPr="00CD7E37">
              <w:rPr>
                <w:sz w:val="18"/>
                <w:szCs w:val="18"/>
              </w:rPr>
              <w:t xml:space="preserve"> and disposed of in hazardous waste landfill sites</w:t>
            </w:r>
            <w:r w:rsidR="00EF11DA" w:rsidRPr="00CD7E37">
              <w:rPr>
                <w:sz w:val="18"/>
                <w:szCs w:val="18"/>
              </w:rPr>
              <w:t>.</w:t>
            </w:r>
            <w:r w:rsidR="007E793D" w:rsidRPr="00CD7E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0" w:type="dxa"/>
            <w:shd w:val="clear" w:color="auto" w:fill="auto"/>
          </w:tcPr>
          <w:p w:rsidR="002B1C41" w:rsidRPr="00CD7E37" w:rsidRDefault="001E1EB3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The </w:t>
            </w:r>
            <w:r w:rsidRPr="00CD7E37">
              <w:rPr>
                <w:iCs/>
                <w:sz w:val="18"/>
                <w:szCs w:val="18"/>
              </w:rPr>
              <w:t>Wastes Control Act</w:t>
            </w:r>
            <w:r w:rsidR="002B1C41" w:rsidRPr="00CD7E37">
              <w:rPr>
                <w:sz w:val="18"/>
                <w:szCs w:val="18"/>
              </w:rPr>
              <w:t xml:space="preserve"> is the Korean</w:t>
            </w:r>
            <w:r w:rsidRPr="00CD7E37">
              <w:rPr>
                <w:sz w:val="18"/>
                <w:szCs w:val="18"/>
              </w:rPr>
              <w:t xml:space="preserve"> waste management</w:t>
            </w:r>
            <w:r w:rsidR="002B1C41" w:rsidRPr="00CD7E37">
              <w:rPr>
                <w:sz w:val="18"/>
                <w:szCs w:val="18"/>
              </w:rPr>
              <w:t xml:space="preserve"> legislation</w:t>
            </w:r>
            <w:r w:rsidR="00892ADF" w:rsidRPr="00CD7E37">
              <w:rPr>
                <w:sz w:val="18"/>
                <w:szCs w:val="18"/>
              </w:rPr>
              <w:t>.</w:t>
            </w:r>
          </w:p>
        </w:tc>
      </w:tr>
      <w:tr w:rsidR="000F3A83" w:rsidRPr="00CD7E37" w:rsidTr="008B74D2">
        <w:tc>
          <w:tcPr>
            <w:tcW w:w="1787" w:type="dxa"/>
            <w:shd w:val="clear" w:color="auto" w:fill="auto"/>
          </w:tcPr>
          <w:p w:rsidR="0015219A" w:rsidRPr="00CD7E37" w:rsidRDefault="0015219A" w:rsidP="004A667A">
            <w:pPr>
              <w:keepNext/>
              <w:keepLines/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Switzerland</w:t>
            </w:r>
            <w:r w:rsidR="000F3A83" w:rsidRPr="00CD7E37">
              <w:rPr>
                <w:sz w:val="18"/>
                <w:szCs w:val="18"/>
              </w:rPr>
              <w:t xml:space="preserve"> </w:t>
            </w:r>
            <w:r w:rsidR="004A667A" w:rsidRPr="00CD7E37">
              <w:rPr>
                <w:sz w:val="18"/>
                <w:szCs w:val="18"/>
              </w:rPr>
              <w:t>–</w:t>
            </w:r>
            <w:r w:rsidR="000F3A83" w:rsidRPr="00CD7E37">
              <w:rPr>
                <w:sz w:val="18"/>
                <w:szCs w:val="18"/>
              </w:rPr>
              <w:t xml:space="preserve"> 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submission complements information provided in </w:t>
            </w:r>
            <w:r w:rsidR="004A667A" w:rsidRPr="00CD7E37">
              <w:rPr>
                <w:i/>
                <w:iCs/>
                <w:sz w:val="18"/>
                <w:szCs w:val="18"/>
              </w:rPr>
              <w:t>follow-</w:t>
            </w:r>
            <w:r w:rsidR="000F3A83" w:rsidRPr="00CD7E37">
              <w:rPr>
                <w:i/>
                <w:iCs/>
                <w:sz w:val="18"/>
                <w:szCs w:val="18"/>
              </w:rPr>
              <w:t xml:space="preserve">up to </w:t>
            </w:r>
            <w:r w:rsidR="004A667A" w:rsidRPr="00CD7E37">
              <w:rPr>
                <w:i/>
                <w:iCs/>
                <w:sz w:val="18"/>
                <w:szCs w:val="18"/>
              </w:rPr>
              <w:t xml:space="preserve">the sixth session of the committee </w:t>
            </w:r>
            <w:r w:rsidR="000F3A83" w:rsidRPr="00CD7E37">
              <w:rPr>
                <w:i/>
                <w:iCs/>
                <w:sz w:val="18"/>
                <w:szCs w:val="18"/>
              </w:rPr>
              <w:t>and compiled in document UNEP(DTIE)/Hg/INC.7/19</w:t>
            </w:r>
          </w:p>
        </w:tc>
        <w:tc>
          <w:tcPr>
            <w:tcW w:w="4110" w:type="dxa"/>
            <w:shd w:val="clear" w:color="auto" w:fill="auto"/>
          </w:tcPr>
          <w:p w:rsidR="00B9321D" w:rsidRPr="00CD7E37" w:rsidRDefault="007E793D" w:rsidP="005D04E8">
            <w:pPr>
              <w:keepNext/>
              <w:keepLines/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M</w:t>
            </w:r>
            <w:r w:rsidR="008711BF" w:rsidRPr="00CD7E37">
              <w:rPr>
                <w:sz w:val="18"/>
                <w:szCs w:val="18"/>
              </w:rPr>
              <w:t>ercury waste thresholds</w:t>
            </w:r>
            <w:r w:rsidRPr="00CD7E37">
              <w:rPr>
                <w:sz w:val="18"/>
                <w:szCs w:val="18"/>
              </w:rPr>
              <w:t xml:space="preserve"> are not yet specified in the new ordinances elaborated to contribute to the implementation of the Minamata Convention</w:t>
            </w:r>
            <w:r w:rsidR="00EF11DA" w:rsidRPr="00CD7E37">
              <w:rPr>
                <w:sz w:val="18"/>
                <w:szCs w:val="18"/>
              </w:rPr>
              <w:t>.</w:t>
            </w:r>
          </w:p>
          <w:p w:rsidR="0015219A" w:rsidRPr="00CD7E37" w:rsidRDefault="004A667A" w:rsidP="004A667A">
            <w:pPr>
              <w:keepNext/>
              <w:keepLines/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However, t</w:t>
            </w:r>
            <w:r w:rsidR="008711BF" w:rsidRPr="00CD7E37">
              <w:rPr>
                <w:sz w:val="18"/>
                <w:szCs w:val="18"/>
              </w:rPr>
              <w:t>he</w:t>
            </w:r>
            <w:r w:rsidR="007E793D" w:rsidRPr="00CD7E37">
              <w:rPr>
                <w:sz w:val="18"/>
                <w:szCs w:val="18"/>
              </w:rPr>
              <w:t xml:space="preserve"> Waste O</w:t>
            </w:r>
            <w:r w:rsidR="008711BF" w:rsidRPr="00CD7E37">
              <w:rPr>
                <w:sz w:val="18"/>
                <w:szCs w:val="18"/>
              </w:rPr>
              <w:t>rdinance</w:t>
            </w:r>
            <w:r w:rsidR="007E793D" w:rsidRPr="00CD7E37">
              <w:rPr>
                <w:rStyle w:val="FootnoteReference"/>
                <w:sz w:val="18"/>
              </w:rPr>
              <w:footnoteReference w:id="5"/>
            </w:r>
            <w:r w:rsidR="007E793D" w:rsidRPr="00CD7E37">
              <w:rPr>
                <w:sz w:val="18"/>
                <w:szCs w:val="18"/>
              </w:rPr>
              <w:t xml:space="preserve"> sets thresholds for mercury content in</w:t>
            </w:r>
            <w:r w:rsidR="008711BF" w:rsidRPr="00CD7E37">
              <w:rPr>
                <w:sz w:val="18"/>
                <w:szCs w:val="18"/>
              </w:rPr>
              <w:t xml:space="preserve"> recycled materials, raw materials </w:t>
            </w:r>
            <w:r w:rsidR="007E793D" w:rsidRPr="00CD7E37">
              <w:rPr>
                <w:sz w:val="18"/>
                <w:szCs w:val="18"/>
              </w:rPr>
              <w:t xml:space="preserve">used </w:t>
            </w:r>
            <w:r w:rsidR="008711BF" w:rsidRPr="00CD7E37">
              <w:rPr>
                <w:sz w:val="18"/>
                <w:szCs w:val="18"/>
              </w:rPr>
              <w:t>in cement and concrete production</w:t>
            </w:r>
            <w:r w:rsidRPr="00CD7E37">
              <w:rPr>
                <w:sz w:val="18"/>
                <w:szCs w:val="18"/>
              </w:rPr>
              <w:t>,</w:t>
            </w:r>
            <w:r w:rsidR="008711BF" w:rsidRPr="00CD7E37">
              <w:rPr>
                <w:sz w:val="18"/>
                <w:szCs w:val="18"/>
              </w:rPr>
              <w:t xml:space="preserve"> </w:t>
            </w:r>
            <w:r w:rsidRPr="00CD7E37">
              <w:rPr>
                <w:sz w:val="18"/>
                <w:szCs w:val="18"/>
              </w:rPr>
              <w:t>and</w:t>
            </w:r>
            <w:r w:rsidR="008711BF" w:rsidRPr="00CD7E37">
              <w:rPr>
                <w:sz w:val="18"/>
                <w:szCs w:val="18"/>
              </w:rPr>
              <w:t xml:space="preserve"> for landfill sites.</w:t>
            </w:r>
          </w:p>
        </w:tc>
        <w:tc>
          <w:tcPr>
            <w:tcW w:w="4480" w:type="dxa"/>
          </w:tcPr>
          <w:p w:rsidR="0015219A" w:rsidRPr="00CD7E37" w:rsidRDefault="007E793D" w:rsidP="005D04E8">
            <w:pPr>
              <w:keepNext/>
              <w:keepLines/>
              <w:tabs>
                <w:tab w:val="clear" w:pos="1814"/>
                <w:tab w:val="clear" w:pos="2381"/>
                <w:tab w:val="clear" w:pos="2948"/>
                <w:tab w:val="clear" w:pos="3515"/>
                <w:tab w:val="left" w:pos="175"/>
                <w:tab w:val="left" w:pos="1871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T</w:t>
            </w:r>
            <w:r w:rsidR="008711BF" w:rsidRPr="00CD7E37">
              <w:rPr>
                <w:sz w:val="18"/>
                <w:szCs w:val="18"/>
              </w:rPr>
              <w:t>he Waste Ordinance</w:t>
            </w:r>
            <w:r w:rsidRPr="00CD7E37">
              <w:rPr>
                <w:sz w:val="18"/>
                <w:szCs w:val="18"/>
              </w:rPr>
              <w:t xml:space="preserve"> sets the following mercury thresholds:</w:t>
            </w:r>
          </w:p>
          <w:p w:rsidR="00B9321D" w:rsidRPr="00CD7E37" w:rsidRDefault="00B9321D" w:rsidP="005D04E8">
            <w:pPr>
              <w:keepNext/>
              <w:keepLines/>
              <w:numPr>
                <w:ilvl w:val="0"/>
                <w:numId w:val="16"/>
              </w:numPr>
              <w:tabs>
                <w:tab w:val="left" w:pos="374"/>
                <w:tab w:val="left" w:pos="4082"/>
              </w:tabs>
              <w:spacing w:before="80" w:after="80"/>
              <w:ind w:left="374" w:hanging="374"/>
              <w:rPr>
                <w:sz w:val="18"/>
                <w:szCs w:val="18"/>
                <w:lang w:eastAsia="zh-CN"/>
              </w:rPr>
            </w:pPr>
            <w:r w:rsidRPr="00CD7E37">
              <w:rPr>
                <w:sz w:val="18"/>
                <w:szCs w:val="18"/>
              </w:rPr>
              <w:t>0</w:t>
            </w:r>
            <w:r w:rsidR="004A667A" w:rsidRPr="00CD7E37">
              <w:rPr>
                <w:sz w:val="18"/>
                <w:szCs w:val="18"/>
              </w:rPr>
              <w:t>.</w:t>
            </w:r>
            <w:r w:rsidRPr="00CD7E37">
              <w:rPr>
                <w:sz w:val="18"/>
                <w:szCs w:val="18"/>
              </w:rPr>
              <w:t xml:space="preserve">5 </w:t>
            </w:r>
            <w:r w:rsidRPr="00CD7E37">
              <w:rPr>
                <w:sz w:val="18"/>
                <w:szCs w:val="18"/>
                <w:lang w:eastAsia="zh-CN"/>
              </w:rPr>
              <w:t>mg/kg dry matter for demolition and excavation material (unpolluted)</w:t>
            </w:r>
          </w:p>
          <w:p w:rsidR="00B9321D" w:rsidRPr="00CD7E37" w:rsidRDefault="00B9321D" w:rsidP="005D04E8">
            <w:pPr>
              <w:keepNext/>
              <w:keepLines/>
              <w:numPr>
                <w:ilvl w:val="0"/>
                <w:numId w:val="16"/>
              </w:numPr>
              <w:tabs>
                <w:tab w:val="left" w:pos="374"/>
                <w:tab w:val="left" w:pos="4082"/>
              </w:tabs>
              <w:spacing w:before="80" w:after="80"/>
              <w:ind w:left="374" w:hanging="374"/>
              <w:rPr>
                <w:sz w:val="18"/>
                <w:szCs w:val="18"/>
                <w:lang w:eastAsia="zh-CN"/>
              </w:rPr>
            </w:pPr>
            <w:r w:rsidRPr="00CD7E37">
              <w:rPr>
                <w:sz w:val="18"/>
                <w:szCs w:val="18"/>
                <w:lang w:eastAsia="zh-CN"/>
              </w:rPr>
              <w:t>1 mg/kg dry matter for demolition and excavation material (subject to further use in construction materials)</w:t>
            </w:r>
          </w:p>
          <w:p w:rsidR="00B9321D" w:rsidRPr="00CD7E37" w:rsidRDefault="00B9321D" w:rsidP="005D04E8">
            <w:pPr>
              <w:keepNext/>
              <w:keepLines/>
              <w:numPr>
                <w:ilvl w:val="0"/>
                <w:numId w:val="16"/>
              </w:numPr>
              <w:tabs>
                <w:tab w:val="left" w:pos="374"/>
                <w:tab w:val="left" w:pos="4082"/>
              </w:tabs>
              <w:spacing w:before="80" w:after="80"/>
              <w:ind w:left="374" w:hanging="374"/>
              <w:rPr>
                <w:sz w:val="18"/>
                <w:szCs w:val="18"/>
                <w:lang w:eastAsia="zh-CN"/>
              </w:rPr>
            </w:pPr>
            <w:r w:rsidRPr="00CD7E37">
              <w:rPr>
                <w:sz w:val="18"/>
                <w:szCs w:val="18"/>
                <w:lang w:eastAsia="zh-CN"/>
              </w:rPr>
              <w:t>1 mg/kg dry matter for waste used as raw material in cement and concrete production (use of waste as raw material</w:t>
            </w:r>
            <w:r w:rsidR="006734DC" w:rsidRPr="00CD7E37">
              <w:rPr>
                <w:sz w:val="18"/>
                <w:szCs w:val="18"/>
                <w:lang w:eastAsia="zh-CN"/>
              </w:rPr>
              <w:t>,</w:t>
            </w:r>
            <w:r w:rsidRPr="00CD7E37">
              <w:rPr>
                <w:sz w:val="18"/>
                <w:szCs w:val="18"/>
                <w:lang w:eastAsia="zh-CN"/>
              </w:rPr>
              <w:t xml:space="preserve"> raw mix corrective </w:t>
            </w:r>
            <w:r w:rsidR="006734DC" w:rsidRPr="00CD7E37">
              <w:rPr>
                <w:sz w:val="18"/>
                <w:szCs w:val="18"/>
                <w:lang w:eastAsia="zh-CN"/>
              </w:rPr>
              <w:t xml:space="preserve">and </w:t>
            </w:r>
            <w:r w:rsidRPr="00CD7E37">
              <w:rPr>
                <w:sz w:val="18"/>
                <w:szCs w:val="18"/>
                <w:lang w:eastAsia="zh-CN"/>
              </w:rPr>
              <w:t>alternative fuel in cement clinker production)</w:t>
            </w:r>
          </w:p>
          <w:p w:rsidR="00B9321D" w:rsidRPr="00CD7E37" w:rsidRDefault="00B9321D" w:rsidP="005D04E8">
            <w:pPr>
              <w:keepNext/>
              <w:keepLines/>
              <w:numPr>
                <w:ilvl w:val="0"/>
                <w:numId w:val="16"/>
              </w:numPr>
              <w:tabs>
                <w:tab w:val="left" w:pos="374"/>
                <w:tab w:val="left" w:pos="4082"/>
              </w:tabs>
              <w:spacing w:before="80" w:after="80"/>
              <w:ind w:left="374" w:hanging="374"/>
              <w:rPr>
                <w:sz w:val="18"/>
                <w:szCs w:val="18"/>
                <w:lang w:eastAsia="zh-CN"/>
              </w:rPr>
            </w:pPr>
            <w:r w:rsidRPr="00CD7E37">
              <w:rPr>
                <w:sz w:val="18"/>
                <w:szCs w:val="18"/>
                <w:lang w:eastAsia="zh-CN"/>
              </w:rPr>
              <w:t xml:space="preserve">2 mg/kg dry matter for waste </w:t>
            </w:r>
            <w:r w:rsidR="007E793D" w:rsidRPr="00CD7E37">
              <w:rPr>
                <w:sz w:val="18"/>
                <w:szCs w:val="18"/>
                <w:lang w:eastAsia="zh-CN"/>
              </w:rPr>
              <w:t>disposed of in</w:t>
            </w:r>
            <w:r w:rsidRPr="00CD7E37">
              <w:rPr>
                <w:sz w:val="18"/>
                <w:szCs w:val="18"/>
                <w:lang w:eastAsia="zh-CN"/>
              </w:rPr>
              <w:t xml:space="preserve"> a </w:t>
            </w:r>
            <w:r w:rsidR="004A667A" w:rsidRPr="00CD7E37">
              <w:rPr>
                <w:sz w:val="18"/>
                <w:szCs w:val="18"/>
                <w:lang w:eastAsia="zh-CN"/>
              </w:rPr>
              <w:t xml:space="preserve">type </w:t>
            </w:r>
            <w:r w:rsidRPr="00CD7E37">
              <w:rPr>
                <w:sz w:val="18"/>
                <w:szCs w:val="18"/>
                <w:lang w:eastAsia="zh-CN"/>
              </w:rPr>
              <w:t xml:space="preserve">B landfill (inert waste) </w:t>
            </w:r>
          </w:p>
          <w:p w:rsidR="00B9321D" w:rsidRPr="00CD7E37" w:rsidRDefault="00B9321D" w:rsidP="005D04E8">
            <w:pPr>
              <w:keepNext/>
              <w:keepLines/>
              <w:numPr>
                <w:ilvl w:val="0"/>
                <w:numId w:val="16"/>
              </w:numPr>
              <w:tabs>
                <w:tab w:val="left" w:pos="374"/>
                <w:tab w:val="left" w:pos="4082"/>
              </w:tabs>
              <w:spacing w:before="80" w:after="80"/>
              <w:ind w:left="374" w:hanging="374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  <w:lang w:eastAsia="zh-CN"/>
              </w:rPr>
              <w:t>0</w:t>
            </w:r>
            <w:r w:rsidR="004A667A" w:rsidRPr="00CD7E37">
              <w:rPr>
                <w:sz w:val="18"/>
                <w:szCs w:val="18"/>
                <w:lang w:eastAsia="zh-CN"/>
              </w:rPr>
              <w:t>.</w:t>
            </w:r>
            <w:r w:rsidRPr="00CD7E37">
              <w:rPr>
                <w:sz w:val="18"/>
                <w:szCs w:val="18"/>
                <w:lang w:eastAsia="zh-CN"/>
              </w:rPr>
              <w:t xml:space="preserve">01 mg/L dry matter (leaching) for waste </w:t>
            </w:r>
            <w:r w:rsidR="007E793D" w:rsidRPr="00CD7E37">
              <w:rPr>
                <w:sz w:val="18"/>
                <w:szCs w:val="18"/>
                <w:lang w:eastAsia="zh-CN"/>
              </w:rPr>
              <w:t>disposed of</w:t>
            </w:r>
            <w:r w:rsidRPr="00CD7E37">
              <w:rPr>
                <w:sz w:val="18"/>
                <w:szCs w:val="18"/>
                <w:lang w:eastAsia="zh-CN"/>
              </w:rPr>
              <w:t xml:space="preserve"> in a </w:t>
            </w:r>
            <w:r w:rsidR="004A667A" w:rsidRPr="00CD7E37">
              <w:rPr>
                <w:sz w:val="18"/>
                <w:szCs w:val="18"/>
                <w:lang w:eastAsia="zh-CN"/>
              </w:rPr>
              <w:t xml:space="preserve">type </w:t>
            </w:r>
            <w:r w:rsidRPr="00CD7E37">
              <w:rPr>
                <w:sz w:val="18"/>
                <w:szCs w:val="18"/>
                <w:lang w:eastAsia="zh-CN"/>
              </w:rPr>
              <w:t>C landfill (solidified fly ashes of municipal solid waste incineration). The</w:t>
            </w:r>
            <w:r w:rsidRPr="00CD7E37">
              <w:rPr>
                <w:sz w:val="18"/>
                <w:szCs w:val="18"/>
              </w:rPr>
              <w:t xml:space="preserve"> total content of mercury may not exceed 5 mg/kg dry matter for metal-containing, inorganic and badly soluble waste </w:t>
            </w:r>
          </w:p>
          <w:p w:rsidR="008711BF" w:rsidRPr="00CD7E37" w:rsidRDefault="00B9321D" w:rsidP="00EC0F68">
            <w:pPr>
              <w:keepNext/>
              <w:keepLines/>
              <w:numPr>
                <w:ilvl w:val="0"/>
                <w:numId w:val="16"/>
              </w:numPr>
              <w:tabs>
                <w:tab w:val="left" w:pos="374"/>
                <w:tab w:val="left" w:pos="4082"/>
              </w:tabs>
              <w:spacing w:before="80" w:after="80"/>
              <w:ind w:left="374" w:hanging="374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5 mg/kg dry matter for waste put in a </w:t>
            </w:r>
            <w:r w:rsidR="004A667A" w:rsidRPr="00CD7E37">
              <w:rPr>
                <w:sz w:val="18"/>
                <w:szCs w:val="18"/>
              </w:rPr>
              <w:t xml:space="preserve">type </w:t>
            </w:r>
            <w:r w:rsidRPr="00CD7E37">
              <w:rPr>
                <w:sz w:val="18"/>
                <w:szCs w:val="18"/>
              </w:rPr>
              <w:t xml:space="preserve">D landfill (slag of </w:t>
            </w:r>
            <w:r w:rsidR="004A667A" w:rsidRPr="00CD7E37">
              <w:rPr>
                <w:sz w:val="18"/>
                <w:szCs w:val="18"/>
              </w:rPr>
              <w:t>municipal solid waste incineration</w:t>
            </w:r>
            <w:r w:rsidRPr="00CD7E37">
              <w:rPr>
                <w:sz w:val="18"/>
                <w:szCs w:val="18"/>
              </w:rPr>
              <w:t xml:space="preserve">) and </w:t>
            </w:r>
            <w:r w:rsidR="004A667A" w:rsidRPr="00CD7E37">
              <w:rPr>
                <w:sz w:val="18"/>
                <w:szCs w:val="18"/>
              </w:rPr>
              <w:t xml:space="preserve">type </w:t>
            </w:r>
            <w:r w:rsidRPr="00CD7E37">
              <w:rPr>
                <w:sz w:val="18"/>
                <w:szCs w:val="18"/>
              </w:rPr>
              <w:t xml:space="preserve">E landfill (other waste, slightly reactive) </w:t>
            </w:r>
          </w:p>
        </w:tc>
        <w:tc>
          <w:tcPr>
            <w:tcW w:w="4450" w:type="dxa"/>
            <w:shd w:val="clear" w:color="auto" w:fill="auto"/>
          </w:tcPr>
          <w:p w:rsidR="0015219A" w:rsidRPr="00CD7E37" w:rsidRDefault="0015219A" w:rsidP="005D04E8">
            <w:pPr>
              <w:keepNext/>
              <w:keepLines/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</w:p>
        </w:tc>
      </w:tr>
      <w:tr w:rsidR="000F3A83" w:rsidRPr="00CD7E37" w:rsidTr="008B74D2">
        <w:tc>
          <w:tcPr>
            <w:tcW w:w="1787" w:type="dxa"/>
            <w:shd w:val="clear" w:color="auto" w:fill="auto"/>
          </w:tcPr>
          <w:p w:rsidR="0015219A" w:rsidRPr="00CD7E37" w:rsidRDefault="000F3A83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Thailand</w:t>
            </w:r>
          </w:p>
        </w:tc>
        <w:tc>
          <w:tcPr>
            <w:tcW w:w="4110" w:type="dxa"/>
            <w:shd w:val="clear" w:color="auto" w:fill="auto"/>
          </w:tcPr>
          <w:p w:rsidR="0015219A" w:rsidRPr="00CD7E37" w:rsidRDefault="002F3966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Mercury </w:t>
            </w:r>
            <w:r w:rsidR="005644D3" w:rsidRPr="00CD7E37">
              <w:rPr>
                <w:sz w:val="18"/>
                <w:szCs w:val="18"/>
              </w:rPr>
              <w:t xml:space="preserve">waste </w:t>
            </w:r>
            <w:r w:rsidRPr="00CD7E37">
              <w:rPr>
                <w:sz w:val="18"/>
                <w:szCs w:val="18"/>
              </w:rPr>
              <w:t xml:space="preserve">thresholds are used to classify </w:t>
            </w:r>
            <w:r w:rsidR="00D25486" w:rsidRPr="00CD7E37">
              <w:rPr>
                <w:sz w:val="18"/>
                <w:szCs w:val="18"/>
              </w:rPr>
              <w:t>waste</w:t>
            </w:r>
            <w:r w:rsidRPr="00CD7E37">
              <w:rPr>
                <w:sz w:val="18"/>
                <w:szCs w:val="18"/>
              </w:rPr>
              <w:t xml:space="preserve"> as hazardous</w:t>
            </w:r>
            <w:r w:rsidR="0015219A" w:rsidRPr="00CD7E37">
              <w:rPr>
                <w:sz w:val="18"/>
                <w:szCs w:val="18"/>
              </w:rPr>
              <w:t>.</w:t>
            </w:r>
          </w:p>
        </w:tc>
        <w:tc>
          <w:tcPr>
            <w:tcW w:w="4480" w:type="dxa"/>
          </w:tcPr>
          <w:p w:rsidR="00D25486" w:rsidRPr="00CD7E37" w:rsidRDefault="000F3A83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T</w:t>
            </w:r>
            <w:r w:rsidR="00D25486" w:rsidRPr="00CD7E37">
              <w:rPr>
                <w:sz w:val="18"/>
                <w:szCs w:val="18"/>
              </w:rPr>
              <w:t xml:space="preserve">he </w:t>
            </w:r>
            <w:r w:rsidR="004A667A" w:rsidRPr="00CD7E37">
              <w:rPr>
                <w:sz w:val="18"/>
                <w:szCs w:val="18"/>
              </w:rPr>
              <w:t xml:space="preserve">total threshold limit concentration </w:t>
            </w:r>
            <w:r w:rsidRPr="00CD7E37">
              <w:rPr>
                <w:sz w:val="18"/>
                <w:szCs w:val="18"/>
              </w:rPr>
              <w:t>(TTLC</w:t>
            </w:r>
            <w:r w:rsidR="002F3966" w:rsidRPr="00CD7E37">
              <w:rPr>
                <w:sz w:val="18"/>
                <w:szCs w:val="18"/>
              </w:rPr>
              <w:t>) is 20</w:t>
            </w:r>
            <w:r w:rsidR="00C02FB6" w:rsidRPr="00CD7E37">
              <w:rPr>
                <w:sz w:val="18"/>
                <w:szCs w:val="18"/>
              </w:rPr>
              <w:t> </w:t>
            </w:r>
            <w:r w:rsidR="002F3966" w:rsidRPr="00CD7E37">
              <w:rPr>
                <w:sz w:val="18"/>
                <w:szCs w:val="18"/>
              </w:rPr>
              <w:t>mg/kg</w:t>
            </w:r>
            <w:r w:rsidR="00683158" w:rsidRPr="00CD7E37">
              <w:rPr>
                <w:sz w:val="18"/>
                <w:szCs w:val="18"/>
              </w:rPr>
              <w:t>.</w:t>
            </w:r>
          </w:p>
          <w:p w:rsidR="00D25486" w:rsidRPr="00CD7E37" w:rsidRDefault="00D25486" w:rsidP="00892ADF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>The</w:t>
            </w:r>
            <w:r w:rsidR="002F3966" w:rsidRPr="00CD7E37">
              <w:rPr>
                <w:sz w:val="18"/>
                <w:szCs w:val="18"/>
              </w:rPr>
              <w:t xml:space="preserve"> </w:t>
            </w:r>
            <w:r w:rsidR="00683158" w:rsidRPr="00CD7E37">
              <w:rPr>
                <w:sz w:val="18"/>
                <w:szCs w:val="18"/>
              </w:rPr>
              <w:t>s</w:t>
            </w:r>
            <w:r w:rsidR="000F3A83" w:rsidRPr="00CD7E37">
              <w:rPr>
                <w:sz w:val="18"/>
                <w:szCs w:val="18"/>
              </w:rPr>
              <w:t xml:space="preserve">oluble </w:t>
            </w:r>
            <w:r w:rsidR="00683158" w:rsidRPr="00CD7E37">
              <w:rPr>
                <w:sz w:val="18"/>
                <w:szCs w:val="18"/>
              </w:rPr>
              <w:t>t</w:t>
            </w:r>
            <w:r w:rsidR="000F3A83" w:rsidRPr="00CD7E37">
              <w:rPr>
                <w:sz w:val="18"/>
                <w:szCs w:val="18"/>
              </w:rPr>
              <w:t xml:space="preserve">hreshold </w:t>
            </w:r>
            <w:r w:rsidR="00683158" w:rsidRPr="00CD7E37">
              <w:rPr>
                <w:sz w:val="18"/>
                <w:szCs w:val="18"/>
              </w:rPr>
              <w:t>l</w:t>
            </w:r>
            <w:r w:rsidR="000F3A83" w:rsidRPr="00CD7E37">
              <w:rPr>
                <w:sz w:val="18"/>
                <w:szCs w:val="18"/>
              </w:rPr>
              <w:t xml:space="preserve">imit </w:t>
            </w:r>
            <w:r w:rsidR="00683158" w:rsidRPr="00CD7E37">
              <w:rPr>
                <w:sz w:val="18"/>
                <w:szCs w:val="18"/>
              </w:rPr>
              <w:t>c</w:t>
            </w:r>
            <w:r w:rsidR="000F3A83" w:rsidRPr="00CD7E37">
              <w:rPr>
                <w:sz w:val="18"/>
                <w:szCs w:val="18"/>
              </w:rPr>
              <w:t>oncentration (STLC) is 0</w:t>
            </w:r>
            <w:r w:rsidRPr="00CD7E37">
              <w:rPr>
                <w:sz w:val="18"/>
                <w:szCs w:val="18"/>
              </w:rPr>
              <w:t>.2</w:t>
            </w:r>
            <w:r w:rsidR="00C02FB6" w:rsidRPr="00CD7E37">
              <w:rPr>
                <w:sz w:val="18"/>
                <w:szCs w:val="18"/>
              </w:rPr>
              <w:t> </w:t>
            </w:r>
            <w:r w:rsidRPr="00CD7E37">
              <w:rPr>
                <w:sz w:val="18"/>
                <w:szCs w:val="18"/>
              </w:rPr>
              <w:t>mg/L</w:t>
            </w:r>
            <w:r w:rsidR="002F3966" w:rsidRPr="00CD7E37">
              <w:rPr>
                <w:sz w:val="18"/>
                <w:szCs w:val="18"/>
              </w:rPr>
              <w:t xml:space="preserve">. </w:t>
            </w:r>
          </w:p>
          <w:p w:rsidR="0015219A" w:rsidRPr="00CD7E37" w:rsidRDefault="002F3966" w:rsidP="00683158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The </w:t>
            </w:r>
            <w:r w:rsidR="00683158" w:rsidRPr="00CD7E37">
              <w:rPr>
                <w:sz w:val="18"/>
                <w:szCs w:val="18"/>
              </w:rPr>
              <w:t>waste e</w:t>
            </w:r>
            <w:r w:rsidRPr="00CD7E37">
              <w:rPr>
                <w:sz w:val="18"/>
                <w:szCs w:val="18"/>
              </w:rPr>
              <w:t xml:space="preserve">xtraction </w:t>
            </w:r>
            <w:r w:rsidR="00683158" w:rsidRPr="00CD7E37">
              <w:rPr>
                <w:sz w:val="18"/>
                <w:szCs w:val="18"/>
              </w:rPr>
              <w:t>t</w:t>
            </w:r>
            <w:r w:rsidR="000F3A83" w:rsidRPr="00CD7E37">
              <w:rPr>
                <w:sz w:val="18"/>
                <w:szCs w:val="18"/>
              </w:rPr>
              <w:t xml:space="preserve">est </w:t>
            </w:r>
            <w:r w:rsidR="00D25486" w:rsidRPr="00CD7E37">
              <w:rPr>
                <w:sz w:val="18"/>
                <w:szCs w:val="18"/>
              </w:rPr>
              <w:t>is</w:t>
            </w:r>
            <w:r w:rsidR="000F3A83" w:rsidRPr="00CD7E37">
              <w:rPr>
                <w:sz w:val="18"/>
                <w:szCs w:val="18"/>
              </w:rPr>
              <w:t xml:space="preserve"> applied when the total concentration of mercury waste is not above the TTLC but </w:t>
            </w:r>
            <w:r w:rsidR="00D25486" w:rsidRPr="00CD7E37">
              <w:rPr>
                <w:sz w:val="18"/>
                <w:szCs w:val="18"/>
              </w:rPr>
              <w:t xml:space="preserve">is </w:t>
            </w:r>
            <w:r w:rsidR="000F3A83" w:rsidRPr="00CD7E37">
              <w:rPr>
                <w:sz w:val="18"/>
                <w:szCs w:val="18"/>
              </w:rPr>
              <w:t xml:space="preserve">equal </w:t>
            </w:r>
            <w:r w:rsidR="00C02FB6" w:rsidRPr="00CD7E37">
              <w:rPr>
                <w:sz w:val="18"/>
                <w:szCs w:val="18"/>
              </w:rPr>
              <w:t xml:space="preserve">to </w:t>
            </w:r>
            <w:r w:rsidR="000F3A83" w:rsidRPr="00CD7E37">
              <w:rPr>
                <w:sz w:val="18"/>
                <w:szCs w:val="18"/>
              </w:rPr>
              <w:t xml:space="preserve">or </w:t>
            </w:r>
            <w:r w:rsidR="00D25486" w:rsidRPr="00CD7E37">
              <w:rPr>
                <w:sz w:val="18"/>
                <w:szCs w:val="18"/>
              </w:rPr>
              <w:t>above the</w:t>
            </w:r>
            <w:r w:rsidR="000F3A83" w:rsidRPr="00CD7E37">
              <w:rPr>
                <w:sz w:val="18"/>
                <w:szCs w:val="18"/>
              </w:rPr>
              <w:t xml:space="preserve"> STLC or if the waste </w:t>
            </w:r>
            <w:r w:rsidR="00D25486" w:rsidRPr="00CD7E37">
              <w:rPr>
                <w:sz w:val="18"/>
                <w:szCs w:val="18"/>
              </w:rPr>
              <w:t>is</w:t>
            </w:r>
            <w:r w:rsidR="000F3A83" w:rsidRPr="00CD7E37">
              <w:rPr>
                <w:sz w:val="18"/>
                <w:szCs w:val="18"/>
              </w:rPr>
              <w:t xml:space="preserve"> disposed </w:t>
            </w:r>
            <w:r w:rsidR="00D25486" w:rsidRPr="00CD7E37">
              <w:rPr>
                <w:sz w:val="18"/>
                <w:szCs w:val="18"/>
              </w:rPr>
              <w:t>of in a</w:t>
            </w:r>
            <w:r w:rsidR="000F3A83" w:rsidRPr="00CD7E37">
              <w:rPr>
                <w:sz w:val="18"/>
                <w:szCs w:val="18"/>
              </w:rPr>
              <w:t xml:space="preserve"> secured landfill. </w:t>
            </w:r>
          </w:p>
        </w:tc>
        <w:tc>
          <w:tcPr>
            <w:tcW w:w="4450" w:type="dxa"/>
            <w:shd w:val="clear" w:color="auto" w:fill="auto"/>
          </w:tcPr>
          <w:p w:rsidR="0015219A" w:rsidRPr="00CD7E37" w:rsidRDefault="00D25486" w:rsidP="00683158">
            <w:pPr>
              <w:tabs>
                <w:tab w:val="left" w:pos="4082"/>
              </w:tabs>
              <w:spacing w:before="80" w:after="80"/>
              <w:rPr>
                <w:sz w:val="18"/>
                <w:szCs w:val="18"/>
              </w:rPr>
            </w:pPr>
            <w:r w:rsidRPr="00CD7E37">
              <w:rPr>
                <w:sz w:val="18"/>
                <w:szCs w:val="18"/>
              </w:rPr>
              <w:t xml:space="preserve">Industrial waste contaminated with mercury or mercury compounds above the standard level or classified as hazardous waste needs appropriate management by a licensed waste processor for disposal or recycling. </w:t>
            </w:r>
            <w:r w:rsidR="007E793D" w:rsidRPr="00CD7E37">
              <w:rPr>
                <w:sz w:val="18"/>
                <w:szCs w:val="18"/>
              </w:rPr>
              <w:t>W</w:t>
            </w:r>
            <w:r w:rsidR="00CF2843" w:rsidRPr="00CD7E37">
              <w:rPr>
                <w:sz w:val="18"/>
                <w:szCs w:val="18"/>
              </w:rPr>
              <w:t xml:space="preserve">astes </w:t>
            </w:r>
            <w:r w:rsidRPr="00CD7E37">
              <w:rPr>
                <w:sz w:val="18"/>
                <w:szCs w:val="18"/>
              </w:rPr>
              <w:t xml:space="preserve">that </w:t>
            </w:r>
            <w:r w:rsidR="00CF2843" w:rsidRPr="00CD7E37">
              <w:rPr>
                <w:sz w:val="18"/>
                <w:szCs w:val="18"/>
              </w:rPr>
              <w:t xml:space="preserve">cannot be treated in Thailand, </w:t>
            </w:r>
            <w:r w:rsidR="007E793D" w:rsidRPr="00CD7E37">
              <w:rPr>
                <w:sz w:val="18"/>
                <w:szCs w:val="18"/>
              </w:rPr>
              <w:t xml:space="preserve">such as petroleum wastes, </w:t>
            </w:r>
            <w:r w:rsidR="00CF2843" w:rsidRPr="00CD7E37">
              <w:rPr>
                <w:sz w:val="18"/>
                <w:szCs w:val="18"/>
              </w:rPr>
              <w:t>are exported to other countries</w:t>
            </w:r>
            <w:r w:rsidR="007E793D" w:rsidRPr="00CD7E37">
              <w:rPr>
                <w:sz w:val="18"/>
                <w:szCs w:val="18"/>
              </w:rPr>
              <w:t xml:space="preserve">, </w:t>
            </w:r>
            <w:r w:rsidR="005644D3" w:rsidRPr="00CD7E37">
              <w:rPr>
                <w:sz w:val="18"/>
                <w:szCs w:val="18"/>
              </w:rPr>
              <w:t>according to</w:t>
            </w:r>
            <w:r w:rsidR="00CF2843" w:rsidRPr="00CD7E37">
              <w:rPr>
                <w:sz w:val="18"/>
                <w:szCs w:val="18"/>
              </w:rPr>
              <w:t xml:space="preserve"> the provisions of the Basel C</w:t>
            </w:r>
            <w:r w:rsidR="008B74D2" w:rsidRPr="00CD7E37">
              <w:rPr>
                <w:sz w:val="18"/>
                <w:szCs w:val="18"/>
              </w:rPr>
              <w:t>o</w:t>
            </w:r>
            <w:r w:rsidR="00CF2843" w:rsidRPr="00CD7E37">
              <w:rPr>
                <w:sz w:val="18"/>
                <w:szCs w:val="18"/>
              </w:rPr>
              <w:t>nvention</w:t>
            </w:r>
            <w:r w:rsidR="00683158" w:rsidRPr="00CD7E37">
              <w:rPr>
                <w:sz w:val="18"/>
                <w:szCs w:val="18"/>
              </w:rPr>
              <w:t xml:space="preserve"> on the Control of Transboundary Movements of Hazardous Wastes and Their Disposal</w:t>
            </w:r>
            <w:r w:rsidR="00CF2843" w:rsidRPr="00CD7E37">
              <w:rPr>
                <w:sz w:val="18"/>
                <w:szCs w:val="18"/>
              </w:rPr>
              <w:t xml:space="preserve">. </w:t>
            </w:r>
          </w:p>
        </w:tc>
      </w:tr>
    </w:tbl>
    <w:p w:rsidR="003F32EA" w:rsidRPr="00CD7E37" w:rsidRDefault="003F32EA" w:rsidP="00885EE4">
      <w:pPr>
        <w:pStyle w:val="Normal-poo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9"/>
        <w:gridCol w:w="2929"/>
        <w:gridCol w:w="2929"/>
        <w:gridCol w:w="2929"/>
      </w:tblGrid>
      <w:tr w:rsidR="00885EE4" w:rsidRPr="00CD7E37" w:rsidTr="00885EE4">
        <w:tc>
          <w:tcPr>
            <w:tcW w:w="2928" w:type="dxa"/>
          </w:tcPr>
          <w:p w:rsidR="00885EE4" w:rsidRPr="00CD7E37" w:rsidRDefault="00885EE4" w:rsidP="00885EE4">
            <w:pPr>
              <w:pStyle w:val="Normal-pool"/>
              <w:spacing w:before="520"/>
            </w:pPr>
          </w:p>
        </w:tc>
        <w:tc>
          <w:tcPr>
            <w:tcW w:w="2929" w:type="dxa"/>
          </w:tcPr>
          <w:p w:rsidR="00885EE4" w:rsidRPr="00CD7E37" w:rsidRDefault="00885EE4" w:rsidP="00885EE4">
            <w:pPr>
              <w:pStyle w:val="Normal-pool"/>
              <w:spacing w:before="520"/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885EE4" w:rsidRPr="00CD7E37" w:rsidRDefault="00885EE4" w:rsidP="00885EE4">
            <w:pPr>
              <w:pStyle w:val="Normal-pool"/>
              <w:spacing w:before="520"/>
            </w:pPr>
          </w:p>
        </w:tc>
        <w:tc>
          <w:tcPr>
            <w:tcW w:w="2929" w:type="dxa"/>
          </w:tcPr>
          <w:p w:rsidR="00885EE4" w:rsidRPr="00CD7E37" w:rsidRDefault="00885EE4" w:rsidP="00885EE4">
            <w:pPr>
              <w:pStyle w:val="Normal-pool"/>
              <w:spacing w:before="520"/>
            </w:pPr>
          </w:p>
        </w:tc>
        <w:tc>
          <w:tcPr>
            <w:tcW w:w="2929" w:type="dxa"/>
          </w:tcPr>
          <w:p w:rsidR="00885EE4" w:rsidRPr="00CD7E37" w:rsidRDefault="00885EE4" w:rsidP="00885EE4">
            <w:pPr>
              <w:pStyle w:val="Normal-pool"/>
              <w:spacing w:before="520"/>
            </w:pPr>
          </w:p>
        </w:tc>
      </w:tr>
    </w:tbl>
    <w:p w:rsidR="00885EE4" w:rsidRPr="00CD7E37" w:rsidRDefault="00885EE4" w:rsidP="005D04E8">
      <w:pPr>
        <w:pStyle w:val="Normal-pool"/>
      </w:pPr>
    </w:p>
    <w:sectPr w:rsidR="00885EE4" w:rsidRPr="00CD7E37" w:rsidSect="00EC0F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14" w:rsidRDefault="00E13714">
      <w:r>
        <w:separator/>
      </w:r>
    </w:p>
  </w:endnote>
  <w:endnote w:type="continuationSeparator" w:id="0">
    <w:p w:rsidR="00E13714" w:rsidRDefault="00E1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Default="00E1371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5A4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Default="00E13714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Default="00E13714" w:rsidP="00C510F4">
    <w:pPr>
      <w:pStyle w:val="Normal-pool"/>
    </w:pPr>
    <w:r>
      <w:t>K1704222</w:t>
    </w:r>
    <w:r>
      <w:tab/>
    </w:r>
    <w:r w:rsidR="00CD7E37">
      <w:t>09</w:t>
    </w:r>
    <w:r w:rsidR="000A47FF">
      <w:t>0617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Default="00E13714" w:rsidP="00EF11DA">
    <w:pPr>
      <w:pStyle w:val="Normal-pool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5A4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Default="00E13714" w:rsidP="00EF11DA">
    <w:pPr>
      <w:pStyle w:val="Normal-pool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5A4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03009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714" w:rsidRPr="00EF11DA" w:rsidRDefault="00E13714" w:rsidP="00EF11DA">
        <w:pPr>
          <w:pStyle w:val="Normal-pool"/>
          <w:jc w:val="right"/>
          <w:rPr>
            <w:b/>
            <w:sz w:val="18"/>
            <w:szCs w:val="18"/>
          </w:rPr>
        </w:pPr>
        <w:r w:rsidRPr="00EF11DA">
          <w:rPr>
            <w:b/>
            <w:sz w:val="18"/>
            <w:szCs w:val="18"/>
          </w:rPr>
          <w:fldChar w:fldCharType="begin"/>
        </w:r>
        <w:r w:rsidRPr="00EF11DA">
          <w:rPr>
            <w:b/>
            <w:sz w:val="18"/>
            <w:szCs w:val="18"/>
          </w:rPr>
          <w:instrText xml:space="preserve"> PAGE   \* MERGEFORMAT </w:instrText>
        </w:r>
        <w:r w:rsidRPr="00EF11DA">
          <w:rPr>
            <w:b/>
            <w:sz w:val="18"/>
            <w:szCs w:val="18"/>
          </w:rPr>
          <w:fldChar w:fldCharType="separate"/>
        </w:r>
        <w:r w:rsidR="00815A43">
          <w:rPr>
            <w:b/>
            <w:noProof/>
            <w:sz w:val="18"/>
            <w:szCs w:val="18"/>
          </w:rPr>
          <w:t>3</w:t>
        </w:r>
        <w:r w:rsidRPr="00EF11DA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14" w:rsidRPr="00EC0F68" w:rsidRDefault="00E13714" w:rsidP="00EC0F6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EC0F68">
        <w:rPr>
          <w:sz w:val="18"/>
          <w:szCs w:val="18"/>
        </w:rPr>
        <w:separator/>
      </w:r>
    </w:p>
  </w:footnote>
  <w:footnote w:type="continuationSeparator" w:id="0">
    <w:p w:rsidR="00E13714" w:rsidRDefault="00E13714">
      <w:r>
        <w:continuationSeparator/>
      </w:r>
    </w:p>
  </w:footnote>
  <w:footnote w:id="1">
    <w:p w:rsidR="00E13714" w:rsidRPr="00EC0F68" w:rsidRDefault="00E13714" w:rsidP="00EF11DA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EC0F68">
        <w:rPr>
          <w:sz w:val="18"/>
          <w:szCs w:val="18"/>
        </w:rPr>
        <w:t>* UNEP/MC/COP.1/</w:t>
      </w:r>
      <w:r>
        <w:rPr>
          <w:sz w:val="18"/>
          <w:szCs w:val="18"/>
        </w:rPr>
        <w:t>1</w:t>
      </w:r>
      <w:r w:rsidRPr="00EC0F68">
        <w:rPr>
          <w:sz w:val="18"/>
          <w:szCs w:val="18"/>
        </w:rPr>
        <w:t>.</w:t>
      </w:r>
    </w:p>
  </w:footnote>
  <w:footnote w:id="2">
    <w:p w:rsidR="00E13714" w:rsidRPr="00EC0F68" w:rsidRDefault="00E13714" w:rsidP="00EC0F68">
      <w:pPr>
        <w:pStyle w:val="FootnoteText"/>
        <w:tabs>
          <w:tab w:val="left" w:pos="624"/>
        </w:tabs>
        <w:rPr>
          <w:szCs w:val="18"/>
          <w:lang w:val="en-GB"/>
        </w:rPr>
      </w:pPr>
      <w:r w:rsidRPr="00EC0F68">
        <w:rPr>
          <w:rStyle w:val="FootnoteReference"/>
          <w:sz w:val="18"/>
          <w:lang w:val="en-GB"/>
        </w:rPr>
        <w:footnoteRef/>
      </w:r>
      <w:r w:rsidRPr="00EC0F68">
        <w:rPr>
          <w:szCs w:val="18"/>
          <w:lang w:val="en-GB"/>
        </w:rPr>
        <w:t xml:space="preserve"> Compilation of information on the use of mercury waste thresholds (UNEP(DTIE)/Hg/INC.7/19) available at www.mercuryconvention.org/Negotiations/INC7.</w:t>
      </w:r>
    </w:p>
  </w:footnote>
  <w:footnote w:id="3">
    <w:p w:rsidR="00E13714" w:rsidRPr="00EC0F68" w:rsidRDefault="00E13714">
      <w:pPr>
        <w:pStyle w:val="FootnoteText"/>
        <w:rPr>
          <w:szCs w:val="18"/>
          <w:lang w:val="en-GB"/>
        </w:rPr>
      </w:pPr>
      <w:r w:rsidRPr="00EC0F68">
        <w:rPr>
          <w:rStyle w:val="FootnoteReference"/>
          <w:lang w:val="en-GB"/>
        </w:rPr>
        <w:footnoteRef/>
      </w:r>
      <w:r w:rsidRPr="00EC0F68">
        <w:rPr>
          <w:lang w:val="en-GB"/>
        </w:rPr>
        <w:t xml:space="preserve"> </w:t>
      </w:r>
      <w:hyperlink r:id="rId1" w:history="1">
        <w:r w:rsidRPr="00EC0F68">
          <w:rPr>
            <w:szCs w:val="18"/>
            <w:lang w:val="en-GB"/>
          </w:rPr>
          <w:t>http://mercuryconvention.org/Negotiations/submissionsforCOP1/tabid/5535/Default.aspx</w:t>
        </w:r>
      </w:hyperlink>
      <w:r w:rsidRPr="00EC0F68">
        <w:rPr>
          <w:szCs w:val="18"/>
          <w:lang w:val="en-GB"/>
        </w:rPr>
        <w:t>.</w:t>
      </w:r>
    </w:p>
  </w:footnote>
  <w:footnote w:id="4">
    <w:p w:rsidR="00E13714" w:rsidRPr="00EC0F68" w:rsidRDefault="00E13714" w:rsidP="00EC0F68">
      <w:pPr>
        <w:pStyle w:val="FootnoteText"/>
        <w:tabs>
          <w:tab w:val="left" w:pos="624"/>
        </w:tabs>
        <w:rPr>
          <w:szCs w:val="18"/>
          <w:lang w:val="en-GB"/>
        </w:rPr>
      </w:pPr>
      <w:r w:rsidRPr="00EC0F68">
        <w:rPr>
          <w:rStyle w:val="FootnoteReference"/>
          <w:sz w:val="18"/>
          <w:lang w:val="en-GB"/>
        </w:rPr>
        <w:footnoteRef/>
      </w:r>
      <w:r w:rsidRPr="00EC0F68">
        <w:rPr>
          <w:szCs w:val="18"/>
          <w:lang w:val="en-GB"/>
        </w:rPr>
        <w:t xml:space="preserve"> </w:t>
      </w:r>
      <w:hyperlink r:id="rId2" w:history="1">
        <w:r w:rsidRPr="00EC0F68">
          <w:rPr>
            <w:rStyle w:val="Hyperlink"/>
            <w:sz w:val="18"/>
            <w:szCs w:val="18"/>
            <w:lang w:val="en-GB"/>
          </w:rPr>
          <w:t>http://www.mapama.gob.es/es/costas/temas/proteccion-medio-marino/directrices2015_tcm7-325119.pdf</w:t>
        </w:r>
      </w:hyperlink>
      <w:r w:rsidRPr="00EC0F68">
        <w:rPr>
          <w:szCs w:val="18"/>
          <w:lang w:val="en-GB"/>
        </w:rPr>
        <w:t xml:space="preserve"> (accessed on 19 April 2017).</w:t>
      </w:r>
    </w:p>
  </w:footnote>
  <w:footnote w:id="5">
    <w:p w:rsidR="00E13714" w:rsidRPr="00EC0F68" w:rsidRDefault="00E13714" w:rsidP="00EC0F68">
      <w:pPr>
        <w:pStyle w:val="FootnoteText"/>
        <w:tabs>
          <w:tab w:val="left" w:pos="624"/>
        </w:tabs>
        <w:rPr>
          <w:szCs w:val="18"/>
          <w:lang w:val="en-GB"/>
        </w:rPr>
      </w:pPr>
      <w:r w:rsidRPr="00EC0F68">
        <w:rPr>
          <w:rStyle w:val="FootnoteReference"/>
          <w:sz w:val="18"/>
          <w:lang w:val="en-GB"/>
        </w:rPr>
        <w:footnoteRef/>
      </w:r>
      <w:r w:rsidRPr="00EC0F68">
        <w:rPr>
          <w:szCs w:val="18"/>
          <w:lang w:val="en-GB"/>
        </w:rPr>
        <w:t xml:space="preserve"> </w:t>
      </w:r>
      <w:hyperlink r:id="rId3" w:history="1">
        <w:r w:rsidRPr="00EC0F68">
          <w:rPr>
            <w:rStyle w:val="Hyperlink"/>
            <w:sz w:val="18"/>
            <w:szCs w:val="18"/>
            <w:lang w:val="en-GB"/>
          </w:rPr>
          <w:t>https://www.admin.ch/opc/de/classified-compilation/20141858/index.html</w:t>
        </w:r>
      </w:hyperlink>
      <w:r w:rsidRPr="00EC0F68">
        <w:rPr>
          <w:szCs w:val="18"/>
          <w:lang w:val="en-GB"/>
        </w:rPr>
        <w:t xml:space="preserve"> (accessed on 19 April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Pr="00592326" w:rsidRDefault="00E13714" w:rsidP="00592326">
    <w:pPr>
      <w:pStyle w:val="Header"/>
      <w:rPr>
        <w:szCs w:val="18"/>
        <w:lang w:val="fr-CH"/>
      </w:rPr>
    </w:pPr>
    <w:r w:rsidRPr="00592326">
      <w:rPr>
        <w:bCs/>
        <w:szCs w:val="18"/>
        <w:lang w:val="fr-CH"/>
      </w:rPr>
      <w:t>UNEP</w:t>
    </w:r>
    <w:r w:rsidRPr="00592326">
      <w:rPr>
        <w:szCs w:val="18"/>
        <w:lang w:val="fr-CH"/>
      </w:rPr>
      <w:t>/MC/COP.1/</w:t>
    </w:r>
    <w:r>
      <w:rPr>
        <w:szCs w:val="18"/>
        <w:lang w:val="fr-CH"/>
      </w:rPr>
      <w:t>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Pr="00CA5CA9" w:rsidRDefault="00E13714" w:rsidP="00F43DA1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>
      <w:rPr>
        <w:szCs w:val="18"/>
      </w:rPr>
      <w:t>(DTIE)/Hg/INC.7</w:t>
    </w:r>
    <w:r w:rsidRPr="00CA5CA9">
      <w:rPr>
        <w:szCs w:val="18"/>
      </w:rPr>
      <w:t>/</w:t>
    </w:r>
    <w:r>
      <w:rPr>
        <w:szCs w:val="18"/>
      </w:rPr>
      <w:t>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Pr="00202268" w:rsidRDefault="00E13714" w:rsidP="00F43DA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Pr="00CA5CA9" w:rsidRDefault="00E13714" w:rsidP="001646E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26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Pr="00592326" w:rsidRDefault="00E13714" w:rsidP="00592326">
    <w:pPr>
      <w:pStyle w:val="Header"/>
      <w:jc w:val="right"/>
      <w:rPr>
        <w:szCs w:val="18"/>
        <w:lang w:val="fr-CH"/>
      </w:rPr>
    </w:pPr>
    <w:r w:rsidRPr="00592326">
      <w:rPr>
        <w:bCs/>
        <w:szCs w:val="18"/>
        <w:lang w:val="fr-CH"/>
      </w:rPr>
      <w:t>UNEP</w:t>
    </w:r>
    <w:r w:rsidRPr="00592326">
      <w:rPr>
        <w:szCs w:val="18"/>
        <w:lang w:val="fr-CH"/>
      </w:rPr>
      <w:t>/</w:t>
    </w:r>
    <w:r>
      <w:rPr>
        <w:szCs w:val="18"/>
        <w:lang w:val="fr-CH"/>
      </w:rPr>
      <w:t>MC</w:t>
    </w:r>
    <w:r w:rsidRPr="00592326">
      <w:rPr>
        <w:szCs w:val="18"/>
        <w:lang w:val="fr-CH"/>
      </w:rPr>
      <w:t>/</w:t>
    </w:r>
    <w:r>
      <w:rPr>
        <w:szCs w:val="18"/>
        <w:lang w:val="fr-CH"/>
      </w:rPr>
      <w:t>COP.1/26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14" w:rsidRPr="00EF11DA" w:rsidRDefault="00E13714" w:rsidP="00EF11DA">
    <w:pPr>
      <w:pStyle w:val="Header"/>
      <w:jc w:val="right"/>
      <w:rPr>
        <w:szCs w:val="18"/>
        <w:lang w:val="fr-CH"/>
      </w:rPr>
    </w:pPr>
    <w:r w:rsidRPr="00592326">
      <w:rPr>
        <w:bCs/>
        <w:szCs w:val="18"/>
        <w:lang w:val="fr-CH"/>
      </w:rPr>
      <w:t>UNEP</w:t>
    </w:r>
    <w:r w:rsidRPr="00592326">
      <w:rPr>
        <w:szCs w:val="18"/>
        <w:lang w:val="fr-CH"/>
      </w:rPr>
      <w:t>/MC/COP.1/</w:t>
    </w:r>
    <w:r>
      <w:rPr>
        <w:szCs w:val="18"/>
        <w:lang w:val="fr-CH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C4E"/>
    <w:multiLevelType w:val="hybridMultilevel"/>
    <w:tmpl w:val="E0581DC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EF1"/>
    <w:multiLevelType w:val="hybridMultilevel"/>
    <w:tmpl w:val="1190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3C1"/>
    <w:multiLevelType w:val="hybridMultilevel"/>
    <w:tmpl w:val="65284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24F55"/>
    <w:multiLevelType w:val="hybridMultilevel"/>
    <w:tmpl w:val="65109BA6"/>
    <w:lvl w:ilvl="0" w:tplc="06900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3C001F"/>
    <w:multiLevelType w:val="hybridMultilevel"/>
    <w:tmpl w:val="932A3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154A84"/>
    <w:multiLevelType w:val="hybridMultilevel"/>
    <w:tmpl w:val="18B67C72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E7D96"/>
    <w:multiLevelType w:val="hybridMultilevel"/>
    <w:tmpl w:val="0ABE5E9E"/>
    <w:lvl w:ilvl="0" w:tplc="96826D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>
    <w:nsid w:val="5C932A35"/>
    <w:multiLevelType w:val="hybridMultilevel"/>
    <w:tmpl w:val="CCBAA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E34526"/>
    <w:multiLevelType w:val="hybridMultilevel"/>
    <w:tmpl w:val="D07A6E4C"/>
    <w:numStyleLink w:val="Normallist"/>
  </w:abstractNum>
  <w:abstractNum w:abstractNumId="13">
    <w:nsid w:val="68444F34"/>
    <w:multiLevelType w:val="hybridMultilevel"/>
    <w:tmpl w:val="868ACE82"/>
    <w:lvl w:ilvl="0" w:tplc="EAFE9C0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50E98"/>
    <w:multiLevelType w:val="hybridMultilevel"/>
    <w:tmpl w:val="17BCCCCE"/>
    <w:lvl w:ilvl="0" w:tplc="B792DDC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57A96"/>
    <w:multiLevelType w:val="hybridMultilevel"/>
    <w:tmpl w:val="65109BA6"/>
    <w:lvl w:ilvl="0" w:tplc="06900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16823"/>
    <w:multiLevelType w:val="hybridMultilevel"/>
    <w:tmpl w:val="C1DCBB0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253511"/>
    <w:multiLevelType w:val="hybridMultilevel"/>
    <w:tmpl w:val="CB0E7BD2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F0E09"/>
    <w:multiLevelType w:val="hybridMultilevel"/>
    <w:tmpl w:val="4CFCEB4C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  <w:num w:numId="17">
    <w:abstractNumId w:val="10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18">
    <w:abstractNumId w:val="10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19">
    <w:abstractNumId w:val="18"/>
  </w:num>
  <w:num w:numId="20">
    <w:abstractNumId w:val="16"/>
  </w:num>
  <w:num w:numId="21">
    <w:abstractNumId w:val="14"/>
  </w:num>
  <w:num w:numId="22">
    <w:abstractNumId w:val="13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974"/>
    <w:rsid w:val="000024A3"/>
    <w:rsid w:val="000114D1"/>
    <w:rsid w:val="000149E6"/>
    <w:rsid w:val="00023DA9"/>
    <w:rsid w:val="000247B0"/>
    <w:rsid w:val="00024BBF"/>
    <w:rsid w:val="00026997"/>
    <w:rsid w:val="00026A08"/>
    <w:rsid w:val="00032E4E"/>
    <w:rsid w:val="00033E0B"/>
    <w:rsid w:val="00035EDE"/>
    <w:rsid w:val="00047B5B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A47FF"/>
    <w:rsid w:val="000B22A2"/>
    <w:rsid w:val="000B3902"/>
    <w:rsid w:val="000B73F9"/>
    <w:rsid w:val="000C2A52"/>
    <w:rsid w:val="000D33C0"/>
    <w:rsid w:val="000D4CF6"/>
    <w:rsid w:val="000D6941"/>
    <w:rsid w:val="000E30E6"/>
    <w:rsid w:val="000F3A83"/>
    <w:rsid w:val="000F4829"/>
    <w:rsid w:val="000F738B"/>
    <w:rsid w:val="00111B4D"/>
    <w:rsid w:val="00112A4A"/>
    <w:rsid w:val="00113F26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19A"/>
    <w:rsid w:val="00152B6B"/>
    <w:rsid w:val="00155395"/>
    <w:rsid w:val="00156B6B"/>
    <w:rsid w:val="00160D74"/>
    <w:rsid w:val="0016317F"/>
    <w:rsid w:val="001646E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D3874"/>
    <w:rsid w:val="001D7E75"/>
    <w:rsid w:val="001E0D73"/>
    <w:rsid w:val="001E1EB3"/>
    <w:rsid w:val="001E2AC2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3893"/>
    <w:rsid w:val="002247F6"/>
    <w:rsid w:val="00225E21"/>
    <w:rsid w:val="00234E78"/>
    <w:rsid w:val="00235811"/>
    <w:rsid w:val="00243D36"/>
    <w:rsid w:val="00246151"/>
    <w:rsid w:val="0024738B"/>
    <w:rsid w:val="00247707"/>
    <w:rsid w:val="0026018E"/>
    <w:rsid w:val="0026449D"/>
    <w:rsid w:val="00280DB8"/>
    <w:rsid w:val="0028599B"/>
    <w:rsid w:val="00286740"/>
    <w:rsid w:val="00291EAE"/>
    <w:rsid w:val="002929D8"/>
    <w:rsid w:val="002A237D"/>
    <w:rsid w:val="002A4C53"/>
    <w:rsid w:val="002A7CF3"/>
    <w:rsid w:val="002B0672"/>
    <w:rsid w:val="002B1C41"/>
    <w:rsid w:val="002B247F"/>
    <w:rsid w:val="002B50D4"/>
    <w:rsid w:val="002C145D"/>
    <w:rsid w:val="002C2C3E"/>
    <w:rsid w:val="002C533E"/>
    <w:rsid w:val="002D027F"/>
    <w:rsid w:val="002D3E15"/>
    <w:rsid w:val="002D7A85"/>
    <w:rsid w:val="002D7B60"/>
    <w:rsid w:val="002E5832"/>
    <w:rsid w:val="002F3966"/>
    <w:rsid w:val="002F4761"/>
    <w:rsid w:val="002F5C79"/>
    <w:rsid w:val="002F68EE"/>
    <w:rsid w:val="003019E2"/>
    <w:rsid w:val="00310BEB"/>
    <w:rsid w:val="0031413F"/>
    <w:rsid w:val="00314854"/>
    <w:rsid w:val="003148BB"/>
    <w:rsid w:val="00314A45"/>
    <w:rsid w:val="00317976"/>
    <w:rsid w:val="00320F2F"/>
    <w:rsid w:val="00355EA9"/>
    <w:rsid w:val="003578DE"/>
    <w:rsid w:val="00361688"/>
    <w:rsid w:val="003877D5"/>
    <w:rsid w:val="003929B8"/>
    <w:rsid w:val="00396257"/>
    <w:rsid w:val="00397EB8"/>
    <w:rsid w:val="003A0B88"/>
    <w:rsid w:val="003A4FD0"/>
    <w:rsid w:val="003A69D1"/>
    <w:rsid w:val="003A7705"/>
    <w:rsid w:val="003A77F1"/>
    <w:rsid w:val="003B1545"/>
    <w:rsid w:val="003C2546"/>
    <w:rsid w:val="003C3219"/>
    <w:rsid w:val="003C409D"/>
    <w:rsid w:val="003C5583"/>
    <w:rsid w:val="003C5BA6"/>
    <w:rsid w:val="003C74CF"/>
    <w:rsid w:val="003D3752"/>
    <w:rsid w:val="003E15F1"/>
    <w:rsid w:val="003E35DA"/>
    <w:rsid w:val="003E455D"/>
    <w:rsid w:val="003F0E85"/>
    <w:rsid w:val="003F32EA"/>
    <w:rsid w:val="003F3591"/>
    <w:rsid w:val="00404B2E"/>
    <w:rsid w:val="00410C55"/>
    <w:rsid w:val="00416854"/>
    <w:rsid w:val="00417725"/>
    <w:rsid w:val="004233E2"/>
    <w:rsid w:val="00437F26"/>
    <w:rsid w:val="00444097"/>
    <w:rsid w:val="00445487"/>
    <w:rsid w:val="00447E0D"/>
    <w:rsid w:val="00452933"/>
    <w:rsid w:val="00454769"/>
    <w:rsid w:val="00466991"/>
    <w:rsid w:val="0047064C"/>
    <w:rsid w:val="004822B7"/>
    <w:rsid w:val="0049469E"/>
    <w:rsid w:val="004A2217"/>
    <w:rsid w:val="004A24F9"/>
    <w:rsid w:val="004A42E1"/>
    <w:rsid w:val="004A667A"/>
    <w:rsid w:val="004B162C"/>
    <w:rsid w:val="004B2ABE"/>
    <w:rsid w:val="004C3DBE"/>
    <w:rsid w:val="004C5C96"/>
    <w:rsid w:val="004D06A4"/>
    <w:rsid w:val="004E4EF1"/>
    <w:rsid w:val="004F1A81"/>
    <w:rsid w:val="005050D2"/>
    <w:rsid w:val="00514BEE"/>
    <w:rsid w:val="005208F1"/>
    <w:rsid w:val="005218D9"/>
    <w:rsid w:val="00523A79"/>
    <w:rsid w:val="00536186"/>
    <w:rsid w:val="00544CBB"/>
    <w:rsid w:val="005644D3"/>
    <w:rsid w:val="005656D7"/>
    <w:rsid w:val="005675E8"/>
    <w:rsid w:val="0057315F"/>
    <w:rsid w:val="00576104"/>
    <w:rsid w:val="00590D73"/>
    <w:rsid w:val="00592326"/>
    <w:rsid w:val="00592B21"/>
    <w:rsid w:val="005B44BF"/>
    <w:rsid w:val="005C67C8"/>
    <w:rsid w:val="005D0249"/>
    <w:rsid w:val="005D04E8"/>
    <w:rsid w:val="005D18FA"/>
    <w:rsid w:val="005D4FD4"/>
    <w:rsid w:val="005D6E8C"/>
    <w:rsid w:val="005E3004"/>
    <w:rsid w:val="005F100C"/>
    <w:rsid w:val="005F68DA"/>
    <w:rsid w:val="00601BC9"/>
    <w:rsid w:val="0060773B"/>
    <w:rsid w:val="00613FD6"/>
    <w:rsid w:val="006157B5"/>
    <w:rsid w:val="00615A97"/>
    <w:rsid w:val="00617224"/>
    <w:rsid w:val="00626FC6"/>
    <w:rsid w:val="006303B4"/>
    <w:rsid w:val="00630ADC"/>
    <w:rsid w:val="00633D3D"/>
    <w:rsid w:val="006414DA"/>
    <w:rsid w:val="00641703"/>
    <w:rsid w:val="006431A6"/>
    <w:rsid w:val="00643E3A"/>
    <w:rsid w:val="006459F6"/>
    <w:rsid w:val="00646803"/>
    <w:rsid w:val="006501AD"/>
    <w:rsid w:val="00651BFA"/>
    <w:rsid w:val="00654475"/>
    <w:rsid w:val="00656DF0"/>
    <w:rsid w:val="00665A4B"/>
    <w:rsid w:val="006734DC"/>
    <w:rsid w:val="00673E24"/>
    <w:rsid w:val="00677EBB"/>
    <w:rsid w:val="00683158"/>
    <w:rsid w:val="00692E2A"/>
    <w:rsid w:val="006A76F2"/>
    <w:rsid w:val="006A7CA0"/>
    <w:rsid w:val="006C2FA4"/>
    <w:rsid w:val="006D19D4"/>
    <w:rsid w:val="006D7EFB"/>
    <w:rsid w:val="006D7FE0"/>
    <w:rsid w:val="006E6672"/>
    <w:rsid w:val="006E6722"/>
    <w:rsid w:val="006F6848"/>
    <w:rsid w:val="006F7AFF"/>
    <w:rsid w:val="007027B9"/>
    <w:rsid w:val="007066B5"/>
    <w:rsid w:val="007145DA"/>
    <w:rsid w:val="0071491A"/>
    <w:rsid w:val="00715E88"/>
    <w:rsid w:val="00734CAA"/>
    <w:rsid w:val="00735C09"/>
    <w:rsid w:val="00742680"/>
    <w:rsid w:val="0075533C"/>
    <w:rsid w:val="00757581"/>
    <w:rsid w:val="007602F5"/>
    <w:rsid w:val="00760D36"/>
    <w:rsid w:val="007611A0"/>
    <w:rsid w:val="007674E3"/>
    <w:rsid w:val="00773E54"/>
    <w:rsid w:val="00787688"/>
    <w:rsid w:val="007935E6"/>
    <w:rsid w:val="00796D3F"/>
    <w:rsid w:val="007A1683"/>
    <w:rsid w:val="007A3C60"/>
    <w:rsid w:val="007A5C12"/>
    <w:rsid w:val="007A7CB0"/>
    <w:rsid w:val="007B143F"/>
    <w:rsid w:val="007B68A3"/>
    <w:rsid w:val="007C2541"/>
    <w:rsid w:val="007D66A8"/>
    <w:rsid w:val="007E003F"/>
    <w:rsid w:val="007E793D"/>
    <w:rsid w:val="007F0CF8"/>
    <w:rsid w:val="007F1288"/>
    <w:rsid w:val="007F62CB"/>
    <w:rsid w:val="0080186F"/>
    <w:rsid w:val="00803074"/>
    <w:rsid w:val="008142EC"/>
    <w:rsid w:val="00815A43"/>
    <w:rsid w:val="008164F2"/>
    <w:rsid w:val="00821395"/>
    <w:rsid w:val="00830E26"/>
    <w:rsid w:val="0083468E"/>
    <w:rsid w:val="00841C32"/>
    <w:rsid w:val="00843576"/>
    <w:rsid w:val="00843B64"/>
    <w:rsid w:val="00846B82"/>
    <w:rsid w:val="008478FC"/>
    <w:rsid w:val="00851C51"/>
    <w:rsid w:val="00862EC0"/>
    <w:rsid w:val="00867BFF"/>
    <w:rsid w:val="008711BF"/>
    <w:rsid w:val="00871542"/>
    <w:rsid w:val="00872BF6"/>
    <w:rsid w:val="00880DCA"/>
    <w:rsid w:val="0088480A"/>
    <w:rsid w:val="00885EE4"/>
    <w:rsid w:val="0088757A"/>
    <w:rsid w:val="00892ADF"/>
    <w:rsid w:val="0089431B"/>
    <w:rsid w:val="00895668"/>
    <w:rsid w:val="008957DD"/>
    <w:rsid w:val="00897D98"/>
    <w:rsid w:val="008A6DF2"/>
    <w:rsid w:val="008A7807"/>
    <w:rsid w:val="008B06CD"/>
    <w:rsid w:val="008B4CC9"/>
    <w:rsid w:val="008B74D2"/>
    <w:rsid w:val="008B7DFC"/>
    <w:rsid w:val="008C1B76"/>
    <w:rsid w:val="008C798B"/>
    <w:rsid w:val="008D75E4"/>
    <w:rsid w:val="008D7C99"/>
    <w:rsid w:val="008E0FCB"/>
    <w:rsid w:val="008F207F"/>
    <w:rsid w:val="008F6DFE"/>
    <w:rsid w:val="0090529F"/>
    <w:rsid w:val="0092178C"/>
    <w:rsid w:val="00930B88"/>
    <w:rsid w:val="00940DCC"/>
    <w:rsid w:val="0094179A"/>
    <w:rsid w:val="0094459E"/>
    <w:rsid w:val="00944DBC"/>
    <w:rsid w:val="00950977"/>
    <w:rsid w:val="00951A7B"/>
    <w:rsid w:val="00955109"/>
    <w:rsid w:val="009564A6"/>
    <w:rsid w:val="00966A53"/>
    <w:rsid w:val="00967621"/>
    <w:rsid w:val="00967E6A"/>
    <w:rsid w:val="009907B9"/>
    <w:rsid w:val="00990918"/>
    <w:rsid w:val="009A04E4"/>
    <w:rsid w:val="009A3A83"/>
    <w:rsid w:val="009B4A0F"/>
    <w:rsid w:val="009C11D2"/>
    <w:rsid w:val="009C6C70"/>
    <w:rsid w:val="009C7B0A"/>
    <w:rsid w:val="009D0B63"/>
    <w:rsid w:val="009D1111"/>
    <w:rsid w:val="009D4107"/>
    <w:rsid w:val="009D5CB8"/>
    <w:rsid w:val="009E307E"/>
    <w:rsid w:val="00A07870"/>
    <w:rsid w:val="00A07C54"/>
    <w:rsid w:val="00A07F19"/>
    <w:rsid w:val="00A1348D"/>
    <w:rsid w:val="00A13C99"/>
    <w:rsid w:val="00A17246"/>
    <w:rsid w:val="00A232EE"/>
    <w:rsid w:val="00A4175F"/>
    <w:rsid w:val="00A44411"/>
    <w:rsid w:val="00A469FA"/>
    <w:rsid w:val="00A47680"/>
    <w:rsid w:val="00A53662"/>
    <w:rsid w:val="00A55B01"/>
    <w:rsid w:val="00A56B5B"/>
    <w:rsid w:val="00A603FF"/>
    <w:rsid w:val="00A619B6"/>
    <w:rsid w:val="00A63ADC"/>
    <w:rsid w:val="00A63B6A"/>
    <w:rsid w:val="00A64300"/>
    <w:rsid w:val="00A648CA"/>
    <w:rsid w:val="00A657DD"/>
    <w:rsid w:val="00A666A6"/>
    <w:rsid w:val="00A675FD"/>
    <w:rsid w:val="00A72437"/>
    <w:rsid w:val="00A727C6"/>
    <w:rsid w:val="00A73FED"/>
    <w:rsid w:val="00A77149"/>
    <w:rsid w:val="00A8048B"/>
    <w:rsid w:val="00A80611"/>
    <w:rsid w:val="00A817E9"/>
    <w:rsid w:val="00AA5BF4"/>
    <w:rsid w:val="00AA5F6B"/>
    <w:rsid w:val="00AB4AC8"/>
    <w:rsid w:val="00AB5340"/>
    <w:rsid w:val="00AC0A89"/>
    <w:rsid w:val="00AC3BFE"/>
    <w:rsid w:val="00AC7C96"/>
    <w:rsid w:val="00AD6CAF"/>
    <w:rsid w:val="00AE237D"/>
    <w:rsid w:val="00AE502A"/>
    <w:rsid w:val="00AF0010"/>
    <w:rsid w:val="00AF2C1F"/>
    <w:rsid w:val="00AF374C"/>
    <w:rsid w:val="00AF7C07"/>
    <w:rsid w:val="00B06C64"/>
    <w:rsid w:val="00B11CAC"/>
    <w:rsid w:val="00B1432D"/>
    <w:rsid w:val="00B15A29"/>
    <w:rsid w:val="00B1730F"/>
    <w:rsid w:val="00B22C93"/>
    <w:rsid w:val="00B27589"/>
    <w:rsid w:val="00B3554E"/>
    <w:rsid w:val="00B405B7"/>
    <w:rsid w:val="00B43AE4"/>
    <w:rsid w:val="00B43B22"/>
    <w:rsid w:val="00B52182"/>
    <w:rsid w:val="00B52222"/>
    <w:rsid w:val="00B531DA"/>
    <w:rsid w:val="00B54895"/>
    <w:rsid w:val="00B54FE7"/>
    <w:rsid w:val="00B647C6"/>
    <w:rsid w:val="00B655F9"/>
    <w:rsid w:val="00B66901"/>
    <w:rsid w:val="00B71E6D"/>
    <w:rsid w:val="00B72070"/>
    <w:rsid w:val="00B779E1"/>
    <w:rsid w:val="00B803EF"/>
    <w:rsid w:val="00B81E3A"/>
    <w:rsid w:val="00B85CFB"/>
    <w:rsid w:val="00B900C0"/>
    <w:rsid w:val="00B91EE1"/>
    <w:rsid w:val="00B9321D"/>
    <w:rsid w:val="00B93C01"/>
    <w:rsid w:val="00B94602"/>
    <w:rsid w:val="00BA0090"/>
    <w:rsid w:val="00BA1A67"/>
    <w:rsid w:val="00BA36E5"/>
    <w:rsid w:val="00BA6A80"/>
    <w:rsid w:val="00BB01AC"/>
    <w:rsid w:val="00BB4ABB"/>
    <w:rsid w:val="00BE0C49"/>
    <w:rsid w:val="00BE1699"/>
    <w:rsid w:val="00BE5B5F"/>
    <w:rsid w:val="00BE7993"/>
    <w:rsid w:val="00C02FB6"/>
    <w:rsid w:val="00C20379"/>
    <w:rsid w:val="00C23CBC"/>
    <w:rsid w:val="00C26F55"/>
    <w:rsid w:val="00C30C63"/>
    <w:rsid w:val="00C30FF3"/>
    <w:rsid w:val="00C3600E"/>
    <w:rsid w:val="00C36B8B"/>
    <w:rsid w:val="00C415C1"/>
    <w:rsid w:val="00C47DBF"/>
    <w:rsid w:val="00C510F4"/>
    <w:rsid w:val="00C552FF"/>
    <w:rsid w:val="00C558DA"/>
    <w:rsid w:val="00C55AF3"/>
    <w:rsid w:val="00C61C72"/>
    <w:rsid w:val="00C74894"/>
    <w:rsid w:val="00C75D51"/>
    <w:rsid w:val="00C771A9"/>
    <w:rsid w:val="00C84759"/>
    <w:rsid w:val="00C92996"/>
    <w:rsid w:val="00C968BB"/>
    <w:rsid w:val="00CA170B"/>
    <w:rsid w:val="00CA5CA9"/>
    <w:rsid w:val="00CA6C7F"/>
    <w:rsid w:val="00CA70B2"/>
    <w:rsid w:val="00CC02FF"/>
    <w:rsid w:val="00CC0FC7"/>
    <w:rsid w:val="00CC10A6"/>
    <w:rsid w:val="00CD5EB8"/>
    <w:rsid w:val="00CD7044"/>
    <w:rsid w:val="00CD7E37"/>
    <w:rsid w:val="00CE08B9"/>
    <w:rsid w:val="00CE524C"/>
    <w:rsid w:val="00CF141F"/>
    <w:rsid w:val="00CF2843"/>
    <w:rsid w:val="00CF4777"/>
    <w:rsid w:val="00CF65C8"/>
    <w:rsid w:val="00D013F5"/>
    <w:rsid w:val="00D05E3F"/>
    <w:rsid w:val="00D067BB"/>
    <w:rsid w:val="00D1352A"/>
    <w:rsid w:val="00D169AF"/>
    <w:rsid w:val="00D24E85"/>
    <w:rsid w:val="00D25249"/>
    <w:rsid w:val="00D25486"/>
    <w:rsid w:val="00D32406"/>
    <w:rsid w:val="00D44172"/>
    <w:rsid w:val="00D44E89"/>
    <w:rsid w:val="00D47BE3"/>
    <w:rsid w:val="00D63B8C"/>
    <w:rsid w:val="00D6719D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C20FB"/>
    <w:rsid w:val="00DC46FF"/>
    <w:rsid w:val="00DC5254"/>
    <w:rsid w:val="00DC569D"/>
    <w:rsid w:val="00DD1A4F"/>
    <w:rsid w:val="00DD3107"/>
    <w:rsid w:val="00DD746C"/>
    <w:rsid w:val="00DD7C2C"/>
    <w:rsid w:val="00DE5BDA"/>
    <w:rsid w:val="00DF3944"/>
    <w:rsid w:val="00DF433C"/>
    <w:rsid w:val="00E0035A"/>
    <w:rsid w:val="00E06797"/>
    <w:rsid w:val="00E1265B"/>
    <w:rsid w:val="00E13714"/>
    <w:rsid w:val="00E13B48"/>
    <w:rsid w:val="00E1404F"/>
    <w:rsid w:val="00E21C83"/>
    <w:rsid w:val="00E24ADA"/>
    <w:rsid w:val="00E25B92"/>
    <w:rsid w:val="00E32F59"/>
    <w:rsid w:val="00E40F10"/>
    <w:rsid w:val="00E41908"/>
    <w:rsid w:val="00E43C3A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0D17"/>
    <w:rsid w:val="00EA39E5"/>
    <w:rsid w:val="00EA57A3"/>
    <w:rsid w:val="00EB1B0D"/>
    <w:rsid w:val="00EB1D3E"/>
    <w:rsid w:val="00EB2BF2"/>
    <w:rsid w:val="00EC0F68"/>
    <w:rsid w:val="00EC2813"/>
    <w:rsid w:val="00EC5A46"/>
    <w:rsid w:val="00EC63E2"/>
    <w:rsid w:val="00ED366A"/>
    <w:rsid w:val="00ED6BB7"/>
    <w:rsid w:val="00EE3823"/>
    <w:rsid w:val="00EF11DA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43DA1"/>
    <w:rsid w:val="00F510F5"/>
    <w:rsid w:val="00F56CA5"/>
    <w:rsid w:val="00F61ADD"/>
    <w:rsid w:val="00F650C3"/>
    <w:rsid w:val="00F65D85"/>
    <w:rsid w:val="00F6700B"/>
    <w:rsid w:val="00F8091E"/>
    <w:rsid w:val="00F8615C"/>
    <w:rsid w:val="00F96035"/>
    <w:rsid w:val="00F969E5"/>
    <w:rsid w:val="00FA4972"/>
    <w:rsid w:val="00FA6BB0"/>
    <w:rsid w:val="00FB075B"/>
    <w:rsid w:val="00FB2DBD"/>
    <w:rsid w:val="00FD48DF"/>
    <w:rsid w:val="00FD5860"/>
    <w:rsid w:val="00FE2D5B"/>
    <w:rsid w:val="00FE352D"/>
    <w:rsid w:val="00FE40EB"/>
    <w:rsid w:val="00FE4BCD"/>
    <w:rsid w:val="00FE4D02"/>
    <w:rsid w:val="00FE7D62"/>
    <w:rsid w:val="00FF3819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  <w:rPr>
      <w:lang w:val="x-none"/>
    </w:rPr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numbering" w:customStyle="1" w:styleId="Normallist1">
    <w:name w:val="Normal_list1"/>
    <w:basedOn w:val="NoList"/>
    <w:rsid w:val="0015219A"/>
  </w:style>
  <w:style w:type="paragraph" w:customStyle="1" w:styleId="Default">
    <w:name w:val="Default"/>
    <w:rsid w:val="00871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510F4"/>
    <w:pPr>
      <w:tabs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1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11DA"/>
    <w:rPr>
      <w:sz w:val="18"/>
      <w:lang w:eastAsia="en-US"/>
    </w:rPr>
  </w:style>
  <w:style w:type="paragraph" w:styleId="Revision">
    <w:name w:val="Revision"/>
    <w:hidden/>
    <w:uiPriority w:val="99"/>
    <w:semiHidden/>
    <w:rsid w:val="006A7CA0"/>
    <w:rPr>
      <w:lang w:eastAsia="en-US"/>
    </w:rPr>
  </w:style>
  <w:style w:type="character" w:customStyle="1" w:styleId="apple-converted-space">
    <w:name w:val="apple-converted-space"/>
    <w:basedOn w:val="DefaultParagraphFont"/>
    <w:rsid w:val="0068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  <w:rPr>
      <w:lang w:val="x-none"/>
    </w:rPr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numbering" w:customStyle="1" w:styleId="Normallist1">
    <w:name w:val="Normal_list1"/>
    <w:basedOn w:val="NoList"/>
    <w:rsid w:val="0015219A"/>
  </w:style>
  <w:style w:type="paragraph" w:customStyle="1" w:styleId="Default">
    <w:name w:val="Default"/>
    <w:rsid w:val="00871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510F4"/>
    <w:pPr>
      <w:tabs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1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11DA"/>
    <w:rPr>
      <w:sz w:val="18"/>
      <w:lang w:eastAsia="en-US"/>
    </w:rPr>
  </w:style>
  <w:style w:type="paragraph" w:styleId="Revision">
    <w:name w:val="Revision"/>
    <w:hidden/>
    <w:uiPriority w:val="99"/>
    <w:semiHidden/>
    <w:rsid w:val="006A7CA0"/>
    <w:rPr>
      <w:lang w:eastAsia="en-US"/>
    </w:rPr>
  </w:style>
  <w:style w:type="character" w:customStyle="1" w:styleId="apple-converted-space">
    <w:name w:val="apple-converted-space"/>
    <w:basedOn w:val="DefaultParagraphFont"/>
    <w:rsid w:val="0068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min.ch/opc/de/classified-compilation/20141858/index.html" TargetMode="External"/><Relationship Id="rId2" Type="http://schemas.openxmlformats.org/officeDocument/2006/relationships/hyperlink" Target="http://www.mapama.gob.es/es/costas/temas/proteccion-medio-marino/directrices2015_tcm7-325119.pdf" TargetMode="External"/><Relationship Id="rId1" Type="http://schemas.openxmlformats.org/officeDocument/2006/relationships/hyperlink" Target="http://mercuryconvention.org/Negotiations/submissionsforCOP1/tabid/5535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52E9-0439-4E73-A72A-B94612A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1763</Words>
  <Characters>10119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11859</CharactersWithSpaces>
  <SharedDoc>false</SharedDoc>
  <HLinks>
    <vt:vector size="6" baseType="variant"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http://mercuryconvention.org/Negotiations/submissionsforCOP1/tabid/5535/Default.aspx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Veronica Gathu</cp:lastModifiedBy>
  <cp:revision>8</cp:revision>
  <cp:lastPrinted>2017-05-25T08:00:00Z</cp:lastPrinted>
  <dcterms:created xsi:type="dcterms:W3CDTF">2017-06-05T14:14:00Z</dcterms:created>
  <dcterms:modified xsi:type="dcterms:W3CDTF">2017-06-09T05:37:00Z</dcterms:modified>
</cp:coreProperties>
</file>