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F81C3A" w:rsidTr="00E976AB">
        <w:trPr>
          <w:cantSplit/>
          <w:trHeight w:val="850"/>
          <w:jc w:val="right"/>
        </w:trPr>
        <w:tc>
          <w:tcPr>
            <w:tcW w:w="1560" w:type="dxa"/>
          </w:tcPr>
          <w:p w:rsidR="00032E4E" w:rsidRPr="00F81C3A" w:rsidRDefault="00032E4E" w:rsidP="00023DA9">
            <w:pPr>
              <w:rPr>
                <w:rFonts w:ascii="Univers" w:hAnsi="Univers"/>
                <w:b/>
                <w:noProof/>
                <w:sz w:val="27"/>
                <w:szCs w:val="27"/>
              </w:rPr>
            </w:pPr>
            <w:r w:rsidRPr="00F81C3A">
              <w:rPr>
                <w:rFonts w:ascii="Arial" w:hAnsi="Arial" w:cs="Arial"/>
                <w:b/>
                <w:noProof/>
                <w:sz w:val="27"/>
                <w:szCs w:val="27"/>
              </w:rPr>
              <w:t>UNITED</w:t>
            </w:r>
            <w:r w:rsidRPr="00F81C3A">
              <w:rPr>
                <w:rFonts w:ascii="Arial" w:hAnsi="Arial" w:cs="Arial"/>
                <w:b/>
                <w:noProof/>
                <w:sz w:val="27"/>
                <w:szCs w:val="27"/>
              </w:rPr>
              <w:br/>
              <w:t>NATIONS</w:t>
            </w:r>
          </w:p>
        </w:tc>
        <w:tc>
          <w:tcPr>
            <w:tcW w:w="4785" w:type="dxa"/>
          </w:tcPr>
          <w:p w:rsidR="00032E4E" w:rsidRPr="00F81C3A" w:rsidRDefault="00032E4E" w:rsidP="00023DA9">
            <w:pPr>
              <w:rPr>
                <w:rFonts w:ascii="Univers" w:hAnsi="Univers"/>
                <w:b/>
                <w:sz w:val="27"/>
                <w:szCs w:val="27"/>
              </w:rPr>
            </w:pPr>
          </w:p>
        </w:tc>
        <w:tc>
          <w:tcPr>
            <w:tcW w:w="3435" w:type="dxa"/>
          </w:tcPr>
          <w:p w:rsidR="00032E4E" w:rsidRPr="00F81C3A" w:rsidRDefault="00787688" w:rsidP="00023DA9">
            <w:pPr>
              <w:jc w:val="right"/>
              <w:rPr>
                <w:rFonts w:ascii="Arial" w:hAnsi="Arial" w:cs="Arial"/>
                <w:b/>
                <w:sz w:val="64"/>
                <w:szCs w:val="64"/>
              </w:rPr>
            </w:pPr>
            <w:r w:rsidRPr="00F81C3A">
              <w:rPr>
                <w:rFonts w:ascii="Arial" w:hAnsi="Arial" w:cs="Arial"/>
                <w:b/>
                <w:sz w:val="64"/>
                <w:szCs w:val="64"/>
              </w:rPr>
              <w:t>MC</w:t>
            </w:r>
          </w:p>
        </w:tc>
      </w:tr>
      <w:tr w:rsidR="00032E4E" w:rsidRPr="00F81C3A" w:rsidTr="00E976AB">
        <w:trPr>
          <w:cantSplit/>
          <w:trHeight w:val="281"/>
          <w:jc w:val="right"/>
        </w:trPr>
        <w:tc>
          <w:tcPr>
            <w:tcW w:w="1560" w:type="dxa"/>
            <w:tcBorders>
              <w:bottom w:val="single" w:sz="4" w:space="0" w:color="auto"/>
            </w:tcBorders>
          </w:tcPr>
          <w:p w:rsidR="00032E4E" w:rsidRPr="00F81C3A" w:rsidRDefault="00032E4E" w:rsidP="00023DA9">
            <w:pPr>
              <w:rPr>
                <w:noProof/>
                <w:sz w:val="18"/>
                <w:szCs w:val="18"/>
              </w:rPr>
            </w:pPr>
          </w:p>
        </w:tc>
        <w:tc>
          <w:tcPr>
            <w:tcW w:w="4785" w:type="dxa"/>
            <w:tcBorders>
              <w:bottom w:val="single" w:sz="4" w:space="0" w:color="auto"/>
            </w:tcBorders>
          </w:tcPr>
          <w:p w:rsidR="00032E4E" w:rsidRPr="00F81C3A" w:rsidRDefault="00032E4E" w:rsidP="00023DA9">
            <w:pPr>
              <w:rPr>
                <w:rFonts w:ascii="Univers" w:hAnsi="Univers"/>
                <w:b/>
                <w:sz w:val="18"/>
                <w:szCs w:val="18"/>
              </w:rPr>
            </w:pPr>
          </w:p>
        </w:tc>
        <w:tc>
          <w:tcPr>
            <w:tcW w:w="3435" w:type="dxa"/>
            <w:tcBorders>
              <w:bottom w:val="single" w:sz="4" w:space="0" w:color="auto"/>
            </w:tcBorders>
          </w:tcPr>
          <w:p w:rsidR="00032E4E" w:rsidRPr="00F81C3A" w:rsidRDefault="00032E4E" w:rsidP="0046072B">
            <w:pPr>
              <w:rPr>
                <w:noProof/>
                <w:sz w:val="18"/>
                <w:szCs w:val="18"/>
              </w:rPr>
            </w:pPr>
            <w:r w:rsidRPr="00F81C3A">
              <w:rPr>
                <w:b/>
                <w:bCs/>
                <w:sz w:val="28"/>
              </w:rPr>
              <w:t>UNEP</w:t>
            </w:r>
            <w:bookmarkStart w:id="0" w:name="OLE_LINK1"/>
            <w:bookmarkStart w:id="1" w:name="OLE_LINK2"/>
            <w:r w:rsidR="00787688" w:rsidRPr="00F81C3A">
              <w:rPr>
                <w:b/>
                <w:bCs/>
                <w:sz w:val="28"/>
              </w:rPr>
              <w:t>/</w:t>
            </w:r>
            <w:r w:rsidR="00787688" w:rsidRPr="00F81C3A">
              <w:t>MC</w:t>
            </w:r>
            <w:r w:rsidRPr="00F81C3A">
              <w:t>/</w:t>
            </w:r>
            <w:bookmarkEnd w:id="0"/>
            <w:bookmarkEnd w:id="1"/>
            <w:r w:rsidR="00787688" w:rsidRPr="00F81C3A">
              <w:t>COP.1</w:t>
            </w:r>
            <w:r w:rsidRPr="00F81C3A">
              <w:t>/</w:t>
            </w:r>
            <w:r w:rsidR="00131DD4" w:rsidRPr="00F81C3A">
              <w:t>2</w:t>
            </w:r>
            <w:r w:rsidR="0046072B" w:rsidRPr="00F81C3A">
              <w:t>5</w:t>
            </w:r>
          </w:p>
        </w:tc>
      </w:tr>
      <w:bookmarkStart w:id="2" w:name="_MON_1021710510"/>
      <w:bookmarkEnd w:id="2"/>
      <w:bookmarkStart w:id="3" w:name="_MON_1021710482"/>
      <w:bookmarkEnd w:id="3"/>
      <w:tr w:rsidR="00032E4E" w:rsidRPr="00F81C3A" w:rsidTr="00E976AB">
        <w:trPr>
          <w:cantSplit/>
          <w:trHeight w:val="2549"/>
          <w:jc w:val="right"/>
        </w:trPr>
        <w:tc>
          <w:tcPr>
            <w:tcW w:w="1560" w:type="dxa"/>
            <w:tcBorders>
              <w:top w:val="single" w:sz="4" w:space="0" w:color="auto"/>
              <w:bottom w:val="single" w:sz="24" w:space="0" w:color="auto"/>
            </w:tcBorders>
          </w:tcPr>
          <w:p w:rsidR="00032E4E" w:rsidRPr="00F81C3A" w:rsidRDefault="00032E4E" w:rsidP="00023DA9">
            <w:pPr>
              <w:rPr>
                <w:noProof/>
              </w:rPr>
            </w:pPr>
            <w:r w:rsidRPr="00F81C3A">
              <w:rPr>
                <w:noProof/>
              </w:rPr>
              <w:object w:dxaOrig="1831" w:dyaOrig="1726" w14:anchorId="7DC83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5pt;height:61.8pt" o:ole="" fillcolor="window">
                  <v:imagedata r:id="rId10" o:title=""/>
                </v:shape>
                <o:OLEObject Type="Embed" ProgID="Word.Picture.8" ShapeID="_x0000_i1025" DrawAspect="Content" ObjectID="_1561292272" r:id="rId11"/>
              </w:object>
            </w:r>
            <w:r w:rsidR="00E46B4B" w:rsidRPr="00F81C3A">
              <w:rPr>
                <w:noProof/>
                <w:lang w:val="en-US"/>
              </w:rPr>
              <w:drawing>
                <wp:inline distT="0" distB="0" distL="0" distR="0" wp14:anchorId="313C6136" wp14:editId="746A3220">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rsidR="00032E4E" w:rsidRPr="00F81C3A" w:rsidRDefault="00032E4E" w:rsidP="00023DA9">
            <w:pPr>
              <w:spacing w:before="1200"/>
              <w:rPr>
                <w:rFonts w:ascii="Arial" w:hAnsi="Arial" w:cs="Arial"/>
                <w:b/>
                <w:sz w:val="28"/>
              </w:rPr>
            </w:pPr>
            <w:r w:rsidRPr="00F81C3A">
              <w:rPr>
                <w:rFonts w:ascii="Arial" w:hAnsi="Arial" w:cs="Arial"/>
                <w:b/>
                <w:sz w:val="32"/>
                <w:szCs w:val="32"/>
              </w:rPr>
              <w:t>United Nations</w:t>
            </w:r>
            <w:r w:rsidRPr="00F81C3A">
              <w:rPr>
                <w:rFonts w:ascii="Arial" w:hAnsi="Arial" w:cs="Arial"/>
                <w:b/>
                <w:sz w:val="32"/>
                <w:szCs w:val="32"/>
              </w:rPr>
              <w:br w:type="textWrapping" w:clear="all"/>
              <w:t>Environment</w:t>
            </w:r>
            <w:r w:rsidRPr="00F81C3A">
              <w:rPr>
                <w:rFonts w:ascii="Arial" w:hAnsi="Arial" w:cs="Arial"/>
                <w:b/>
                <w:sz w:val="32"/>
                <w:szCs w:val="32"/>
              </w:rPr>
              <w:br w:type="textWrapping" w:clear="all"/>
              <w:t>Programme</w:t>
            </w:r>
          </w:p>
        </w:tc>
        <w:tc>
          <w:tcPr>
            <w:tcW w:w="3435" w:type="dxa"/>
            <w:tcBorders>
              <w:top w:val="single" w:sz="4" w:space="0" w:color="auto"/>
              <w:bottom w:val="single" w:sz="24" w:space="0" w:color="auto"/>
            </w:tcBorders>
          </w:tcPr>
          <w:p w:rsidR="00032E4E" w:rsidRPr="00F81C3A" w:rsidRDefault="00032E4E" w:rsidP="00787688">
            <w:pPr>
              <w:spacing w:before="120"/>
            </w:pPr>
            <w:r w:rsidRPr="00F81C3A">
              <w:t>Distr.: General</w:t>
            </w:r>
            <w:r w:rsidRPr="00F81C3A">
              <w:br w:type="textWrapping" w:clear="all"/>
            </w:r>
            <w:r w:rsidR="006063C7" w:rsidRPr="00F81C3A">
              <w:t xml:space="preserve">24 </w:t>
            </w:r>
            <w:r w:rsidR="00131DD4" w:rsidRPr="00F81C3A">
              <w:t>April 2017</w:t>
            </w:r>
          </w:p>
          <w:p w:rsidR="00032E4E" w:rsidRPr="00F81C3A" w:rsidRDefault="00032E4E" w:rsidP="003F1FDE">
            <w:pPr>
              <w:spacing w:before="120"/>
            </w:pPr>
            <w:r w:rsidRPr="00F81C3A">
              <w:t>Original: English</w:t>
            </w:r>
          </w:p>
        </w:tc>
      </w:tr>
    </w:tbl>
    <w:p w:rsidR="00787688" w:rsidRPr="00F81C3A" w:rsidRDefault="00787688" w:rsidP="00E04F7A">
      <w:pPr>
        <w:pStyle w:val="AATitle"/>
        <w:keepNext w:val="0"/>
        <w:keepLines w:val="0"/>
      </w:pPr>
      <w:bookmarkStart w:id="4" w:name="_Toc480886662"/>
      <w:r w:rsidRPr="00F81C3A">
        <w:t>Conference of the Parties</w:t>
      </w:r>
      <w:r w:rsidR="00A53875" w:rsidRPr="00F81C3A">
        <w:t xml:space="preserve"> </w:t>
      </w:r>
      <w:r w:rsidR="00E04F7A" w:rsidRPr="00F81C3A">
        <w:t>to</w:t>
      </w:r>
      <w:r w:rsidR="00A53875" w:rsidRPr="00F81C3A">
        <w:t xml:space="preserve"> the</w:t>
      </w:r>
      <w:bookmarkEnd w:id="4"/>
      <w:r w:rsidR="00A53875" w:rsidRPr="00F81C3A">
        <w:t xml:space="preserve"> </w:t>
      </w:r>
    </w:p>
    <w:p w:rsidR="00A53875" w:rsidRPr="00F81C3A" w:rsidRDefault="00A53875" w:rsidP="00A53875">
      <w:pPr>
        <w:pStyle w:val="AATitle"/>
        <w:keepNext w:val="0"/>
        <w:keepLines w:val="0"/>
      </w:pPr>
      <w:bookmarkStart w:id="5" w:name="_Toc480886663"/>
      <w:r w:rsidRPr="00F81C3A">
        <w:t>Minamata Convention on Mercury</w:t>
      </w:r>
      <w:bookmarkEnd w:id="5"/>
    </w:p>
    <w:p w:rsidR="00E976AB" w:rsidRPr="00F81C3A" w:rsidRDefault="00787688" w:rsidP="00E976AB">
      <w:pPr>
        <w:pStyle w:val="AATitle"/>
        <w:keepNext w:val="0"/>
        <w:keepLines w:val="0"/>
      </w:pPr>
      <w:bookmarkStart w:id="6" w:name="_Toc480886664"/>
      <w:r w:rsidRPr="00F81C3A">
        <w:t>First meeting</w:t>
      </w:r>
      <w:bookmarkEnd w:id="6"/>
    </w:p>
    <w:p w:rsidR="00E976AB" w:rsidRPr="00F81C3A" w:rsidRDefault="00787688" w:rsidP="00465D27">
      <w:pPr>
        <w:pStyle w:val="AATitle"/>
        <w:rPr>
          <w:b w:val="0"/>
        </w:rPr>
      </w:pPr>
      <w:bookmarkStart w:id="7" w:name="_Toc480886665"/>
      <w:r w:rsidRPr="00F81C3A">
        <w:rPr>
          <w:b w:val="0"/>
        </w:rPr>
        <w:t>Geneva</w:t>
      </w:r>
      <w:r w:rsidR="00E976AB" w:rsidRPr="00F81C3A">
        <w:rPr>
          <w:b w:val="0"/>
        </w:rPr>
        <w:t xml:space="preserve">, </w:t>
      </w:r>
      <w:r w:rsidR="00465D27" w:rsidRPr="00F81C3A">
        <w:rPr>
          <w:b w:val="0"/>
        </w:rPr>
        <w:t>24–29 September</w:t>
      </w:r>
      <w:r w:rsidRPr="00F81C3A">
        <w:rPr>
          <w:b w:val="0"/>
        </w:rPr>
        <w:t xml:space="preserve"> 2017</w:t>
      </w:r>
      <w:bookmarkEnd w:id="7"/>
    </w:p>
    <w:p w:rsidR="00312543" w:rsidRPr="00F81C3A" w:rsidRDefault="00312543" w:rsidP="0046072B">
      <w:pPr>
        <w:pStyle w:val="AATitle"/>
        <w:keepNext w:val="0"/>
        <w:keepLines w:val="0"/>
        <w:rPr>
          <w:b w:val="0"/>
        </w:rPr>
      </w:pPr>
      <w:bookmarkStart w:id="8" w:name="_Toc480886666"/>
      <w:r w:rsidRPr="00F81C3A">
        <w:rPr>
          <w:b w:val="0"/>
        </w:rPr>
        <w:t xml:space="preserve">Item </w:t>
      </w:r>
      <w:r w:rsidR="0046072B" w:rsidRPr="00F81C3A">
        <w:rPr>
          <w:b w:val="0"/>
        </w:rPr>
        <w:t>6</w:t>
      </w:r>
      <w:r w:rsidRPr="00F81C3A">
        <w:rPr>
          <w:b w:val="0"/>
        </w:rPr>
        <w:t xml:space="preserve"> (</w:t>
      </w:r>
      <w:r w:rsidR="0046072B" w:rsidRPr="00F81C3A">
        <w:rPr>
          <w:b w:val="0"/>
        </w:rPr>
        <w:t>g</w:t>
      </w:r>
      <w:r w:rsidRPr="00F81C3A">
        <w:rPr>
          <w:b w:val="0"/>
        </w:rPr>
        <w:t>) of the provisional agenda</w:t>
      </w:r>
      <w:r w:rsidRPr="00F81C3A">
        <w:rPr>
          <w:b w:val="0"/>
        </w:rPr>
        <w:footnoteReference w:customMarkFollows="1" w:id="2"/>
        <w:t>*</w:t>
      </w:r>
      <w:bookmarkEnd w:id="8"/>
    </w:p>
    <w:p w:rsidR="00787688" w:rsidRPr="00F81C3A" w:rsidRDefault="00131DD4" w:rsidP="00F204CF">
      <w:pPr>
        <w:pStyle w:val="AATitle"/>
        <w:spacing w:before="60"/>
      </w:pPr>
      <w:bookmarkStart w:id="9" w:name="_Toc480886667"/>
      <w:r w:rsidRPr="00F81C3A">
        <w:t>Matters stipulated by the Convention for action by the Conference of the Parties</w:t>
      </w:r>
      <w:r w:rsidR="0046072B" w:rsidRPr="00F81C3A">
        <w:t xml:space="preserve">: </w:t>
      </w:r>
      <w:r w:rsidR="000F3C8B" w:rsidRPr="00F81C3A">
        <w:t>t</w:t>
      </w:r>
      <w:r w:rsidR="0046072B" w:rsidRPr="00F81C3A">
        <w:t>he guidelines on the interim storage of mercury and mercury compounds referred to in paragraph 3 of article 10</w:t>
      </w:r>
      <w:bookmarkEnd w:id="9"/>
    </w:p>
    <w:p w:rsidR="00312543" w:rsidRPr="00F81C3A" w:rsidRDefault="0046072B" w:rsidP="00312543">
      <w:pPr>
        <w:pStyle w:val="BBTitle"/>
      </w:pPr>
      <w:r w:rsidRPr="00F81C3A">
        <w:t>Draft guidelin</w:t>
      </w:r>
      <w:bookmarkStart w:id="10" w:name="_GoBack"/>
      <w:bookmarkEnd w:id="10"/>
      <w:r w:rsidRPr="00F81C3A">
        <w:t>es on the interim storage of mercury and mercury compounds referred to in paragraph 3 of article 10</w:t>
      </w:r>
    </w:p>
    <w:p w:rsidR="00312543" w:rsidRPr="00F81C3A" w:rsidRDefault="00312543" w:rsidP="00312543">
      <w:pPr>
        <w:pStyle w:val="CH2"/>
      </w:pPr>
      <w:r w:rsidRPr="00F81C3A">
        <w:tab/>
      </w:r>
      <w:r w:rsidRPr="00F81C3A">
        <w:tab/>
      </w:r>
      <w:bookmarkStart w:id="11" w:name="_Toc480886668"/>
      <w:bookmarkStart w:id="12" w:name="_Toc483401100"/>
      <w:r w:rsidRPr="00F81C3A">
        <w:t>Note by the secretariat</w:t>
      </w:r>
      <w:bookmarkEnd w:id="11"/>
      <w:bookmarkEnd w:id="12"/>
    </w:p>
    <w:p w:rsidR="0046072B" w:rsidRPr="00F81C3A" w:rsidRDefault="00212ECE" w:rsidP="00B16199">
      <w:pPr>
        <w:pStyle w:val="Normalnumber"/>
        <w:tabs>
          <w:tab w:val="clear" w:pos="1305"/>
          <w:tab w:val="clear" w:pos="1814"/>
          <w:tab w:val="clear" w:pos="2381"/>
          <w:tab w:val="clear" w:pos="2948"/>
          <w:tab w:val="clear" w:pos="3515"/>
          <w:tab w:val="clear" w:pos="4082"/>
          <w:tab w:val="left" w:pos="624"/>
          <w:tab w:val="left" w:pos="1871"/>
          <w:tab w:val="left" w:pos="2495"/>
        </w:tabs>
        <w:ind w:left="1247"/>
      </w:pPr>
      <w:r>
        <w:t>Paragraph 3 of article 10 of t</w:t>
      </w:r>
      <w:r w:rsidR="00312543" w:rsidRPr="00F81C3A">
        <w:t xml:space="preserve">he </w:t>
      </w:r>
      <w:proofErr w:type="spellStart"/>
      <w:r w:rsidR="00312543" w:rsidRPr="00F81C3A">
        <w:t>Minamata</w:t>
      </w:r>
      <w:proofErr w:type="spellEnd"/>
      <w:r w:rsidR="00312543" w:rsidRPr="00F81C3A">
        <w:t xml:space="preserve"> Convention on Mercury provides </w:t>
      </w:r>
      <w:r w:rsidR="00131DD4" w:rsidRPr="00F81C3A">
        <w:t xml:space="preserve">that </w:t>
      </w:r>
      <w:r w:rsidR="00312543" w:rsidRPr="00F81C3A">
        <w:t xml:space="preserve">the Conference of the Parties shall </w:t>
      </w:r>
      <w:r w:rsidR="0046072B" w:rsidRPr="00F81C3A">
        <w:t xml:space="preserve">adopt guidelines on the environmentally sound interim storage of mercury and mercury </w:t>
      </w:r>
      <w:r w:rsidR="0046072B" w:rsidRPr="000A2CCE">
        <w:t>compounds</w:t>
      </w:r>
      <w:r w:rsidR="000A2CCE">
        <w:t xml:space="preserve">, other than waste mercury, </w:t>
      </w:r>
      <w:r w:rsidR="0046072B" w:rsidRPr="00F81C3A">
        <w:t xml:space="preserve">taking into account any relevant guidelines developed under the Basel Convention on the Control of Transboundary Movements of Hazardous Wastes and Their Disposal and other relevant guidance.  </w:t>
      </w:r>
    </w:p>
    <w:p w:rsidR="0046072B" w:rsidRPr="00F81C3A" w:rsidRDefault="00E9338F" w:rsidP="00B16199">
      <w:pPr>
        <w:pStyle w:val="Normalnumber"/>
        <w:tabs>
          <w:tab w:val="clear" w:pos="1305"/>
          <w:tab w:val="clear" w:pos="1814"/>
          <w:tab w:val="clear" w:pos="2381"/>
          <w:tab w:val="clear" w:pos="2948"/>
          <w:tab w:val="clear" w:pos="3515"/>
          <w:tab w:val="clear" w:pos="4082"/>
          <w:tab w:val="left" w:pos="624"/>
          <w:tab w:val="left" w:pos="1871"/>
          <w:tab w:val="left" w:pos="2495"/>
        </w:tabs>
        <w:ind w:left="1247"/>
      </w:pPr>
      <w:r w:rsidRPr="00F81C3A">
        <w:t>At its sixth session, the intergovernmental negotiating committee to prepare a</w:t>
      </w:r>
      <w:r w:rsidR="008A3336" w:rsidRPr="00F81C3A">
        <w:t xml:space="preserve"> global</w:t>
      </w:r>
      <w:r w:rsidRPr="00F81C3A">
        <w:t xml:space="preserve"> legally binding instrument on mercury considered the issue of interim storage, and requested countries to provide the secretariat with information on sound mercury interim storage practices that they had adopted and successfully implemented. The committee requested the secretariat to prepare, for consideration at </w:t>
      </w:r>
      <w:r w:rsidR="007664E9" w:rsidRPr="00F81C3A">
        <w:t>the committee’s</w:t>
      </w:r>
      <w:r w:rsidRPr="00F81C3A">
        <w:t xml:space="preserve"> seventh session, a compilation and summary of the information provided by countries; to identify, in collaboration with the secretariat of the Basel Convention and relevant experts, those parts of the technical guidelines for the environmentally sound management of wastes consisting of elemental mercury and wastes containing or contaminated with mercury developed under the Basel Convention that might be relevant to the interim storage of mercury other than waste mercury; and to propose a road map for work on interim storage guidelines.</w:t>
      </w:r>
    </w:p>
    <w:p w:rsidR="005F71EF" w:rsidRPr="00F81C3A" w:rsidRDefault="00E9338F" w:rsidP="00B16199">
      <w:pPr>
        <w:pStyle w:val="Normalnumbe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At its seventh session, the committee considered the information provided by countries and requested the </w:t>
      </w:r>
      <w:r w:rsidR="00693583" w:rsidRPr="00F81C3A">
        <w:t xml:space="preserve">interim </w:t>
      </w:r>
      <w:r w:rsidRPr="00F81C3A">
        <w:t>secretariat to prepare draft guidelines on storage in line with the road</w:t>
      </w:r>
      <w:r w:rsidR="00B01DB8" w:rsidRPr="00F81C3A">
        <w:t xml:space="preserve"> </w:t>
      </w:r>
      <w:r w:rsidRPr="00F81C3A">
        <w:t xml:space="preserve">map agreed </w:t>
      </w:r>
      <w:r w:rsidR="007664E9" w:rsidRPr="00F81C3A">
        <w:t xml:space="preserve">on </w:t>
      </w:r>
      <w:r w:rsidRPr="00F81C3A">
        <w:t>by the committee</w:t>
      </w:r>
      <w:r w:rsidR="00A41276" w:rsidRPr="00F81C3A">
        <w:rPr>
          <w:rStyle w:val="Inget"/>
        </w:rPr>
        <w:t xml:space="preserve"> (UNEP(DTIE)/Hg/INC.7/22/Rev.1</w:t>
      </w:r>
      <w:r w:rsidR="00B01DB8" w:rsidRPr="00F81C3A">
        <w:rPr>
          <w:rStyle w:val="Inget"/>
        </w:rPr>
        <w:t>, annex X</w:t>
      </w:r>
      <w:r w:rsidR="00A41276" w:rsidRPr="00F81C3A">
        <w:rPr>
          <w:rStyle w:val="Inget"/>
        </w:rPr>
        <w:t xml:space="preserve">). </w:t>
      </w:r>
      <w:r w:rsidRPr="00F81C3A">
        <w:t xml:space="preserve"> </w:t>
      </w:r>
    </w:p>
    <w:p w:rsidR="005F71EF" w:rsidRPr="00F81C3A" w:rsidRDefault="008008C4" w:rsidP="00B16199">
      <w:pPr>
        <w:pStyle w:val="Normalnumber"/>
        <w:tabs>
          <w:tab w:val="clear" w:pos="1305"/>
          <w:tab w:val="clear" w:pos="1814"/>
          <w:tab w:val="clear" w:pos="2381"/>
          <w:tab w:val="clear" w:pos="2948"/>
          <w:tab w:val="clear" w:pos="3515"/>
          <w:tab w:val="clear" w:pos="4082"/>
          <w:tab w:val="left" w:pos="624"/>
          <w:tab w:val="left" w:pos="1871"/>
          <w:tab w:val="left" w:pos="2495"/>
        </w:tabs>
        <w:ind w:left="1247"/>
      </w:pPr>
      <w:r w:rsidRPr="00F81C3A">
        <w:t>As requested, t</w:t>
      </w:r>
      <w:r w:rsidR="00693583" w:rsidRPr="00F81C3A">
        <w:t xml:space="preserve">he interim secretariat invited </w:t>
      </w:r>
      <w:r w:rsidR="00B01DB8" w:rsidRPr="00F81C3A">
        <w:t>G</w:t>
      </w:r>
      <w:r w:rsidR="00693583" w:rsidRPr="00F81C3A">
        <w:t xml:space="preserve">overnments and others to nominate relevant experts </w:t>
      </w:r>
      <w:r w:rsidR="00693583" w:rsidRPr="00F81C3A">
        <w:rPr>
          <w:rStyle w:val="Hyperlink0"/>
          <w:lang w:val="en-GB" w:eastAsia="zh-CN"/>
        </w:rPr>
        <w:t xml:space="preserve">to participate in the process of </w:t>
      </w:r>
      <w:r w:rsidR="00B01DB8" w:rsidRPr="00F81C3A">
        <w:rPr>
          <w:rStyle w:val="Hyperlink0"/>
          <w:lang w:val="en-GB" w:eastAsia="zh-CN"/>
        </w:rPr>
        <w:t xml:space="preserve">the </w:t>
      </w:r>
      <w:r w:rsidR="00693583" w:rsidRPr="00F81C3A">
        <w:rPr>
          <w:rStyle w:val="Hyperlink0"/>
          <w:lang w:val="en-GB" w:eastAsia="zh-CN"/>
        </w:rPr>
        <w:t xml:space="preserve">development of draft guidelines. In consultation with the secretariat of the Basel </w:t>
      </w:r>
      <w:r w:rsidR="00693583" w:rsidRPr="00F81C3A">
        <w:t>Convention</w:t>
      </w:r>
      <w:r w:rsidR="00693583" w:rsidRPr="00F81C3A">
        <w:rPr>
          <w:rStyle w:val="Hyperlink0"/>
          <w:lang w:val="en-GB" w:eastAsia="zh-CN"/>
        </w:rPr>
        <w:t xml:space="preserve"> and other relevant stakeholders, the interim secretariat prepared an initial draft o</w:t>
      </w:r>
      <w:r w:rsidR="005F71EF" w:rsidRPr="00F81C3A">
        <w:rPr>
          <w:rStyle w:val="Hyperlink0"/>
          <w:lang w:val="en-GB" w:eastAsia="zh-CN"/>
        </w:rPr>
        <w:t>f the interim storage guidelines</w:t>
      </w:r>
      <w:r w:rsidR="00693583" w:rsidRPr="00F81C3A">
        <w:rPr>
          <w:rStyle w:val="Hyperlink0"/>
          <w:lang w:val="en-GB" w:eastAsia="zh-CN"/>
        </w:rPr>
        <w:t xml:space="preserve">, drawing on the relevant sections of the Basel </w:t>
      </w:r>
      <w:r w:rsidR="00EA4A6C" w:rsidRPr="00F81C3A">
        <w:rPr>
          <w:rStyle w:val="Hyperlink0"/>
          <w:lang w:val="en-GB" w:eastAsia="zh-CN"/>
        </w:rPr>
        <w:t>Convention’s t</w:t>
      </w:r>
      <w:r w:rsidR="00693583" w:rsidRPr="00F81C3A">
        <w:rPr>
          <w:rStyle w:val="Hyperlink0"/>
          <w:lang w:val="en-GB" w:eastAsia="zh-CN"/>
        </w:rPr>
        <w:t xml:space="preserve">echnical </w:t>
      </w:r>
      <w:r w:rsidR="00EA4A6C" w:rsidRPr="00F81C3A">
        <w:rPr>
          <w:rStyle w:val="Hyperlink0"/>
          <w:lang w:val="en-GB" w:eastAsia="zh-CN"/>
        </w:rPr>
        <w:t>g</w:t>
      </w:r>
      <w:r w:rsidR="00693583" w:rsidRPr="00F81C3A">
        <w:rPr>
          <w:rStyle w:val="Hyperlink0"/>
          <w:lang w:val="en-GB" w:eastAsia="zh-CN"/>
        </w:rPr>
        <w:t xml:space="preserve">uidelines </w:t>
      </w:r>
      <w:r w:rsidR="00EA4A6C" w:rsidRPr="00F81C3A">
        <w:t>for</w:t>
      </w:r>
      <w:r w:rsidR="00693583" w:rsidRPr="00F81C3A">
        <w:t xml:space="preserve"> the environmentally sound management of </w:t>
      </w:r>
      <w:r w:rsidR="00EA4A6C" w:rsidRPr="00F81C3A">
        <w:t xml:space="preserve">wastes containing or contaminated with </w:t>
      </w:r>
      <w:r w:rsidR="00693583" w:rsidRPr="00F81C3A">
        <w:t xml:space="preserve">mercury. </w:t>
      </w:r>
      <w:r w:rsidR="00B01DB8" w:rsidRPr="00F81C3A">
        <w:t>In July 2016, t</w:t>
      </w:r>
      <w:r w:rsidR="00693583" w:rsidRPr="00F81C3A">
        <w:t>h</w:t>
      </w:r>
      <w:r w:rsidR="00EA4A6C" w:rsidRPr="00F81C3A">
        <w:t>e</w:t>
      </w:r>
      <w:r w:rsidR="00693583" w:rsidRPr="00F81C3A">
        <w:t xml:space="preserve"> initial draft was circulated to the nominated experts for comment, with</w:t>
      </w:r>
      <w:r w:rsidR="00B01DB8" w:rsidRPr="00F81C3A">
        <w:t xml:space="preserve"> the request that</w:t>
      </w:r>
      <w:r w:rsidR="00693583" w:rsidRPr="00F81C3A">
        <w:t xml:space="preserve"> </w:t>
      </w:r>
      <w:r w:rsidR="00B01DB8" w:rsidRPr="00F81C3A">
        <w:t xml:space="preserve">such </w:t>
      </w:r>
      <w:r w:rsidR="00693583" w:rsidRPr="00F81C3A">
        <w:t xml:space="preserve">comments </w:t>
      </w:r>
      <w:r w:rsidR="00B01DB8" w:rsidRPr="00F81C3A">
        <w:t>be submitted</w:t>
      </w:r>
      <w:r w:rsidR="00693583" w:rsidRPr="00F81C3A">
        <w:t xml:space="preserve"> by November 2016. The comments </w:t>
      </w:r>
      <w:r w:rsidR="00693583" w:rsidRPr="00F81C3A">
        <w:lastRenderedPageBreak/>
        <w:t xml:space="preserve">received were incorporated in the </w:t>
      </w:r>
      <w:r w:rsidR="005F71EF" w:rsidRPr="00F81C3A">
        <w:t xml:space="preserve">draft </w:t>
      </w:r>
      <w:r w:rsidR="00693583" w:rsidRPr="00F81C3A">
        <w:t>guideline</w:t>
      </w:r>
      <w:r w:rsidR="005F71EF" w:rsidRPr="00F81C3A">
        <w:t>s</w:t>
      </w:r>
      <w:r w:rsidR="00693583" w:rsidRPr="00F81C3A">
        <w:t>, and the amended draft guideline</w:t>
      </w:r>
      <w:r w:rsidR="005F71EF" w:rsidRPr="00F81C3A">
        <w:t>s</w:t>
      </w:r>
      <w:r w:rsidR="00693583" w:rsidRPr="00F81C3A">
        <w:t xml:space="preserve"> </w:t>
      </w:r>
      <w:r w:rsidR="005F71EF" w:rsidRPr="00F81C3A">
        <w:t xml:space="preserve">were </w:t>
      </w:r>
      <w:r w:rsidR="00693583" w:rsidRPr="00F81C3A">
        <w:t>circulated to the nominated</w:t>
      </w:r>
      <w:r w:rsidR="005F71EF" w:rsidRPr="00F81C3A">
        <w:t xml:space="preserve"> experts in December </w:t>
      </w:r>
      <w:r w:rsidRPr="00F81C3A">
        <w:t>2016</w:t>
      </w:r>
      <w:r w:rsidR="005F71EF" w:rsidRPr="00F81C3A">
        <w:t xml:space="preserve">. Following discussions with the experts, the draft was made available to all stakeholders through the Minamata Convention website, with </w:t>
      </w:r>
      <w:r w:rsidR="00B01DB8" w:rsidRPr="00F81C3A">
        <w:t xml:space="preserve">the request that </w:t>
      </w:r>
      <w:r w:rsidR="005F71EF" w:rsidRPr="00F81C3A">
        <w:t xml:space="preserve">comments </w:t>
      </w:r>
      <w:r w:rsidR="00B01DB8" w:rsidRPr="00F81C3A">
        <w:t xml:space="preserve">be submitted </w:t>
      </w:r>
      <w:r w:rsidR="005F71EF" w:rsidRPr="00F81C3A">
        <w:t xml:space="preserve">by 23 March 2017. </w:t>
      </w:r>
    </w:p>
    <w:p w:rsidR="00410C59" w:rsidRPr="00F81C3A" w:rsidRDefault="00410C59" w:rsidP="00B16199">
      <w:pPr>
        <w:pStyle w:val="Normalnumbe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A number of </w:t>
      </w:r>
      <w:r w:rsidR="00B01DB8" w:rsidRPr="00F81C3A">
        <w:t>G</w:t>
      </w:r>
      <w:r w:rsidRPr="00F81C3A">
        <w:t>overnments and other relevant stakeholders provided comments, which have been incorporated in the revised draft to the extent possible. Some commenters recommended additional technical work on the guidelines, which was not feasible in the time available. In some cases, contradictory comments were received, with some recommending additional details be included</w:t>
      </w:r>
      <w:r w:rsidR="008E759F" w:rsidRPr="00F81C3A">
        <w:t>,</w:t>
      </w:r>
      <w:r w:rsidRPr="00F81C3A">
        <w:t xml:space="preserve"> while others proposed a more minimalist approach, particularly where information m</w:t>
      </w:r>
      <w:r w:rsidR="007664E9" w:rsidRPr="00F81C3A">
        <w:t>ight</w:t>
      </w:r>
      <w:r w:rsidRPr="00F81C3A">
        <w:t xml:space="preserve"> be available in other forums. </w:t>
      </w:r>
      <w:r w:rsidR="00EA4A6C" w:rsidRPr="00F81C3A">
        <w:t xml:space="preserve">The draft guidelines </w:t>
      </w:r>
      <w:r w:rsidR="00A345C2" w:rsidRPr="00F81C3A">
        <w:t>on the environmentally sound interim storage of mercury other than mercury waste are set out in annex II to the present note.</w:t>
      </w:r>
    </w:p>
    <w:p w:rsidR="00312543" w:rsidRPr="00F81C3A" w:rsidRDefault="00F204CF" w:rsidP="00F204CF">
      <w:pPr>
        <w:pStyle w:val="CH2"/>
      </w:pPr>
      <w:r w:rsidRPr="00F81C3A">
        <w:tab/>
      </w:r>
      <w:r w:rsidRPr="00F81C3A">
        <w:tab/>
      </w:r>
      <w:bookmarkStart w:id="13" w:name="_Toc483401101"/>
      <w:r w:rsidR="00312543" w:rsidRPr="00F81C3A">
        <w:t>Suggested action by the Conference of the Parties</w:t>
      </w:r>
      <w:bookmarkEnd w:id="13"/>
    </w:p>
    <w:p w:rsidR="00BC602A" w:rsidRPr="00F81C3A" w:rsidRDefault="00312543" w:rsidP="00B16199">
      <w:pPr>
        <w:pStyle w:val="Normalnumbe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The </w:t>
      </w:r>
      <w:r w:rsidR="008E759F" w:rsidRPr="00F81C3A">
        <w:t xml:space="preserve">Conference of the Parties </w:t>
      </w:r>
      <w:r w:rsidRPr="00F81C3A">
        <w:t xml:space="preserve">may wish to consider </w:t>
      </w:r>
      <w:r w:rsidR="005F71EF" w:rsidRPr="00F81C3A">
        <w:t>the draft guidelines on the interim storage of mercury other than waste mercury</w:t>
      </w:r>
      <w:r w:rsidR="00410C59" w:rsidRPr="00F81C3A">
        <w:t xml:space="preserve"> and </w:t>
      </w:r>
      <w:r w:rsidR="008008C4" w:rsidRPr="00F81C3A">
        <w:t xml:space="preserve">agree to their </w:t>
      </w:r>
      <w:r w:rsidR="00410C59" w:rsidRPr="00F81C3A">
        <w:t>use</w:t>
      </w:r>
      <w:r w:rsidR="008008C4" w:rsidRPr="00F81C3A">
        <w:t xml:space="preserve"> in the short term</w:t>
      </w:r>
      <w:r w:rsidR="00410C59" w:rsidRPr="00F81C3A">
        <w:t xml:space="preserve">. The </w:t>
      </w:r>
      <w:r w:rsidR="008E759F" w:rsidRPr="00F81C3A">
        <w:t xml:space="preserve">Conference of the Parties </w:t>
      </w:r>
      <w:r w:rsidR="00410C59" w:rsidRPr="00F81C3A">
        <w:t xml:space="preserve">may </w:t>
      </w:r>
      <w:r w:rsidR="008E759F" w:rsidRPr="00F81C3A">
        <w:t xml:space="preserve">also </w:t>
      </w:r>
      <w:r w:rsidR="00410C59" w:rsidRPr="00F81C3A">
        <w:t xml:space="preserve">wish to request additional technical work on the guidelines to further refine them, and </w:t>
      </w:r>
      <w:r w:rsidR="008E759F" w:rsidRPr="00F81C3A">
        <w:t xml:space="preserve">that </w:t>
      </w:r>
      <w:r w:rsidR="00410C59" w:rsidRPr="00F81C3A">
        <w:t xml:space="preserve">a revised version </w:t>
      </w:r>
      <w:r w:rsidR="008E759F" w:rsidRPr="00F81C3A">
        <w:t xml:space="preserve">be presented to </w:t>
      </w:r>
      <w:r w:rsidR="007664E9" w:rsidRPr="00F81C3A">
        <w:t>it</w:t>
      </w:r>
      <w:r w:rsidR="008E759F" w:rsidRPr="00F81C3A">
        <w:t xml:space="preserve"> for consideration at its second meeting</w:t>
      </w:r>
      <w:r w:rsidR="00410C59" w:rsidRPr="00F81C3A">
        <w:t xml:space="preserve">. </w:t>
      </w:r>
    </w:p>
    <w:p w:rsidR="00410C59" w:rsidRPr="00F81C3A" w:rsidRDefault="00410C59" w:rsidP="00410C59">
      <w:pPr>
        <w:pStyle w:val="ZZAnxheader"/>
      </w:pPr>
      <w:r w:rsidRPr="00F81C3A">
        <w:br w:type="page"/>
      </w:r>
      <w:r w:rsidRPr="00F81C3A">
        <w:lastRenderedPageBreak/>
        <w:t xml:space="preserve">Annex I </w:t>
      </w:r>
    </w:p>
    <w:p w:rsidR="00410C59" w:rsidRPr="00F81C3A" w:rsidRDefault="009E2415" w:rsidP="009E2415">
      <w:pPr>
        <w:pStyle w:val="ZZAnxtitle"/>
      </w:pPr>
      <w:r w:rsidRPr="003038EE">
        <w:t xml:space="preserve">Draft decision </w:t>
      </w:r>
      <w:r w:rsidR="00410C59" w:rsidRPr="003038EE">
        <w:t>MC-1</w:t>
      </w:r>
      <w:proofErr w:type="gramStart"/>
      <w:r w:rsidR="00410C59" w:rsidRPr="003038EE">
        <w:t>/</w:t>
      </w:r>
      <w:r w:rsidR="00EA4A6C" w:rsidRPr="003038EE">
        <w:t>[</w:t>
      </w:r>
      <w:proofErr w:type="gramEnd"/>
      <w:r w:rsidR="00B625A0">
        <w:t>XX</w:t>
      </w:r>
      <w:r w:rsidR="00EA4A6C" w:rsidRPr="003038EE">
        <w:t>]</w:t>
      </w:r>
      <w:r w:rsidR="00410C59" w:rsidRPr="003038EE">
        <w:t xml:space="preserve">: Guidelines on </w:t>
      </w:r>
      <w:r w:rsidR="00EA4A6C" w:rsidRPr="003038EE">
        <w:t xml:space="preserve">the </w:t>
      </w:r>
      <w:r w:rsidR="00410C59" w:rsidRPr="003038EE">
        <w:t>environmentally sound interim storage of mercury other than waste mercury</w:t>
      </w:r>
    </w:p>
    <w:p w:rsidR="00410C59" w:rsidRPr="00F81C3A" w:rsidRDefault="00410C59" w:rsidP="00410C59">
      <w:pPr>
        <w:pStyle w:val="Normal-pool"/>
        <w:tabs>
          <w:tab w:val="clear" w:pos="1247"/>
          <w:tab w:val="clear" w:pos="1814"/>
          <w:tab w:val="clear" w:pos="2381"/>
          <w:tab w:val="clear" w:pos="2948"/>
          <w:tab w:val="clear" w:pos="3515"/>
          <w:tab w:val="clear" w:pos="4082"/>
          <w:tab w:val="left" w:pos="624"/>
        </w:tabs>
        <w:spacing w:after="120"/>
        <w:ind w:left="1247" w:firstLine="624"/>
        <w:rPr>
          <w:i/>
        </w:rPr>
      </w:pPr>
      <w:r w:rsidRPr="00F81C3A">
        <w:rPr>
          <w:i/>
        </w:rPr>
        <w:t>The Conference of the Parties</w:t>
      </w:r>
      <w:r w:rsidR="00EA4A6C" w:rsidRPr="00F81C3A">
        <w:rPr>
          <w:i/>
        </w:rPr>
        <w:t>,</w:t>
      </w:r>
    </w:p>
    <w:p w:rsidR="00844DC3" w:rsidRPr="00F81C3A" w:rsidRDefault="00844DC3" w:rsidP="00844DC3">
      <w:pPr>
        <w:pStyle w:val="Normal-pool"/>
        <w:tabs>
          <w:tab w:val="clear" w:pos="1247"/>
          <w:tab w:val="clear" w:pos="1814"/>
          <w:tab w:val="clear" w:pos="2381"/>
          <w:tab w:val="clear" w:pos="2948"/>
          <w:tab w:val="clear" w:pos="3515"/>
          <w:tab w:val="clear" w:pos="4082"/>
          <w:tab w:val="left" w:pos="624"/>
        </w:tabs>
        <w:spacing w:after="120"/>
        <w:ind w:left="1247" w:firstLine="624"/>
        <w:rPr>
          <w:iCs/>
        </w:rPr>
      </w:pPr>
      <w:r w:rsidRPr="00F81C3A">
        <w:rPr>
          <w:i/>
        </w:rPr>
        <w:t xml:space="preserve">Recognizing </w:t>
      </w:r>
      <w:r w:rsidRPr="00F81C3A">
        <w:rPr>
          <w:iCs/>
        </w:rPr>
        <w:t>the need to assist parties in the environmentally sound storage of mercury other than waste mercury through the provision of guidelines</w:t>
      </w:r>
      <w:r w:rsidR="00EA4A6C" w:rsidRPr="00F81C3A">
        <w:rPr>
          <w:iCs/>
        </w:rPr>
        <w:t>,</w:t>
      </w:r>
    </w:p>
    <w:p w:rsidR="00EA4A6C" w:rsidRPr="00F81C3A" w:rsidRDefault="009630A3" w:rsidP="00844DC3">
      <w:pPr>
        <w:pStyle w:val="Normal-pool"/>
        <w:tabs>
          <w:tab w:val="clear" w:pos="1247"/>
          <w:tab w:val="clear" w:pos="1814"/>
          <w:tab w:val="clear" w:pos="2381"/>
          <w:tab w:val="clear" w:pos="2948"/>
          <w:tab w:val="clear" w:pos="3515"/>
          <w:tab w:val="clear" w:pos="4082"/>
          <w:tab w:val="left" w:pos="624"/>
        </w:tabs>
        <w:spacing w:after="120"/>
        <w:ind w:left="1247" w:firstLine="624"/>
        <w:rPr>
          <w:iCs/>
        </w:rPr>
      </w:pPr>
      <w:r w:rsidRPr="00F81C3A">
        <w:t>1.</w:t>
      </w:r>
      <w:r w:rsidRPr="00F81C3A">
        <w:rPr>
          <w:i/>
        </w:rPr>
        <w:tab/>
      </w:r>
      <w:r w:rsidR="00EA4A6C" w:rsidRPr="00F81C3A">
        <w:rPr>
          <w:i/>
        </w:rPr>
        <w:t xml:space="preserve">Approves </w:t>
      </w:r>
      <w:r w:rsidR="00EA4A6C" w:rsidRPr="00F81C3A">
        <w:t>the guidelines on the environmentally sound interim storage of mercury other than waste mercury for use in the short term;</w:t>
      </w:r>
    </w:p>
    <w:p w:rsidR="00410C59" w:rsidRPr="00F81C3A" w:rsidRDefault="009630A3" w:rsidP="007E7720">
      <w:pPr>
        <w:pStyle w:val="Normal-pool"/>
        <w:tabs>
          <w:tab w:val="clear" w:pos="1247"/>
          <w:tab w:val="clear" w:pos="1814"/>
          <w:tab w:val="clear" w:pos="2381"/>
          <w:tab w:val="clear" w:pos="2948"/>
          <w:tab w:val="clear" w:pos="3515"/>
          <w:tab w:val="clear" w:pos="4082"/>
          <w:tab w:val="left" w:pos="624"/>
        </w:tabs>
        <w:spacing w:after="120"/>
        <w:ind w:left="1247" w:firstLine="624"/>
      </w:pPr>
      <w:r w:rsidRPr="00F81C3A">
        <w:t>2.</w:t>
      </w:r>
      <w:r w:rsidRPr="00F81C3A">
        <w:rPr>
          <w:i/>
        </w:rPr>
        <w:tab/>
      </w:r>
      <w:r w:rsidR="00C73A86" w:rsidRPr="00F81C3A">
        <w:rPr>
          <w:i/>
        </w:rPr>
        <w:t xml:space="preserve">Agrees </w:t>
      </w:r>
      <w:r w:rsidR="00C73A86" w:rsidRPr="00F81C3A">
        <w:rPr>
          <w:iCs/>
        </w:rPr>
        <w:t xml:space="preserve">to </w:t>
      </w:r>
      <w:r w:rsidR="007E7720" w:rsidRPr="00F81C3A">
        <w:rPr>
          <w:iCs/>
        </w:rPr>
        <w:t xml:space="preserve">encourage the </w:t>
      </w:r>
      <w:r w:rsidR="00C73A86" w:rsidRPr="00F81C3A">
        <w:rPr>
          <w:iCs/>
        </w:rPr>
        <w:t>use</w:t>
      </w:r>
      <w:r w:rsidR="00410C59" w:rsidRPr="00F81C3A">
        <w:t xml:space="preserve"> </w:t>
      </w:r>
      <w:r w:rsidR="007E7720" w:rsidRPr="00F81C3A">
        <w:t xml:space="preserve">of </w:t>
      </w:r>
      <w:r w:rsidR="00410C59" w:rsidRPr="00F81C3A">
        <w:t>th</w:t>
      </w:r>
      <w:r w:rsidR="00EA4A6C" w:rsidRPr="00F81C3A">
        <w:t>o</w:t>
      </w:r>
      <w:r w:rsidR="00844DC3" w:rsidRPr="00F81C3A">
        <w:t>se</w:t>
      </w:r>
      <w:r w:rsidR="00410C59" w:rsidRPr="00F81C3A">
        <w:t xml:space="preserve"> </w:t>
      </w:r>
      <w:r w:rsidR="009A26F6" w:rsidRPr="00F81C3A">
        <w:t xml:space="preserve">guidelines on a provisional basis to assist parties in meeting their obligations under article 10 of the </w:t>
      </w:r>
      <w:r w:rsidR="00EA4A6C" w:rsidRPr="00F81C3A">
        <w:t>Minamata C</w:t>
      </w:r>
      <w:r w:rsidR="009A26F6" w:rsidRPr="00F81C3A">
        <w:t>onvention</w:t>
      </w:r>
      <w:r w:rsidR="00EA4A6C" w:rsidRPr="00F81C3A">
        <w:t xml:space="preserve"> on Mercury</w:t>
      </w:r>
      <w:r w:rsidR="00AD48F5" w:rsidRPr="00F81C3A">
        <w:t>;</w:t>
      </w:r>
    </w:p>
    <w:p w:rsidR="009A26F6" w:rsidRPr="00F81C3A" w:rsidRDefault="009630A3" w:rsidP="008008C4">
      <w:pPr>
        <w:pStyle w:val="Normal-pool"/>
        <w:tabs>
          <w:tab w:val="clear" w:pos="1247"/>
          <w:tab w:val="clear" w:pos="1814"/>
          <w:tab w:val="clear" w:pos="2381"/>
          <w:tab w:val="clear" w:pos="2948"/>
          <w:tab w:val="clear" w:pos="3515"/>
          <w:tab w:val="clear" w:pos="4082"/>
          <w:tab w:val="left" w:pos="624"/>
        </w:tabs>
        <w:spacing w:after="120"/>
        <w:ind w:left="1247" w:firstLine="624"/>
        <w:rPr>
          <w:iCs/>
        </w:rPr>
      </w:pPr>
      <w:r w:rsidRPr="00F81C3A">
        <w:t>3.</w:t>
      </w:r>
      <w:r w:rsidRPr="00F81C3A">
        <w:rPr>
          <w:i/>
        </w:rPr>
        <w:tab/>
      </w:r>
      <w:r w:rsidR="009A26F6" w:rsidRPr="00F81C3A">
        <w:rPr>
          <w:i/>
        </w:rPr>
        <w:t xml:space="preserve">Requests </w:t>
      </w:r>
      <w:r w:rsidR="009A26F6" w:rsidRPr="00F81C3A">
        <w:t>the secretariat</w:t>
      </w:r>
      <w:r w:rsidR="009A26F6" w:rsidRPr="00F81C3A">
        <w:rPr>
          <w:iCs/>
        </w:rPr>
        <w:t xml:space="preserve"> to undertake further revision of the guidelines, seeking technical input from relevant experts, and to </w:t>
      </w:r>
      <w:r w:rsidR="00EA4A6C" w:rsidRPr="00F81C3A">
        <w:rPr>
          <w:iCs/>
        </w:rPr>
        <w:t>submit</w:t>
      </w:r>
      <w:r w:rsidR="009A26F6" w:rsidRPr="00F81C3A">
        <w:rPr>
          <w:iCs/>
        </w:rPr>
        <w:t xml:space="preserve"> the revised guidelines to the </w:t>
      </w:r>
      <w:r w:rsidR="00EA4A6C" w:rsidRPr="00F81C3A">
        <w:rPr>
          <w:iCs/>
        </w:rPr>
        <w:t>C</w:t>
      </w:r>
      <w:r w:rsidR="009A26F6" w:rsidRPr="00F81C3A">
        <w:rPr>
          <w:iCs/>
        </w:rPr>
        <w:t>onference</w:t>
      </w:r>
      <w:r w:rsidR="00EA4A6C" w:rsidRPr="00F81C3A">
        <w:rPr>
          <w:iCs/>
        </w:rPr>
        <w:t xml:space="preserve"> of the Parties to the Minamata Convention</w:t>
      </w:r>
      <w:r w:rsidR="009A26F6" w:rsidRPr="00F81C3A">
        <w:rPr>
          <w:iCs/>
        </w:rPr>
        <w:t xml:space="preserve"> at its second meeting for further consideration and </w:t>
      </w:r>
      <w:r w:rsidR="00EA4A6C" w:rsidRPr="00F81C3A">
        <w:rPr>
          <w:iCs/>
        </w:rPr>
        <w:t xml:space="preserve">possible </w:t>
      </w:r>
      <w:r w:rsidR="009A26F6" w:rsidRPr="00F81C3A">
        <w:rPr>
          <w:iCs/>
        </w:rPr>
        <w:t xml:space="preserve">adoption. </w:t>
      </w:r>
    </w:p>
    <w:p w:rsidR="00700EED" w:rsidRPr="00F81C3A" w:rsidRDefault="00700EED" w:rsidP="00410C59">
      <w:pPr>
        <w:pStyle w:val="ZZAnxheader"/>
        <w:sectPr w:rsidR="00700EED" w:rsidRPr="00F81C3A" w:rsidSect="00C771A9">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pPr>
    </w:p>
    <w:p w:rsidR="00410C59" w:rsidRPr="00F81C3A" w:rsidRDefault="00410C59" w:rsidP="00410C59">
      <w:pPr>
        <w:pStyle w:val="ZZAnxheader"/>
      </w:pPr>
      <w:r w:rsidRPr="00F81C3A">
        <w:t>Annex II</w:t>
      </w:r>
    </w:p>
    <w:p w:rsidR="00312543" w:rsidRPr="00F81C3A" w:rsidRDefault="00700EED" w:rsidP="00B205CD">
      <w:pPr>
        <w:pStyle w:val="ZZAnxtitle"/>
        <w:spacing w:after="240"/>
      </w:pPr>
      <w:r w:rsidRPr="00F81C3A">
        <w:t>Draft g</w:t>
      </w:r>
      <w:r w:rsidR="009A26F6" w:rsidRPr="00F81C3A">
        <w:t xml:space="preserve">uidelines on </w:t>
      </w:r>
      <w:r w:rsidR="00A76F44" w:rsidRPr="00F81C3A">
        <w:t xml:space="preserve">the </w:t>
      </w:r>
      <w:r w:rsidR="009A26F6" w:rsidRPr="00F81C3A">
        <w:t>environmentally sound interim storage of mercury, other than waste mercury</w:t>
      </w:r>
    </w:p>
    <w:p w:rsidR="00E42377" w:rsidRPr="00F81C3A" w:rsidRDefault="00E42377" w:rsidP="00E42377">
      <w:pPr>
        <w:pStyle w:val="TOC1"/>
        <w:spacing w:before="120"/>
        <w:ind w:left="1871" w:hanging="624"/>
        <w:rPr>
          <w:rFonts w:eastAsiaTheme="minorEastAsia"/>
          <w:bCs w:val="0"/>
          <w:noProof/>
          <w:sz w:val="22"/>
          <w:szCs w:val="22"/>
          <w:lang w:val="en-GB"/>
        </w:rPr>
      </w:pPr>
      <w:r w:rsidRPr="00F81C3A">
        <w:rPr>
          <w:b/>
          <w:highlight w:val="cyan"/>
          <w:lang w:val="en-GB"/>
        </w:rPr>
        <w:fldChar w:fldCharType="begin"/>
      </w:r>
      <w:r w:rsidRPr="00F81C3A">
        <w:rPr>
          <w:b/>
          <w:highlight w:val="cyan"/>
          <w:lang w:val="en-GB"/>
        </w:rPr>
        <w:instrText xml:space="preserve"> TOC \h \z \t "CH1,1,CH2,2" </w:instrText>
      </w:r>
      <w:r w:rsidRPr="00F81C3A">
        <w:rPr>
          <w:b/>
          <w:highlight w:val="cyan"/>
          <w:lang w:val="en-GB"/>
        </w:rPr>
        <w:fldChar w:fldCharType="separate"/>
      </w:r>
      <w:hyperlink w:anchor="_Toc483401102" w:history="1">
        <w:r w:rsidRPr="00F81C3A">
          <w:rPr>
            <w:rStyle w:val="Hyperlink"/>
            <w:noProof/>
            <w:lang w:val="en-GB"/>
          </w:rPr>
          <w:t>I.</w:t>
        </w:r>
        <w:r w:rsidRPr="00F81C3A">
          <w:rPr>
            <w:rFonts w:eastAsiaTheme="minorEastAsia"/>
            <w:bCs w:val="0"/>
            <w:noProof/>
            <w:sz w:val="22"/>
            <w:szCs w:val="22"/>
            <w:lang w:val="en-GB"/>
          </w:rPr>
          <w:tab/>
        </w:r>
        <w:r w:rsidRPr="00F81C3A">
          <w:rPr>
            <w:rStyle w:val="Hyperlink"/>
            <w:noProof/>
            <w:lang w:val="en-GB"/>
          </w:rPr>
          <w:t>Introduction</w:t>
        </w:r>
        <w:r w:rsidRPr="00F81C3A">
          <w:rPr>
            <w:noProof/>
            <w:webHidden/>
            <w:lang w:val="en-GB"/>
          </w:rPr>
          <w:tab/>
        </w:r>
        <w:r w:rsidRPr="00F81C3A">
          <w:rPr>
            <w:noProof/>
            <w:webHidden/>
            <w:lang w:val="en-GB"/>
          </w:rPr>
          <w:fldChar w:fldCharType="begin"/>
        </w:r>
        <w:r w:rsidRPr="00F81C3A">
          <w:rPr>
            <w:noProof/>
            <w:webHidden/>
            <w:lang w:val="en-GB"/>
          </w:rPr>
          <w:instrText xml:space="preserve"> PAGEREF _Toc483401102 \h </w:instrText>
        </w:r>
        <w:r w:rsidRPr="00F81C3A">
          <w:rPr>
            <w:noProof/>
            <w:webHidden/>
            <w:lang w:val="en-GB"/>
          </w:rPr>
        </w:r>
        <w:r w:rsidRPr="00F81C3A">
          <w:rPr>
            <w:noProof/>
            <w:webHidden/>
            <w:lang w:val="en-GB"/>
          </w:rPr>
          <w:fldChar w:fldCharType="separate"/>
        </w:r>
        <w:r w:rsidR="00AF0E01">
          <w:rPr>
            <w:noProof/>
            <w:webHidden/>
            <w:lang w:val="en-GB"/>
          </w:rPr>
          <w:t>5</w:t>
        </w:r>
        <w:r w:rsidRPr="00F81C3A">
          <w:rPr>
            <w:noProof/>
            <w:webHidden/>
            <w:lang w:val="en-GB"/>
          </w:rPr>
          <w:fldChar w:fldCharType="end"/>
        </w:r>
      </w:hyperlink>
    </w:p>
    <w:p w:rsidR="00E42377" w:rsidRPr="00F81C3A" w:rsidRDefault="00AF0E01" w:rsidP="00E42377">
      <w:pPr>
        <w:pStyle w:val="TOC1"/>
        <w:spacing w:before="120"/>
        <w:ind w:left="1871" w:hanging="624"/>
        <w:rPr>
          <w:rFonts w:eastAsiaTheme="minorEastAsia"/>
          <w:bCs w:val="0"/>
          <w:noProof/>
          <w:sz w:val="22"/>
          <w:szCs w:val="22"/>
          <w:lang w:val="en-GB"/>
        </w:rPr>
      </w:pPr>
      <w:hyperlink w:anchor="_Toc483401103" w:history="1">
        <w:r w:rsidR="00E42377" w:rsidRPr="00F81C3A">
          <w:rPr>
            <w:rStyle w:val="Hyperlink"/>
            <w:noProof/>
            <w:lang w:val="en-GB"/>
          </w:rPr>
          <w:t>II.</w:t>
        </w:r>
        <w:r w:rsidR="00E42377" w:rsidRPr="00F81C3A">
          <w:rPr>
            <w:rFonts w:eastAsiaTheme="minorEastAsia"/>
            <w:bCs w:val="0"/>
            <w:noProof/>
            <w:sz w:val="22"/>
            <w:szCs w:val="22"/>
            <w:lang w:val="en-GB"/>
          </w:rPr>
          <w:tab/>
        </w:r>
        <w:r w:rsidR="00E42377" w:rsidRPr="00F81C3A">
          <w:rPr>
            <w:rStyle w:val="Hyperlink"/>
            <w:noProof/>
            <w:lang w:val="en-GB"/>
          </w:rPr>
          <w:t>Overall management of hazardous substances</w:t>
        </w:r>
        <w:r w:rsidR="00E42377" w:rsidRPr="00F81C3A">
          <w:rPr>
            <w:noProof/>
            <w:webHidden/>
            <w:lang w:val="en-GB"/>
          </w:rPr>
          <w:tab/>
        </w:r>
        <w:r w:rsidR="00E42377" w:rsidRPr="00F81C3A">
          <w:rPr>
            <w:noProof/>
            <w:webHidden/>
            <w:lang w:val="en-GB"/>
          </w:rPr>
          <w:fldChar w:fldCharType="begin"/>
        </w:r>
        <w:r w:rsidR="00E42377" w:rsidRPr="00F81C3A">
          <w:rPr>
            <w:noProof/>
            <w:webHidden/>
            <w:lang w:val="en-GB"/>
          </w:rPr>
          <w:instrText xml:space="preserve"> PAGEREF _Toc483401103 \h </w:instrText>
        </w:r>
        <w:r w:rsidR="00E42377" w:rsidRPr="00F81C3A">
          <w:rPr>
            <w:noProof/>
            <w:webHidden/>
            <w:lang w:val="en-GB"/>
          </w:rPr>
        </w:r>
        <w:r w:rsidR="00E42377" w:rsidRPr="00F81C3A">
          <w:rPr>
            <w:noProof/>
            <w:webHidden/>
            <w:lang w:val="en-GB"/>
          </w:rPr>
          <w:fldChar w:fldCharType="separate"/>
        </w:r>
        <w:r>
          <w:rPr>
            <w:noProof/>
            <w:webHidden/>
            <w:lang w:val="en-GB"/>
          </w:rPr>
          <w:t>5</w:t>
        </w:r>
        <w:r w:rsidR="00E42377" w:rsidRPr="00F81C3A">
          <w:rPr>
            <w:noProof/>
            <w:webHidden/>
            <w:lang w:val="en-GB"/>
          </w:rPr>
          <w:fldChar w:fldCharType="end"/>
        </w:r>
      </w:hyperlink>
    </w:p>
    <w:p w:rsidR="00E42377" w:rsidRPr="00F81C3A" w:rsidRDefault="00AF0E01" w:rsidP="00E42377">
      <w:pPr>
        <w:pStyle w:val="TOC1"/>
        <w:spacing w:before="120"/>
        <w:ind w:left="1871" w:hanging="624"/>
        <w:rPr>
          <w:rFonts w:eastAsiaTheme="minorEastAsia"/>
          <w:bCs w:val="0"/>
          <w:noProof/>
          <w:sz w:val="22"/>
          <w:szCs w:val="22"/>
          <w:lang w:val="en-GB"/>
        </w:rPr>
      </w:pPr>
      <w:hyperlink w:anchor="_Toc483401104" w:history="1">
        <w:r w:rsidR="00E42377" w:rsidRPr="00F81C3A">
          <w:rPr>
            <w:rStyle w:val="Hyperlink"/>
            <w:noProof/>
            <w:lang w:val="en-GB"/>
          </w:rPr>
          <w:t>III.</w:t>
        </w:r>
        <w:r w:rsidR="00E42377" w:rsidRPr="00F81C3A">
          <w:rPr>
            <w:rFonts w:eastAsiaTheme="minorEastAsia"/>
            <w:bCs w:val="0"/>
            <w:noProof/>
            <w:sz w:val="22"/>
            <w:szCs w:val="22"/>
            <w:lang w:val="en-GB"/>
          </w:rPr>
          <w:tab/>
        </w:r>
        <w:r w:rsidR="00E42377" w:rsidRPr="00F81C3A">
          <w:rPr>
            <w:rStyle w:val="Hyperlink"/>
            <w:noProof/>
            <w:lang w:val="en-GB"/>
          </w:rPr>
          <w:t>Scope of the guidelines</w:t>
        </w:r>
        <w:r w:rsidR="00E42377" w:rsidRPr="00F81C3A">
          <w:rPr>
            <w:noProof/>
            <w:webHidden/>
            <w:lang w:val="en-GB"/>
          </w:rPr>
          <w:tab/>
        </w:r>
        <w:r w:rsidR="00E42377" w:rsidRPr="00F81C3A">
          <w:rPr>
            <w:noProof/>
            <w:webHidden/>
            <w:lang w:val="en-GB"/>
          </w:rPr>
          <w:fldChar w:fldCharType="begin"/>
        </w:r>
        <w:r w:rsidR="00E42377" w:rsidRPr="00F81C3A">
          <w:rPr>
            <w:noProof/>
            <w:webHidden/>
            <w:lang w:val="en-GB"/>
          </w:rPr>
          <w:instrText xml:space="preserve"> PAGEREF _Toc483401104 \h </w:instrText>
        </w:r>
        <w:r w:rsidR="00E42377" w:rsidRPr="00F81C3A">
          <w:rPr>
            <w:noProof/>
            <w:webHidden/>
            <w:lang w:val="en-GB"/>
          </w:rPr>
        </w:r>
        <w:r w:rsidR="00E42377" w:rsidRPr="00F81C3A">
          <w:rPr>
            <w:noProof/>
            <w:webHidden/>
            <w:lang w:val="en-GB"/>
          </w:rPr>
          <w:fldChar w:fldCharType="separate"/>
        </w:r>
        <w:r>
          <w:rPr>
            <w:noProof/>
            <w:webHidden/>
            <w:lang w:val="en-GB"/>
          </w:rPr>
          <w:t>6</w:t>
        </w:r>
        <w:r w:rsidR="00E42377" w:rsidRPr="00F81C3A">
          <w:rPr>
            <w:noProof/>
            <w:webHidden/>
            <w:lang w:val="en-GB"/>
          </w:rPr>
          <w:fldChar w:fldCharType="end"/>
        </w:r>
      </w:hyperlink>
    </w:p>
    <w:p w:rsidR="00E42377" w:rsidRPr="00F81C3A" w:rsidRDefault="00AF0E01" w:rsidP="00E42377">
      <w:pPr>
        <w:pStyle w:val="TOC1"/>
        <w:spacing w:before="120"/>
        <w:ind w:left="1871" w:hanging="624"/>
        <w:rPr>
          <w:rFonts w:eastAsiaTheme="minorEastAsia"/>
          <w:bCs w:val="0"/>
          <w:noProof/>
          <w:sz w:val="22"/>
          <w:szCs w:val="22"/>
          <w:lang w:val="en-GB"/>
        </w:rPr>
      </w:pPr>
      <w:hyperlink w:anchor="_Toc483401105" w:history="1">
        <w:r w:rsidR="00E42377" w:rsidRPr="00F81C3A">
          <w:rPr>
            <w:rStyle w:val="Hyperlink"/>
            <w:noProof/>
            <w:lang w:val="en-GB"/>
          </w:rPr>
          <w:t>IV.</w:t>
        </w:r>
        <w:r w:rsidR="00E42377" w:rsidRPr="00F81C3A">
          <w:rPr>
            <w:rFonts w:eastAsiaTheme="minorEastAsia"/>
            <w:bCs w:val="0"/>
            <w:noProof/>
            <w:sz w:val="22"/>
            <w:szCs w:val="22"/>
            <w:lang w:val="en-GB"/>
          </w:rPr>
          <w:tab/>
        </w:r>
        <w:r w:rsidR="00E42377" w:rsidRPr="00F81C3A">
          <w:rPr>
            <w:rStyle w:val="Hyperlink"/>
            <w:noProof/>
            <w:lang w:val="en-GB"/>
          </w:rPr>
          <w:t>Good practices for storage</w:t>
        </w:r>
        <w:r w:rsidR="00E42377" w:rsidRPr="00F81C3A">
          <w:rPr>
            <w:noProof/>
            <w:webHidden/>
            <w:lang w:val="en-GB"/>
          </w:rPr>
          <w:tab/>
        </w:r>
        <w:r w:rsidR="00E42377" w:rsidRPr="00F81C3A">
          <w:rPr>
            <w:noProof/>
            <w:webHidden/>
            <w:lang w:val="en-GB"/>
          </w:rPr>
          <w:fldChar w:fldCharType="begin"/>
        </w:r>
        <w:r w:rsidR="00E42377" w:rsidRPr="00F81C3A">
          <w:rPr>
            <w:noProof/>
            <w:webHidden/>
            <w:lang w:val="en-GB"/>
          </w:rPr>
          <w:instrText xml:space="preserve"> PAGEREF _Toc483401105 \h </w:instrText>
        </w:r>
        <w:r w:rsidR="00E42377" w:rsidRPr="00F81C3A">
          <w:rPr>
            <w:noProof/>
            <w:webHidden/>
            <w:lang w:val="en-GB"/>
          </w:rPr>
        </w:r>
        <w:r w:rsidR="00E42377" w:rsidRPr="00F81C3A">
          <w:rPr>
            <w:noProof/>
            <w:webHidden/>
            <w:lang w:val="en-GB"/>
          </w:rPr>
          <w:fldChar w:fldCharType="separate"/>
        </w:r>
        <w:r>
          <w:rPr>
            <w:noProof/>
            <w:webHidden/>
            <w:lang w:val="en-GB"/>
          </w:rPr>
          <w:t>8</w:t>
        </w:r>
        <w:r w:rsidR="00E42377" w:rsidRPr="00F81C3A">
          <w:rPr>
            <w:noProof/>
            <w:webHidden/>
            <w:lang w:val="en-GB"/>
          </w:rPr>
          <w:fldChar w:fldCharType="end"/>
        </w:r>
      </w:hyperlink>
    </w:p>
    <w:p w:rsidR="00E42377" w:rsidRPr="00F81C3A" w:rsidRDefault="00AF0E01" w:rsidP="00E42377">
      <w:pPr>
        <w:pStyle w:val="TOC2"/>
        <w:spacing w:before="60"/>
        <w:ind w:left="2495" w:hanging="624"/>
        <w:rPr>
          <w:rFonts w:eastAsiaTheme="minorEastAsia"/>
          <w:noProof/>
          <w:sz w:val="22"/>
          <w:szCs w:val="22"/>
          <w:lang w:val="en-GB"/>
        </w:rPr>
      </w:pPr>
      <w:hyperlink w:anchor="_Toc483401106" w:history="1">
        <w:r w:rsidR="00E42377" w:rsidRPr="00F81C3A">
          <w:rPr>
            <w:rStyle w:val="Hyperlink"/>
            <w:noProof/>
            <w:lang w:val="en-GB"/>
          </w:rPr>
          <w:t>A.</w:t>
        </w:r>
        <w:r w:rsidR="00E42377" w:rsidRPr="00F81C3A">
          <w:rPr>
            <w:rFonts w:eastAsiaTheme="minorEastAsia"/>
            <w:noProof/>
            <w:sz w:val="22"/>
            <w:szCs w:val="22"/>
            <w:lang w:val="en-GB"/>
          </w:rPr>
          <w:tab/>
        </w:r>
        <w:r w:rsidR="00E42377" w:rsidRPr="00F81C3A">
          <w:rPr>
            <w:rStyle w:val="Hyperlink"/>
            <w:noProof/>
            <w:lang w:val="en-GB"/>
          </w:rPr>
          <w:t>Location of mercury storage sites and site selection criteria</w:t>
        </w:r>
        <w:r w:rsidR="00E42377" w:rsidRPr="00F81C3A">
          <w:rPr>
            <w:noProof/>
            <w:webHidden/>
            <w:lang w:val="en-GB"/>
          </w:rPr>
          <w:tab/>
        </w:r>
        <w:r w:rsidR="00E42377" w:rsidRPr="00F81C3A">
          <w:rPr>
            <w:noProof/>
            <w:webHidden/>
            <w:lang w:val="en-GB"/>
          </w:rPr>
          <w:fldChar w:fldCharType="begin"/>
        </w:r>
        <w:r w:rsidR="00E42377" w:rsidRPr="00F81C3A">
          <w:rPr>
            <w:noProof/>
            <w:webHidden/>
            <w:lang w:val="en-GB"/>
          </w:rPr>
          <w:instrText xml:space="preserve"> PAGEREF _Toc483401106 \h </w:instrText>
        </w:r>
        <w:r w:rsidR="00E42377" w:rsidRPr="00F81C3A">
          <w:rPr>
            <w:noProof/>
            <w:webHidden/>
            <w:lang w:val="en-GB"/>
          </w:rPr>
        </w:r>
        <w:r w:rsidR="00E42377" w:rsidRPr="00F81C3A">
          <w:rPr>
            <w:noProof/>
            <w:webHidden/>
            <w:lang w:val="en-GB"/>
          </w:rPr>
          <w:fldChar w:fldCharType="separate"/>
        </w:r>
        <w:r>
          <w:rPr>
            <w:noProof/>
            <w:webHidden/>
            <w:lang w:val="en-GB"/>
          </w:rPr>
          <w:t>8</w:t>
        </w:r>
        <w:r w:rsidR="00E42377" w:rsidRPr="00F81C3A">
          <w:rPr>
            <w:noProof/>
            <w:webHidden/>
            <w:lang w:val="en-GB"/>
          </w:rPr>
          <w:fldChar w:fldCharType="end"/>
        </w:r>
      </w:hyperlink>
    </w:p>
    <w:p w:rsidR="00E42377" w:rsidRPr="00F81C3A" w:rsidRDefault="00AF0E01" w:rsidP="00E42377">
      <w:pPr>
        <w:pStyle w:val="TOC2"/>
        <w:spacing w:before="60"/>
        <w:ind w:left="2495" w:hanging="624"/>
        <w:rPr>
          <w:rFonts w:eastAsiaTheme="minorEastAsia"/>
          <w:noProof/>
          <w:sz w:val="22"/>
          <w:szCs w:val="22"/>
          <w:lang w:val="en-GB"/>
        </w:rPr>
      </w:pPr>
      <w:hyperlink w:anchor="_Toc483401107" w:history="1">
        <w:r w:rsidR="00E42377" w:rsidRPr="00F81C3A">
          <w:rPr>
            <w:rStyle w:val="Hyperlink"/>
            <w:noProof/>
            <w:lang w:val="en-GB"/>
          </w:rPr>
          <w:t>B.</w:t>
        </w:r>
        <w:r w:rsidR="00E42377" w:rsidRPr="00F81C3A">
          <w:rPr>
            <w:rFonts w:eastAsiaTheme="minorEastAsia"/>
            <w:noProof/>
            <w:sz w:val="22"/>
            <w:szCs w:val="22"/>
            <w:lang w:val="en-GB"/>
          </w:rPr>
          <w:tab/>
        </w:r>
        <w:r w:rsidR="00E42377" w:rsidRPr="00F81C3A">
          <w:rPr>
            <w:rStyle w:val="Hyperlink"/>
            <w:noProof/>
            <w:lang w:val="en-GB"/>
          </w:rPr>
          <w:t>Construction of storage sites, including provision of barriers</w:t>
        </w:r>
        <w:r w:rsidR="00E42377" w:rsidRPr="00F81C3A">
          <w:rPr>
            <w:noProof/>
            <w:webHidden/>
            <w:lang w:val="en-GB"/>
          </w:rPr>
          <w:tab/>
        </w:r>
        <w:r w:rsidR="00E42377" w:rsidRPr="00F81C3A">
          <w:rPr>
            <w:noProof/>
            <w:webHidden/>
            <w:lang w:val="en-GB"/>
          </w:rPr>
          <w:fldChar w:fldCharType="begin"/>
        </w:r>
        <w:r w:rsidR="00E42377" w:rsidRPr="00F81C3A">
          <w:rPr>
            <w:noProof/>
            <w:webHidden/>
            <w:lang w:val="en-GB"/>
          </w:rPr>
          <w:instrText xml:space="preserve"> PAGEREF _Toc483401107 \h </w:instrText>
        </w:r>
        <w:r w:rsidR="00E42377" w:rsidRPr="00F81C3A">
          <w:rPr>
            <w:noProof/>
            <w:webHidden/>
            <w:lang w:val="en-GB"/>
          </w:rPr>
        </w:r>
        <w:r w:rsidR="00E42377" w:rsidRPr="00F81C3A">
          <w:rPr>
            <w:noProof/>
            <w:webHidden/>
            <w:lang w:val="en-GB"/>
          </w:rPr>
          <w:fldChar w:fldCharType="separate"/>
        </w:r>
        <w:r>
          <w:rPr>
            <w:noProof/>
            <w:webHidden/>
            <w:lang w:val="en-GB"/>
          </w:rPr>
          <w:t>8</w:t>
        </w:r>
        <w:r w:rsidR="00E42377" w:rsidRPr="00F81C3A">
          <w:rPr>
            <w:noProof/>
            <w:webHidden/>
            <w:lang w:val="en-GB"/>
          </w:rPr>
          <w:fldChar w:fldCharType="end"/>
        </w:r>
      </w:hyperlink>
    </w:p>
    <w:p w:rsidR="00E42377" w:rsidRPr="00F81C3A" w:rsidRDefault="00AF0E01" w:rsidP="00E42377">
      <w:pPr>
        <w:pStyle w:val="TOC2"/>
        <w:spacing w:before="60"/>
        <w:ind w:left="2495" w:hanging="624"/>
        <w:rPr>
          <w:rFonts w:eastAsiaTheme="minorEastAsia"/>
          <w:noProof/>
          <w:sz w:val="22"/>
          <w:szCs w:val="22"/>
          <w:lang w:val="en-GB"/>
        </w:rPr>
      </w:pPr>
      <w:hyperlink w:anchor="_Toc483401108" w:history="1">
        <w:r w:rsidR="00E42377" w:rsidRPr="00F81C3A">
          <w:rPr>
            <w:rStyle w:val="Hyperlink"/>
            <w:noProof/>
            <w:lang w:val="en-GB"/>
          </w:rPr>
          <w:t>C.</w:t>
        </w:r>
        <w:r w:rsidR="00E42377" w:rsidRPr="00F81C3A">
          <w:rPr>
            <w:rFonts w:eastAsiaTheme="minorEastAsia"/>
            <w:noProof/>
            <w:sz w:val="22"/>
            <w:szCs w:val="22"/>
            <w:lang w:val="en-GB"/>
          </w:rPr>
          <w:tab/>
        </w:r>
        <w:r w:rsidR="00E42377" w:rsidRPr="00F81C3A">
          <w:rPr>
            <w:rStyle w:val="Hyperlink"/>
            <w:noProof/>
            <w:lang w:val="en-GB"/>
          </w:rPr>
          <w:t>Physical conditions at storage sites</w:t>
        </w:r>
        <w:r w:rsidR="00E42377" w:rsidRPr="00F81C3A">
          <w:rPr>
            <w:noProof/>
            <w:webHidden/>
            <w:lang w:val="en-GB"/>
          </w:rPr>
          <w:tab/>
        </w:r>
        <w:r w:rsidR="00E42377" w:rsidRPr="00F81C3A">
          <w:rPr>
            <w:noProof/>
            <w:webHidden/>
            <w:lang w:val="en-GB"/>
          </w:rPr>
          <w:fldChar w:fldCharType="begin"/>
        </w:r>
        <w:r w:rsidR="00E42377" w:rsidRPr="00F81C3A">
          <w:rPr>
            <w:noProof/>
            <w:webHidden/>
            <w:lang w:val="en-GB"/>
          </w:rPr>
          <w:instrText xml:space="preserve"> PAGEREF _Toc483401108 \h </w:instrText>
        </w:r>
        <w:r w:rsidR="00E42377" w:rsidRPr="00F81C3A">
          <w:rPr>
            <w:noProof/>
            <w:webHidden/>
            <w:lang w:val="en-GB"/>
          </w:rPr>
        </w:r>
        <w:r w:rsidR="00E42377" w:rsidRPr="00F81C3A">
          <w:rPr>
            <w:noProof/>
            <w:webHidden/>
            <w:lang w:val="en-GB"/>
          </w:rPr>
          <w:fldChar w:fldCharType="separate"/>
        </w:r>
        <w:r>
          <w:rPr>
            <w:noProof/>
            <w:webHidden/>
            <w:lang w:val="en-GB"/>
          </w:rPr>
          <w:t>9</w:t>
        </w:r>
        <w:r w:rsidR="00E42377" w:rsidRPr="00F81C3A">
          <w:rPr>
            <w:noProof/>
            <w:webHidden/>
            <w:lang w:val="en-GB"/>
          </w:rPr>
          <w:fldChar w:fldCharType="end"/>
        </w:r>
      </w:hyperlink>
    </w:p>
    <w:p w:rsidR="00E42377" w:rsidRPr="00F81C3A" w:rsidRDefault="00AF0E01" w:rsidP="00E42377">
      <w:pPr>
        <w:pStyle w:val="TOC2"/>
        <w:spacing w:before="60"/>
        <w:ind w:left="2495" w:hanging="624"/>
        <w:rPr>
          <w:rFonts w:eastAsiaTheme="minorEastAsia"/>
          <w:noProof/>
          <w:sz w:val="22"/>
          <w:szCs w:val="22"/>
          <w:lang w:val="en-GB"/>
        </w:rPr>
      </w:pPr>
      <w:hyperlink w:anchor="_Toc483401109" w:history="1">
        <w:r w:rsidR="00E42377" w:rsidRPr="00F81C3A">
          <w:rPr>
            <w:rStyle w:val="Hyperlink"/>
            <w:noProof/>
            <w:lang w:val="en-GB"/>
          </w:rPr>
          <w:t>D.</w:t>
        </w:r>
        <w:r w:rsidR="00E42377" w:rsidRPr="00F81C3A">
          <w:rPr>
            <w:rFonts w:eastAsiaTheme="minorEastAsia"/>
            <w:noProof/>
            <w:sz w:val="22"/>
            <w:szCs w:val="22"/>
            <w:lang w:val="en-GB"/>
          </w:rPr>
          <w:tab/>
        </w:r>
        <w:r w:rsidR="00E42377" w:rsidRPr="00F81C3A">
          <w:rPr>
            <w:rStyle w:val="Hyperlink"/>
            <w:noProof/>
            <w:lang w:val="en-GB"/>
          </w:rPr>
          <w:t>Containers for the storage of mercury, including secondary containers</w:t>
        </w:r>
        <w:r w:rsidR="00E42377" w:rsidRPr="00F81C3A">
          <w:rPr>
            <w:noProof/>
            <w:webHidden/>
            <w:lang w:val="en-GB"/>
          </w:rPr>
          <w:tab/>
        </w:r>
        <w:r w:rsidR="00E42377" w:rsidRPr="00F81C3A">
          <w:rPr>
            <w:noProof/>
            <w:webHidden/>
            <w:lang w:val="en-GB"/>
          </w:rPr>
          <w:fldChar w:fldCharType="begin"/>
        </w:r>
        <w:r w:rsidR="00E42377" w:rsidRPr="00F81C3A">
          <w:rPr>
            <w:noProof/>
            <w:webHidden/>
            <w:lang w:val="en-GB"/>
          </w:rPr>
          <w:instrText xml:space="preserve"> PAGEREF _Toc483401109 \h </w:instrText>
        </w:r>
        <w:r w:rsidR="00E42377" w:rsidRPr="00F81C3A">
          <w:rPr>
            <w:noProof/>
            <w:webHidden/>
            <w:lang w:val="en-GB"/>
          </w:rPr>
        </w:r>
        <w:r w:rsidR="00E42377" w:rsidRPr="00F81C3A">
          <w:rPr>
            <w:noProof/>
            <w:webHidden/>
            <w:lang w:val="en-GB"/>
          </w:rPr>
          <w:fldChar w:fldCharType="separate"/>
        </w:r>
        <w:r>
          <w:rPr>
            <w:noProof/>
            <w:webHidden/>
            <w:lang w:val="en-GB"/>
          </w:rPr>
          <w:t>9</w:t>
        </w:r>
        <w:r w:rsidR="00E42377" w:rsidRPr="00F81C3A">
          <w:rPr>
            <w:noProof/>
            <w:webHidden/>
            <w:lang w:val="en-GB"/>
          </w:rPr>
          <w:fldChar w:fldCharType="end"/>
        </w:r>
      </w:hyperlink>
    </w:p>
    <w:p w:rsidR="00E42377" w:rsidRPr="00F81C3A" w:rsidRDefault="00AF0E01" w:rsidP="00E42377">
      <w:pPr>
        <w:pStyle w:val="TOC2"/>
        <w:spacing w:before="60"/>
        <w:ind w:left="2495" w:hanging="624"/>
        <w:rPr>
          <w:rFonts w:eastAsiaTheme="minorEastAsia"/>
          <w:noProof/>
          <w:sz w:val="22"/>
          <w:szCs w:val="22"/>
          <w:lang w:val="en-GB"/>
        </w:rPr>
      </w:pPr>
      <w:hyperlink w:anchor="_Toc483401110" w:history="1">
        <w:r w:rsidR="00E42377" w:rsidRPr="00F81C3A">
          <w:rPr>
            <w:rStyle w:val="Hyperlink"/>
            <w:noProof/>
            <w:lang w:val="en-GB"/>
          </w:rPr>
          <w:t>E.</w:t>
        </w:r>
        <w:r w:rsidR="00E42377" w:rsidRPr="00F81C3A">
          <w:rPr>
            <w:rFonts w:eastAsiaTheme="minorEastAsia"/>
            <w:noProof/>
            <w:sz w:val="22"/>
            <w:szCs w:val="22"/>
            <w:lang w:val="en-GB"/>
          </w:rPr>
          <w:tab/>
        </w:r>
        <w:r w:rsidR="00E42377" w:rsidRPr="00F81C3A">
          <w:rPr>
            <w:rStyle w:val="Hyperlink"/>
            <w:noProof/>
            <w:lang w:val="en-GB"/>
          </w:rPr>
          <w:t>Transport</w:t>
        </w:r>
        <w:r w:rsidR="00E42377" w:rsidRPr="00F81C3A">
          <w:rPr>
            <w:noProof/>
            <w:webHidden/>
            <w:lang w:val="en-GB"/>
          </w:rPr>
          <w:tab/>
        </w:r>
        <w:r w:rsidR="00E42377" w:rsidRPr="00F81C3A">
          <w:rPr>
            <w:noProof/>
            <w:webHidden/>
            <w:lang w:val="en-GB"/>
          </w:rPr>
          <w:fldChar w:fldCharType="begin"/>
        </w:r>
        <w:r w:rsidR="00E42377" w:rsidRPr="00F81C3A">
          <w:rPr>
            <w:noProof/>
            <w:webHidden/>
            <w:lang w:val="en-GB"/>
          </w:rPr>
          <w:instrText xml:space="preserve"> PAGEREF _Toc483401110 \h </w:instrText>
        </w:r>
        <w:r w:rsidR="00E42377" w:rsidRPr="00F81C3A">
          <w:rPr>
            <w:noProof/>
            <w:webHidden/>
            <w:lang w:val="en-GB"/>
          </w:rPr>
        </w:r>
        <w:r w:rsidR="00E42377" w:rsidRPr="00F81C3A">
          <w:rPr>
            <w:noProof/>
            <w:webHidden/>
            <w:lang w:val="en-GB"/>
          </w:rPr>
          <w:fldChar w:fldCharType="separate"/>
        </w:r>
        <w:r>
          <w:rPr>
            <w:noProof/>
            <w:webHidden/>
            <w:lang w:val="en-GB"/>
          </w:rPr>
          <w:t>10</w:t>
        </w:r>
        <w:r w:rsidR="00E42377" w:rsidRPr="00F81C3A">
          <w:rPr>
            <w:noProof/>
            <w:webHidden/>
            <w:lang w:val="en-GB"/>
          </w:rPr>
          <w:fldChar w:fldCharType="end"/>
        </w:r>
      </w:hyperlink>
    </w:p>
    <w:p w:rsidR="00E42377" w:rsidRPr="00F81C3A" w:rsidRDefault="00AF0E01" w:rsidP="00E42377">
      <w:pPr>
        <w:pStyle w:val="TOC2"/>
        <w:spacing w:before="60"/>
        <w:ind w:left="2495" w:hanging="624"/>
        <w:rPr>
          <w:rFonts w:eastAsiaTheme="minorEastAsia"/>
          <w:noProof/>
          <w:sz w:val="22"/>
          <w:szCs w:val="22"/>
          <w:lang w:val="en-GB"/>
        </w:rPr>
      </w:pPr>
      <w:hyperlink w:anchor="_Toc483401111" w:history="1">
        <w:r w:rsidR="00E42377" w:rsidRPr="00F81C3A">
          <w:rPr>
            <w:rStyle w:val="Hyperlink"/>
            <w:noProof/>
            <w:lang w:val="en-GB"/>
          </w:rPr>
          <w:t>F.</w:t>
        </w:r>
        <w:r w:rsidR="00E42377" w:rsidRPr="00F81C3A">
          <w:rPr>
            <w:rFonts w:eastAsiaTheme="minorEastAsia"/>
            <w:noProof/>
            <w:sz w:val="22"/>
            <w:szCs w:val="22"/>
            <w:lang w:val="en-GB"/>
          </w:rPr>
          <w:tab/>
        </w:r>
        <w:r w:rsidR="00E42377" w:rsidRPr="00F81C3A">
          <w:rPr>
            <w:rStyle w:val="Hyperlink"/>
            <w:noProof/>
            <w:lang w:val="en-GB"/>
          </w:rPr>
          <w:t>Logging and tracking of mercury movements</w:t>
        </w:r>
        <w:r w:rsidR="00E42377" w:rsidRPr="00F81C3A">
          <w:rPr>
            <w:noProof/>
            <w:webHidden/>
            <w:lang w:val="en-GB"/>
          </w:rPr>
          <w:tab/>
        </w:r>
        <w:r w:rsidR="00E42377" w:rsidRPr="00F81C3A">
          <w:rPr>
            <w:noProof/>
            <w:webHidden/>
            <w:lang w:val="en-GB"/>
          </w:rPr>
          <w:fldChar w:fldCharType="begin"/>
        </w:r>
        <w:r w:rsidR="00E42377" w:rsidRPr="00F81C3A">
          <w:rPr>
            <w:noProof/>
            <w:webHidden/>
            <w:lang w:val="en-GB"/>
          </w:rPr>
          <w:instrText xml:space="preserve"> PAGEREF _Toc483401111 \h </w:instrText>
        </w:r>
        <w:r w:rsidR="00E42377" w:rsidRPr="00F81C3A">
          <w:rPr>
            <w:noProof/>
            <w:webHidden/>
            <w:lang w:val="en-GB"/>
          </w:rPr>
        </w:r>
        <w:r w:rsidR="00E42377" w:rsidRPr="00F81C3A">
          <w:rPr>
            <w:noProof/>
            <w:webHidden/>
            <w:lang w:val="en-GB"/>
          </w:rPr>
          <w:fldChar w:fldCharType="separate"/>
        </w:r>
        <w:r>
          <w:rPr>
            <w:noProof/>
            <w:webHidden/>
            <w:lang w:val="en-GB"/>
          </w:rPr>
          <w:t>11</w:t>
        </w:r>
        <w:r w:rsidR="00E42377" w:rsidRPr="00F81C3A">
          <w:rPr>
            <w:noProof/>
            <w:webHidden/>
            <w:lang w:val="en-GB"/>
          </w:rPr>
          <w:fldChar w:fldCharType="end"/>
        </w:r>
      </w:hyperlink>
    </w:p>
    <w:p w:rsidR="00E42377" w:rsidRPr="00F81C3A" w:rsidRDefault="00AF0E01" w:rsidP="00E42377">
      <w:pPr>
        <w:pStyle w:val="TOC2"/>
        <w:spacing w:before="60"/>
        <w:ind w:left="2495" w:hanging="624"/>
        <w:rPr>
          <w:rFonts w:eastAsiaTheme="minorEastAsia"/>
          <w:noProof/>
          <w:sz w:val="22"/>
          <w:szCs w:val="22"/>
          <w:lang w:val="en-GB"/>
        </w:rPr>
      </w:pPr>
      <w:hyperlink w:anchor="_Toc483401112" w:history="1">
        <w:r w:rsidR="00E42377" w:rsidRPr="00F81C3A">
          <w:rPr>
            <w:rStyle w:val="Hyperlink"/>
            <w:noProof/>
            <w:lang w:val="en-GB"/>
          </w:rPr>
          <w:t>G.</w:t>
        </w:r>
        <w:r w:rsidR="00E42377" w:rsidRPr="00F81C3A">
          <w:rPr>
            <w:rFonts w:eastAsiaTheme="minorEastAsia"/>
            <w:noProof/>
            <w:sz w:val="22"/>
            <w:szCs w:val="22"/>
            <w:lang w:val="en-GB"/>
          </w:rPr>
          <w:tab/>
        </w:r>
        <w:r w:rsidR="00E42377" w:rsidRPr="00F81C3A">
          <w:rPr>
            <w:rStyle w:val="Hyperlink"/>
            <w:noProof/>
            <w:lang w:val="en-GB"/>
          </w:rPr>
          <w:t>Education and training of staff</w:t>
        </w:r>
        <w:r w:rsidR="00E42377" w:rsidRPr="00F81C3A">
          <w:rPr>
            <w:noProof/>
            <w:webHidden/>
            <w:lang w:val="en-GB"/>
          </w:rPr>
          <w:tab/>
        </w:r>
        <w:r w:rsidR="00E42377" w:rsidRPr="00F81C3A">
          <w:rPr>
            <w:noProof/>
            <w:webHidden/>
            <w:lang w:val="en-GB"/>
          </w:rPr>
          <w:fldChar w:fldCharType="begin"/>
        </w:r>
        <w:r w:rsidR="00E42377" w:rsidRPr="00F81C3A">
          <w:rPr>
            <w:noProof/>
            <w:webHidden/>
            <w:lang w:val="en-GB"/>
          </w:rPr>
          <w:instrText xml:space="preserve"> PAGEREF _Toc483401112 \h </w:instrText>
        </w:r>
        <w:r w:rsidR="00E42377" w:rsidRPr="00F81C3A">
          <w:rPr>
            <w:noProof/>
            <w:webHidden/>
            <w:lang w:val="en-GB"/>
          </w:rPr>
        </w:r>
        <w:r w:rsidR="00E42377" w:rsidRPr="00F81C3A">
          <w:rPr>
            <w:noProof/>
            <w:webHidden/>
            <w:lang w:val="en-GB"/>
          </w:rPr>
          <w:fldChar w:fldCharType="separate"/>
        </w:r>
        <w:r>
          <w:rPr>
            <w:noProof/>
            <w:webHidden/>
            <w:lang w:val="en-GB"/>
          </w:rPr>
          <w:t>11</w:t>
        </w:r>
        <w:r w:rsidR="00E42377" w:rsidRPr="00F81C3A">
          <w:rPr>
            <w:noProof/>
            <w:webHidden/>
            <w:lang w:val="en-GB"/>
          </w:rPr>
          <w:fldChar w:fldCharType="end"/>
        </w:r>
      </w:hyperlink>
    </w:p>
    <w:p w:rsidR="00E42377" w:rsidRPr="00F81C3A" w:rsidRDefault="00AF0E01" w:rsidP="00E42377">
      <w:pPr>
        <w:pStyle w:val="TOC2"/>
        <w:spacing w:before="60"/>
        <w:ind w:left="2495" w:hanging="624"/>
        <w:rPr>
          <w:rFonts w:eastAsiaTheme="minorEastAsia"/>
          <w:noProof/>
          <w:sz w:val="22"/>
          <w:szCs w:val="22"/>
          <w:lang w:val="en-GB"/>
        </w:rPr>
      </w:pPr>
      <w:hyperlink w:anchor="_Toc483401113" w:history="1">
        <w:r w:rsidR="00E42377" w:rsidRPr="00F81C3A">
          <w:rPr>
            <w:rStyle w:val="Hyperlink"/>
            <w:noProof/>
            <w:lang w:val="en-GB"/>
          </w:rPr>
          <w:t>H.</w:t>
        </w:r>
        <w:r w:rsidR="00E42377" w:rsidRPr="00F81C3A">
          <w:rPr>
            <w:rFonts w:eastAsiaTheme="minorEastAsia"/>
            <w:noProof/>
            <w:sz w:val="22"/>
            <w:szCs w:val="22"/>
            <w:lang w:val="en-GB"/>
          </w:rPr>
          <w:tab/>
        </w:r>
        <w:r w:rsidR="00E42377" w:rsidRPr="00F81C3A">
          <w:rPr>
            <w:rStyle w:val="Hyperlink"/>
            <w:noProof/>
            <w:lang w:val="en-GB"/>
          </w:rPr>
          <w:t>Timetables for repair, testing and maintenance</w:t>
        </w:r>
        <w:r w:rsidR="00E42377" w:rsidRPr="00F81C3A">
          <w:rPr>
            <w:noProof/>
            <w:webHidden/>
            <w:lang w:val="en-GB"/>
          </w:rPr>
          <w:tab/>
        </w:r>
        <w:r w:rsidR="00E42377" w:rsidRPr="00F81C3A">
          <w:rPr>
            <w:noProof/>
            <w:webHidden/>
            <w:lang w:val="en-GB"/>
          </w:rPr>
          <w:fldChar w:fldCharType="begin"/>
        </w:r>
        <w:r w:rsidR="00E42377" w:rsidRPr="00F81C3A">
          <w:rPr>
            <w:noProof/>
            <w:webHidden/>
            <w:lang w:val="en-GB"/>
          </w:rPr>
          <w:instrText xml:space="preserve"> PAGEREF _Toc483401113 \h </w:instrText>
        </w:r>
        <w:r w:rsidR="00E42377" w:rsidRPr="00F81C3A">
          <w:rPr>
            <w:noProof/>
            <w:webHidden/>
            <w:lang w:val="en-GB"/>
          </w:rPr>
        </w:r>
        <w:r w:rsidR="00E42377" w:rsidRPr="00F81C3A">
          <w:rPr>
            <w:noProof/>
            <w:webHidden/>
            <w:lang w:val="en-GB"/>
          </w:rPr>
          <w:fldChar w:fldCharType="separate"/>
        </w:r>
        <w:r>
          <w:rPr>
            <w:noProof/>
            <w:webHidden/>
            <w:lang w:val="en-GB"/>
          </w:rPr>
          <w:t>12</w:t>
        </w:r>
        <w:r w:rsidR="00E42377" w:rsidRPr="00F81C3A">
          <w:rPr>
            <w:noProof/>
            <w:webHidden/>
            <w:lang w:val="en-GB"/>
          </w:rPr>
          <w:fldChar w:fldCharType="end"/>
        </w:r>
      </w:hyperlink>
    </w:p>
    <w:p w:rsidR="00E42377" w:rsidRPr="00F81C3A" w:rsidRDefault="00AF0E01" w:rsidP="00E42377">
      <w:pPr>
        <w:pStyle w:val="TOC2"/>
        <w:spacing w:before="60"/>
        <w:ind w:left="2495" w:hanging="624"/>
        <w:rPr>
          <w:rFonts w:eastAsiaTheme="minorEastAsia"/>
          <w:noProof/>
          <w:sz w:val="22"/>
          <w:szCs w:val="22"/>
          <w:lang w:val="en-GB"/>
        </w:rPr>
      </w:pPr>
      <w:hyperlink w:anchor="_Toc483401114" w:history="1">
        <w:r w:rsidR="00E42377" w:rsidRPr="00F81C3A">
          <w:rPr>
            <w:rStyle w:val="Hyperlink"/>
            <w:noProof/>
            <w:lang w:val="en-GB"/>
          </w:rPr>
          <w:t>I.</w:t>
        </w:r>
        <w:r w:rsidR="00E42377" w:rsidRPr="00F81C3A">
          <w:rPr>
            <w:rFonts w:eastAsiaTheme="minorEastAsia"/>
            <w:noProof/>
            <w:sz w:val="22"/>
            <w:szCs w:val="22"/>
            <w:lang w:val="en-GB"/>
          </w:rPr>
          <w:tab/>
        </w:r>
        <w:r w:rsidR="00E42377" w:rsidRPr="00F81C3A">
          <w:rPr>
            <w:rStyle w:val="Hyperlink"/>
            <w:noProof/>
            <w:lang w:val="en-GB"/>
          </w:rPr>
          <w:t>Emergency measures, including personal protective equipment</w:t>
        </w:r>
        <w:r w:rsidR="00E42377" w:rsidRPr="00F81C3A">
          <w:rPr>
            <w:noProof/>
            <w:webHidden/>
            <w:lang w:val="en-GB"/>
          </w:rPr>
          <w:tab/>
        </w:r>
        <w:r w:rsidR="00E42377" w:rsidRPr="00F81C3A">
          <w:rPr>
            <w:noProof/>
            <w:webHidden/>
            <w:lang w:val="en-GB"/>
          </w:rPr>
          <w:fldChar w:fldCharType="begin"/>
        </w:r>
        <w:r w:rsidR="00E42377" w:rsidRPr="00F81C3A">
          <w:rPr>
            <w:noProof/>
            <w:webHidden/>
            <w:lang w:val="en-GB"/>
          </w:rPr>
          <w:instrText xml:space="preserve"> PAGEREF _Toc483401114 \h </w:instrText>
        </w:r>
        <w:r w:rsidR="00E42377" w:rsidRPr="00F81C3A">
          <w:rPr>
            <w:noProof/>
            <w:webHidden/>
            <w:lang w:val="en-GB"/>
          </w:rPr>
        </w:r>
        <w:r w:rsidR="00E42377" w:rsidRPr="00F81C3A">
          <w:rPr>
            <w:noProof/>
            <w:webHidden/>
            <w:lang w:val="en-GB"/>
          </w:rPr>
          <w:fldChar w:fldCharType="separate"/>
        </w:r>
        <w:r>
          <w:rPr>
            <w:noProof/>
            <w:webHidden/>
            <w:lang w:val="en-GB"/>
          </w:rPr>
          <w:t>12</w:t>
        </w:r>
        <w:r w:rsidR="00E42377" w:rsidRPr="00F81C3A">
          <w:rPr>
            <w:noProof/>
            <w:webHidden/>
            <w:lang w:val="en-GB"/>
          </w:rPr>
          <w:fldChar w:fldCharType="end"/>
        </w:r>
      </w:hyperlink>
    </w:p>
    <w:p w:rsidR="00E42377" w:rsidRPr="00F81C3A" w:rsidRDefault="00AF0E01" w:rsidP="00E42377">
      <w:pPr>
        <w:pStyle w:val="TOC2"/>
        <w:spacing w:before="60"/>
        <w:ind w:left="2495" w:hanging="624"/>
        <w:rPr>
          <w:rFonts w:eastAsiaTheme="minorEastAsia"/>
          <w:noProof/>
          <w:sz w:val="22"/>
          <w:szCs w:val="22"/>
          <w:lang w:val="en-GB"/>
        </w:rPr>
      </w:pPr>
      <w:hyperlink w:anchor="_Toc483401115" w:history="1">
        <w:r w:rsidR="00E42377" w:rsidRPr="00F81C3A">
          <w:rPr>
            <w:rStyle w:val="Hyperlink"/>
            <w:noProof/>
            <w:lang w:val="en-GB"/>
          </w:rPr>
          <w:t>J.</w:t>
        </w:r>
        <w:r w:rsidR="00E42377" w:rsidRPr="00F81C3A">
          <w:rPr>
            <w:rFonts w:eastAsiaTheme="minorEastAsia"/>
            <w:noProof/>
            <w:sz w:val="22"/>
            <w:szCs w:val="22"/>
            <w:lang w:val="en-GB"/>
          </w:rPr>
          <w:tab/>
        </w:r>
        <w:r w:rsidR="00E42377" w:rsidRPr="00F81C3A">
          <w:rPr>
            <w:rStyle w:val="Hyperlink"/>
            <w:noProof/>
            <w:lang w:val="en-GB"/>
          </w:rPr>
          <w:t>Inspection and monitoring</w:t>
        </w:r>
        <w:r w:rsidR="00E42377" w:rsidRPr="00F81C3A">
          <w:rPr>
            <w:noProof/>
            <w:webHidden/>
            <w:lang w:val="en-GB"/>
          </w:rPr>
          <w:tab/>
        </w:r>
        <w:r w:rsidR="00E42377" w:rsidRPr="00F81C3A">
          <w:rPr>
            <w:noProof/>
            <w:webHidden/>
            <w:lang w:val="en-GB"/>
          </w:rPr>
          <w:fldChar w:fldCharType="begin"/>
        </w:r>
        <w:r w:rsidR="00E42377" w:rsidRPr="00F81C3A">
          <w:rPr>
            <w:noProof/>
            <w:webHidden/>
            <w:lang w:val="en-GB"/>
          </w:rPr>
          <w:instrText xml:space="preserve"> PAGEREF _Toc483401115 \h </w:instrText>
        </w:r>
        <w:r w:rsidR="00E42377" w:rsidRPr="00F81C3A">
          <w:rPr>
            <w:noProof/>
            <w:webHidden/>
            <w:lang w:val="en-GB"/>
          </w:rPr>
        </w:r>
        <w:r w:rsidR="00E42377" w:rsidRPr="00F81C3A">
          <w:rPr>
            <w:noProof/>
            <w:webHidden/>
            <w:lang w:val="en-GB"/>
          </w:rPr>
          <w:fldChar w:fldCharType="separate"/>
        </w:r>
        <w:r>
          <w:rPr>
            <w:noProof/>
            <w:webHidden/>
            <w:lang w:val="en-GB"/>
          </w:rPr>
          <w:t>13</w:t>
        </w:r>
        <w:r w:rsidR="00E42377" w:rsidRPr="00F81C3A">
          <w:rPr>
            <w:noProof/>
            <w:webHidden/>
            <w:lang w:val="en-GB"/>
          </w:rPr>
          <w:fldChar w:fldCharType="end"/>
        </w:r>
      </w:hyperlink>
    </w:p>
    <w:p w:rsidR="00E42377" w:rsidRPr="00F81C3A" w:rsidRDefault="00AF0E01" w:rsidP="00E42377">
      <w:pPr>
        <w:pStyle w:val="TOC1"/>
        <w:spacing w:before="120"/>
        <w:ind w:left="1871" w:hanging="624"/>
        <w:rPr>
          <w:rFonts w:eastAsiaTheme="minorEastAsia"/>
          <w:bCs w:val="0"/>
          <w:noProof/>
          <w:sz w:val="22"/>
          <w:szCs w:val="22"/>
          <w:lang w:val="en-GB"/>
        </w:rPr>
      </w:pPr>
      <w:hyperlink w:anchor="_Toc483401116" w:history="1">
        <w:r w:rsidR="00E42377" w:rsidRPr="00F81C3A">
          <w:rPr>
            <w:rStyle w:val="Hyperlink"/>
            <w:noProof/>
            <w:lang w:val="en-GB"/>
          </w:rPr>
          <w:t>V.</w:t>
        </w:r>
        <w:r w:rsidR="00E42377" w:rsidRPr="00F81C3A">
          <w:rPr>
            <w:rFonts w:eastAsiaTheme="minorEastAsia"/>
            <w:bCs w:val="0"/>
            <w:noProof/>
            <w:sz w:val="22"/>
            <w:szCs w:val="22"/>
            <w:lang w:val="en-GB"/>
          </w:rPr>
          <w:tab/>
        </w:r>
        <w:r w:rsidR="00E42377" w:rsidRPr="00F81C3A">
          <w:rPr>
            <w:rStyle w:val="Hyperlink"/>
            <w:noProof/>
            <w:lang w:val="en-GB"/>
          </w:rPr>
          <w:t>Guidance on collection, handling, packaging and transport</w:t>
        </w:r>
        <w:r w:rsidR="00E42377" w:rsidRPr="00F81C3A">
          <w:rPr>
            <w:noProof/>
            <w:webHidden/>
            <w:lang w:val="en-GB"/>
          </w:rPr>
          <w:tab/>
        </w:r>
        <w:r w:rsidR="00E42377" w:rsidRPr="00F81C3A">
          <w:rPr>
            <w:noProof/>
            <w:webHidden/>
            <w:lang w:val="en-GB"/>
          </w:rPr>
          <w:fldChar w:fldCharType="begin"/>
        </w:r>
        <w:r w:rsidR="00E42377" w:rsidRPr="00F81C3A">
          <w:rPr>
            <w:noProof/>
            <w:webHidden/>
            <w:lang w:val="en-GB"/>
          </w:rPr>
          <w:instrText xml:space="preserve"> PAGEREF _Toc483401116 \h </w:instrText>
        </w:r>
        <w:r w:rsidR="00E42377" w:rsidRPr="00F81C3A">
          <w:rPr>
            <w:noProof/>
            <w:webHidden/>
            <w:lang w:val="en-GB"/>
          </w:rPr>
        </w:r>
        <w:r w:rsidR="00E42377" w:rsidRPr="00F81C3A">
          <w:rPr>
            <w:noProof/>
            <w:webHidden/>
            <w:lang w:val="en-GB"/>
          </w:rPr>
          <w:fldChar w:fldCharType="separate"/>
        </w:r>
        <w:r>
          <w:rPr>
            <w:noProof/>
            <w:webHidden/>
            <w:lang w:val="en-GB"/>
          </w:rPr>
          <w:t>14</w:t>
        </w:r>
        <w:r w:rsidR="00E42377" w:rsidRPr="00F81C3A">
          <w:rPr>
            <w:noProof/>
            <w:webHidden/>
            <w:lang w:val="en-GB"/>
          </w:rPr>
          <w:fldChar w:fldCharType="end"/>
        </w:r>
      </w:hyperlink>
    </w:p>
    <w:p w:rsidR="00E42377" w:rsidRPr="00F81C3A" w:rsidRDefault="00AF0E01" w:rsidP="00E42377">
      <w:pPr>
        <w:pStyle w:val="TOC2"/>
        <w:spacing w:before="60"/>
        <w:ind w:left="2495" w:hanging="624"/>
        <w:rPr>
          <w:rStyle w:val="Hyperlink"/>
          <w:noProof/>
          <w:lang w:val="en-GB"/>
        </w:rPr>
      </w:pPr>
      <w:hyperlink w:anchor="_Toc483401117" w:history="1">
        <w:r w:rsidR="00E42377" w:rsidRPr="00F81C3A">
          <w:rPr>
            <w:rStyle w:val="Hyperlink"/>
            <w:noProof/>
            <w:lang w:val="en-GB"/>
          </w:rPr>
          <w:t>A.</w:t>
        </w:r>
        <w:r w:rsidR="00E42377" w:rsidRPr="00F81C3A">
          <w:rPr>
            <w:rStyle w:val="Hyperlink"/>
            <w:noProof/>
            <w:lang w:val="en-GB"/>
          </w:rPr>
          <w:tab/>
          <w:t>Health and safety</w:t>
        </w:r>
        <w:r w:rsidR="00E42377" w:rsidRPr="00F81C3A">
          <w:rPr>
            <w:rStyle w:val="Hyperlink"/>
            <w:noProof/>
            <w:webHidden/>
            <w:lang w:val="en-GB"/>
          </w:rPr>
          <w:tab/>
        </w:r>
        <w:r w:rsidR="00E42377" w:rsidRPr="00F81C3A">
          <w:rPr>
            <w:rStyle w:val="Hyperlink"/>
            <w:noProof/>
            <w:webHidden/>
            <w:lang w:val="en-GB"/>
          </w:rPr>
          <w:fldChar w:fldCharType="begin"/>
        </w:r>
        <w:r w:rsidR="00E42377" w:rsidRPr="00F81C3A">
          <w:rPr>
            <w:rStyle w:val="Hyperlink"/>
            <w:noProof/>
            <w:webHidden/>
            <w:lang w:val="en-GB"/>
          </w:rPr>
          <w:instrText xml:space="preserve"> PAGEREF _Toc483401117 \h </w:instrText>
        </w:r>
        <w:r w:rsidR="00E42377" w:rsidRPr="00F81C3A">
          <w:rPr>
            <w:rStyle w:val="Hyperlink"/>
            <w:noProof/>
            <w:webHidden/>
            <w:lang w:val="en-GB"/>
          </w:rPr>
        </w:r>
        <w:r w:rsidR="00E42377" w:rsidRPr="00F81C3A">
          <w:rPr>
            <w:rStyle w:val="Hyperlink"/>
            <w:noProof/>
            <w:webHidden/>
            <w:lang w:val="en-GB"/>
          </w:rPr>
          <w:fldChar w:fldCharType="separate"/>
        </w:r>
        <w:r>
          <w:rPr>
            <w:rStyle w:val="Hyperlink"/>
            <w:noProof/>
            <w:webHidden/>
            <w:lang w:val="en-GB"/>
          </w:rPr>
          <w:t>14</w:t>
        </w:r>
        <w:r w:rsidR="00E42377" w:rsidRPr="00F81C3A">
          <w:rPr>
            <w:rStyle w:val="Hyperlink"/>
            <w:noProof/>
            <w:webHidden/>
            <w:lang w:val="en-GB"/>
          </w:rPr>
          <w:fldChar w:fldCharType="end"/>
        </w:r>
      </w:hyperlink>
    </w:p>
    <w:p w:rsidR="00E42377" w:rsidRPr="00F81C3A" w:rsidRDefault="00AF0E01" w:rsidP="00E42377">
      <w:pPr>
        <w:pStyle w:val="TOC2"/>
        <w:spacing w:before="60"/>
        <w:ind w:left="2495" w:hanging="624"/>
        <w:rPr>
          <w:rStyle w:val="Hyperlink"/>
          <w:noProof/>
          <w:lang w:val="en-GB"/>
        </w:rPr>
      </w:pPr>
      <w:hyperlink w:anchor="_Toc483401118" w:history="1">
        <w:r w:rsidR="00E42377" w:rsidRPr="00F81C3A">
          <w:rPr>
            <w:rStyle w:val="Hyperlink"/>
            <w:noProof/>
            <w:lang w:val="en-GB"/>
          </w:rPr>
          <w:t>B.</w:t>
        </w:r>
        <w:r w:rsidR="00E42377" w:rsidRPr="00F81C3A">
          <w:rPr>
            <w:rStyle w:val="Hyperlink"/>
            <w:noProof/>
            <w:lang w:val="en-GB"/>
          </w:rPr>
          <w:tab/>
          <w:t>Public health and safety</w:t>
        </w:r>
        <w:r w:rsidR="00E42377" w:rsidRPr="00F81C3A">
          <w:rPr>
            <w:rStyle w:val="Hyperlink"/>
            <w:noProof/>
            <w:webHidden/>
            <w:lang w:val="en-GB"/>
          </w:rPr>
          <w:tab/>
        </w:r>
        <w:r w:rsidR="00E42377" w:rsidRPr="00F81C3A">
          <w:rPr>
            <w:rStyle w:val="Hyperlink"/>
            <w:noProof/>
            <w:webHidden/>
            <w:lang w:val="en-GB"/>
          </w:rPr>
          <w:fldChar w:fldCharType="begin"/>
        </w:r>
        <w:r w:rsidR="00E42377" w:rsidRPr="00F81C3A">
          <w:rPr>
            <w:rStyle w:val="Hyperlink"/>
            <w:noProof/>
            <w:webHidden/>
            <w:lang w:val="en-GB"/>
          </w:rPr>
          <w:instrText xml:space="preserve"> PAGEREF _Toc483401118 \h </w:instrText>
        </w:r>
        <w:r w:rsidR="00E42377" w:rsidRPr="00F81C3A">
          <w:rPr>
            <w:rStyle w:val="Hyperlink"/>
            <w:noProof/>
            <w:webHidden/>
            <w:lang w:val="en-GB"/>
          </w:rPr>
        </w:r>
        <w:r w:rsidR="00E42377" w:rsidRPr="00F81C3A">
          <w:rPr>
            <w:rStyle w:val="Hyperlink"/>
            <w:noProof/>
            <w:webHidden/>
            <w:lang w:val="en-GB"/>
          </w:rPr>
          <w:fldChar w:fldCharType="separate"/>
        </w:r>
        <w:r>
          <w:rPr>
            <w:rStyle w:val="Hyperlink"/>
            <w:noProof/>
            <w:webHidden/>
            <w:lang w:val="en-GB"/>
          </w:rPr>
          <w:t>15</w:t>
        </w:r>
        <w:r w:rsidR="00E42377" w:rsidRPr="00F81C3A">
          <w:rPr>
            <w:rStyle w:val="Hyperlink"/>
            <w:noProof/>
            <w:webHidden/>
            <w:lang w:val="en-GB"/>
          </w:rPr>
          <w:fldChar w:fldCharType="end"/>
        </w:r>
      </w:hyperlink>
    </w:p>
    <w:p w:rsidR="00E42377" w:rsidRPr="00F81C3A" w:rsidRDefault="00AF0E01" w:rsidP="00E42377">
      <w:pPr>
        <w:pStyle w:val="TOC2"/>
        <w:spacing w:before="60"/>
        <w:ind w:left="2495" w:hanging="624"/>
        <w:rPr>
          <w:rStyle w:val="Hyperlink"/>
          <w:noProof/>
          <w:lang w:val="en-GB"/>
        </w:rPr>
      </w:pPr>
      <w:hyperlink w:anchor="_Toc483401119" w:history="1">
        <w:r w:rsidR="00E42377" w:rsidRPr="00F81C3A">
          <w:rPr>
            <w:rStyle w:val="Hyperlink"/>
            <w:noProof/>
            <w:lang w:val="en-GB"/>
          </w:rPr>
          <w:t>C.</w:t>
        </w:r>
        <w:r w:rsidR="00E42377" w:rsidRPr="00F81C3A">
          <w:rPr>
            <w:rStyle w:val="Hyperlink"/>
            <w:noProof/>
            <w:lang w:val="en-GB"/>
          </w:rPr>
          <w:tab/>
          <w:t>Worker health and safety</w:t>
        </w:r>
        <w:r w:rsidR="00E42377" w:rsidRPr="00F81C3A">
          <w:rPr>
            <w:rStyle w:val="Hyperlink"/>
            <w:noProof/>
            <w:webHidden/>
            <w:lang w:val="en-GB"/>
          </w:rPr>
          <w:tab/>
        </w:r>
        <w:r w:rsidR="00E42377" w:rsidRPr="00F81C3A">
          <w:rPr>
            <w:rStyle w:val="Hyperlink"/>
            <w:noProof/>
            <w:webHidden/>
            <w:lang w:val="en-GB"/>
          </w:rPr>
          <w:fldChar w:fldCharType="begin"/>
        </w:r>
        <w:r w:rsidR="00E42377" w:rsidRPr="00F81C3A">
          <w:rPr>
            <w:rStyle w:val="Hyperlink"/>
            <w:noProof/>
            <w:webHidden/>
            <w:lang w:val="en-GB"/>
          </w:rPr>
          <w:instrText xml:space="preserve"> PAGEREF _Toc483401119 \h </w:instrText>
        </w:r>
        <w:r w:rsidR="00E42377" w:rsidRPr="00F81C3A">
          <w:rPr>
            <w:rStyle w:val="Hyperlink"/>
            <w:noProof/>
            <w:webHidden/>
            <w:lang w:val="en-GB"/>
          </w:rPr>
        </w:r>
        <w:r w:rsidR="00E42377" w:rsidRPr="00F81C3A">
          <w:rPr>
            <w:rStyle w:val="Hyperlink"/>
            <w:noProof/>
            <w:webHidden/>
            <w:lang w:val="en-GB"/>
          </w:rPr>
          <w:fldChar w:fldCharType="separate"/>
        </w:r>
        <w:r>
          <w:rPr>
            <w:rStyle w:val="Hyperlink"/>
            <w:noProof/>
            <w:webHidden/>
            <w:lang w:val="en-GB"/>
          </w:rPr>
          <w:t>15</w:t>
        </w:r>
        <w:r w:rsidR="00E42377" w:rsidRPr="00F81C3A">
          <w:rPr>
            <w:rStyle w:val="Hyperlink"/>
            <w:noProof/>
            <w:webHidden/>
            <w:lang w:val="en-GB"/>
          </w:rPr>
          <w:fldChar w:fldCharType="end"/>
        </w:r>
      </w:hyperlink>
    </w:p>
    <w:p w:rsidR="00E42377" w:rsidRPr="00F81C3A" w:rsidRDefault="00AF0E01" w:rsidP="00E42377">
      <w:pPr>
        <w:pStyle w:val="TOC2"/>
        <w:spacing w:before="60"/>
        <w:ind w:left="2495" w:hanging="624"/>
        <w:rPr>
          <w:rStyle w:val="Hyperlink"/>
          <w:noProof/>
          <w:lang w:val="en-GB"/>
        </w:rPr>
      </w:pPr>
      <w:hyperlink w:anchor="_Toc483401120" w:history="1">
        <w:r w:rsidR="00E42377" w:rsidRPr="00F81C3A">
          <w:rPr>
            <w:rStyle w:val="Hyperlink"/>
            <w:noProof/>
            <w:lang w:val="en-GB"/>
          </w:rPr>
          <w:t>D.</w:t>
        </w:r>
        <w:r w:rsidR="00E42377" w:rsidRPr="00F81C3A">
          <w:rPr>
            <w:rStyle w:val="Hyperlink"/>
            <w:noProof/>
            <w:lang w:val="en-GB"/>
          </w:rPr>
          <w:tab/>
          <w:t>Standards for the identification of stocks</w:t>
        </w:r>
        <w:r w:rsidR="00E42377" w:rsidRPr="00F81C3A">
          <w:rPr>
            <w:rStyle w:val="Hyperlink"/>
            <w:noProof/>
            <w:webHidden/>
            <w:lang w:val="en-GB"/>
          </w:rPr>
          <w:tab/>
        </w:r>
        <w:r w:rsidR="00E42377" w:rsidRPr="00F81C3A">
          <w:rPr>
            <w:rStyle w:val="Hyperlink"/>
            <w:noProof/>
            <w:webHidden/>
            <w:lang w:val="en-GB"/>
          </w:rPr>
          <w:fldChar w:fldCharType="begin"/>
        </w:r>
        <w:r w:rsidR="00E42377" w:rsidRPr="00F81C3A">
          <w:rPr>
            <w:rStyle w:val="Hyperlink"/>
            <w:noProof/>
            <w:webHidden/>
            <w:lang w:val="en-GB"/>
          </w:rPr>
          <w:instrText xml:space="preserve"> PAGEREF _Toc483401120 \h </w:instrText>
        </w:r>
        <w:r w:rsidR="00E42377" w:rsidRPr="00F81C3A">
          <w:rPr>
            <w:rStyle w:val="Hyperlink"/>
            <w:noProof/>
            <w:webHidden/>
            <w:lang w:val="en-GB"/>
          </w:rPr>
        </w:r>
        <w:r w:rsidR="00E42377" w:rsidRPr="00F81C3A">
          <w:rPr>
            <w:rStyle w:val="Hyperlink"/>
            <w:noProof/>
            <w:webHidden/>
            <w:lang w:val="en-GB"/>
          </w:rPr>
          <w:fldChar w:fldCharType="separate"/>
        </w:r>
        <w:r>
          <w:rPr>
            <w:rStyle w:val="Hyperlink"/>
            <w:noProof/>
            <w:webHidden/>
            <w:lang w:val="en-GB"/>
          </w:rPr>
          <w:t>15</w:t>
        </w:r>
        <w:r w:rsidR="00E42377" w:rsidRPr="00F81C3A">
          <w:rPr>
            <w:rStyle w:val="Hyperlink"/>
            <w:noProof/>
            <w:webHidden/>
            <w:lang w:val="en-GB"/>
          </w:rPr>
          <w:fldChar w:fldCharType="end"/>
        </w:r>
      </w:hyperlink>
    </w:p>
    <w:p w:rsidR="00E42377" w:rsidRPr="00F81C3A" w:rsidRDefault="00AF0E01" w:rsidP="00E42377">
      <w:pPr>
        <w:pStyle w:val="TOC1"/>
        <w:spacing w:before="120"/>
        <w:ind w:left="1871" w:hanging="624"/>
        <w:rPr>
          <w:rFonts w:eastAsiaTheme="minorEastAsia"/>
          <w:bCs w:val="0"/>
          <w:noProof/>
          <w:sz w:val="22"/>
          <w:szCs w:val="22"/>
          <w:lang w:val="en-GB"/>
        </w:rPr>
      </w:pPr>
      <w:hyperlink w:anchor="_Toc483401121" w:history="1">
        <w:r w:rsidR="00E42377" w:rsidRPr="00F81C3A">
          <w:rPr>
            <w:rStyle w:val="Hyperlink"/>
            <w:noProof/>
            <w:lang w:val="en-GB"/>
          </w:rPr>
          <w:t>References and other resources</w:t>
        </w:r>
        <w:r w:rsidR="00E42377" w:rsidRPr="00F81C3A">
          <w:rPr>
            <w:noProof/>
            <w:webHidden/>
            <w:lang w:val="en-GB"/>
          </w:rPr>
          <w:tab/>
        </w:r>
        <w:r w:rsidR="00E42377" w:rsidRPr="00F81C3A">
          <w:rPr>
            <w:noProof/>
            <w:webHidden/>
            <w:lang w:val="en-GB"/>
          </w:rPr>
          <w:fldChar w:fldCharType="begin"/>
        </w:r>
        <w:r w:rsidR="00E42377" w:rsidRPr="00F81C3A">
          <w:rPr>
            <w:noProof/>
            <w:webHidden/>
            <w:lang w:val="en-GB"/>
          </w:rPr>
          <w:instrText xml:space="preserve"> PAGEREF _Toc483401121 \h </w:instrText>
        </w:r>
        <w:r w:rsidR="00E42377" w:rsidRPr="00F81C3A">
          <w:rPr>
            <w:noProof/>
            <w:webHidden/>
            <w:lang w:val="en-GB"/>
          </w:rPr>
        </w:r>
        <w:r w:rsidR="00E42377" w:rsidRPr="00F81C3A">
          <w:rPr>
            <w:noProof/>
            <w:webHidden/>
            <w:lang w:val="en-GB"/>
          </w:rPr>
          <w:fldChar w:fldCharType="separate"/>
        </w:r>
        <w:r>
          <w:rPr>
            <w:noProof/>
            <w:webHidden/>
            <w:lang w:val="en-GB"/>
          </w:rPr>
          <w:t>16</w:t>
        </w:r>
        <w:r w:rsidR="00E42377" w:rsidRPr="00F81C3A">
          <w:rPr>
            <w:noProof/>
            <w:webHidden/>
            <w:lang w:val="en-GB"/>
          </w:rPr>
          <w:fldChar w:fldCharType="end"/>
        </w:r>
      </w:hyperlink>
    </w:p>
    <w:p w:rsidR="00E42377" w:rsidRPr="00F81C3A" w:rsidRDefault="00E42377" w:rsidP="00B205CD">
      <w:pPr>
        <w:pStyle w:val="CH1"/>
        <w:tabs>
          <w:tab w:val="clear" w:pos="851"/>
          <w:tab w:val="clear" w:pos="1247"/>
          <w:tab w:val="clear" w:pos="1814"/>
          <w:tab w:val="clear" w:pos="2381"/>
          <w:tab w:val="clear" w:pos="2948"/>
          <w:tab w:val="clear" w:pos="3515"/>
          <w:tab w:val="clear" w:pos="4082"/>
          <w:tab w:val="left" w:pos="624"/>
        </w:tabs>
        <w:ind w:left="624" w:hanging="624"/>
      </w:pPr>
      <w:r w:rsidRPr="00F81C3A">
        <w:rPr>
          <w:b w:val="0"/>
          <w:sz w:val="20"/>
          <w:szCs w:val="20"/>
          <w:highlight w:val="cyan"/>
        </w:rPr>
        <w:fldChar w:fldCharType="end"/>
      </w:r>
      <w:r w:rsidR="00700EED" w:rsidRPr="00F81C3A">
        <w:br w:type="page"/>
      </w:r>
    </w:p>
    <w:p w:rsidR="00700EED" w:rsidRPr="00F81C3A" w:rsidRDefault="00E42377" w:rsidP="00E42377">
      <w:pPr>
        <w:pStyle w:val="CH1"/>
        <w:tabs>
          <w:tab w:val="clear" w:pos="851"/>
          <w:tab w:val="clear" w:pos="1247"/>
          <w:tab w:val="clear" w:pos="1814"/>
          <w:tab w:val="clear" w:pos="2381"/>
          <w:tab w:val="clear" w:pos="2948"/>
          <w:tab w:val="clear" w:pos="3515"/>
          <w:tab w:val="clear" w:pos="4082"/>
          <w:tab w:val="left" w:pos="624"/>
        </w:tabs>
        <w:ind w:left="624" w:hanging="624"/>
      </w:pPr>
      <w:r w:rsidRPr="00F81C3A">
        <w:tab/>
      </w:r>
      <w:bookmarkStart w:id="14" w:name="_Toc483401102"/>
      <w:r w:rsidRPr="00F81C3A">
        <w:t>I.</w:t>
      </w:r>
      <w:r w:rsidRPr="00F81C3A">
        <w:tab/>
      </w:r>
      <w:r w:rsidR="00700EED" w:rsidRPr="00F81C3A">
        <w:t>Introduction</w:t>
      </w:r>
      <w:bookmarkEnd w:id="14"/>
    </w:p>
    <w:p w:rsidR="00700EED" w:rsidRPr="00F81C3A" w:rsidRDefault="00700EED" w:rsidP="00F204CF">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The Minamata Convention on Mercury is a global legally binding instrument with the objective </w:t>
      </w:r>
      <w:r w:rsidR="00A345C2" w:rsidRPr="00F81C3A">
        <w:t>of</w:t>
      </w:r>
      <w:r w:rsidRPr="00F81C3A">
        <w:t xml:space="preserve"> protect</w:t>
      </w:r>
      <w:r w:rsidR="00A345C2" w:rsidRPr="00F81C3A">
        <w:t>ing</w:t>
      </w:r>
      <w:r w:rsidRPr="00F81C3A">
        <w:t xml:space="preserve"> human health and the environment from anthropogenic emissions and releases of mercury and mercury compounds. The Convention contains obligations relating to mercury emissions and releases resulting from all stages of mercury use, including supply, trade, use, waste and contaminated sites.</w:t>
      </w:r>
      <w:r w:rsidR="00A345C2" w:rsidRPr="00F81C3A">
        <w:t xml:space="preserve"> </w:t>
      </w:r>
      <w:r w:rsidRPr="00F81C3A">
        <w:t xml:space="preserve">There are specific obligations relating to the environmentally sound interim storage of mercury and mercury compounds other than waste mercury, which are set out in article 10 of the Convention.  </w:t>
      </w:r>
    </w:p>
    <w:p w:rsidR="00700EED" w:rsidRPr="00F81C3A" w:rsidRDefault="00700EED" w:rsidP="004C56C2">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The Convention stipulates that the Conference of the Parties shall adopt guidelines on the environmentally sound interim storage of mercury and mercury compounds within the scope of article 10. The guidelines </w:t>
      </w:r>
      <w:r w:rsidR="004C56C2" w:rsidRPr="00F81C3A">
        <w:t xml:space="preserve">shall </w:t>
      </w:r>
      <w:r w:rsidRPr="00F81C3A">
        <w:t xml:space="preserve">take into account any relevant guidelines developed under the Basel Convention on the Control of Transboundary Movement of Hazardous Wastes and Their Disposal and other relevant guidance. On this basis, the following guidelines have been prepared, in line with the request </w:t>
      </w:r>
      <w:r w:rsidR="00A345C2" w:rsidRPr="00F81C3A">
        <w:t xml:space="preserve">made by </w:t>
      </w:r>
      <w:r w:rsidRPr="00F81C3A">
        <w:t xml:space="preserve">the intergovernmental negotiating committee </w:t>
      </w:r>
      <w:r w:rsidR="00A345C2" w:rsidRPr="00F81C3A">
        <w:t>to prepare a global legally binding instrument on mercury at its seventh session</w:t>
      </w:r>
      <w:r w:rsidR="000C67AE" w:rsidRPr="00F81C3A">
        <w:t>,</w:t>
      </w:r>
      <w:r w:rsidR="00A345C2" w:rsidRPr="00F81C3A">
        <w:t xml:space="preserve"> </w:t>
      </w:r>
      <w:r w:rsidRPr="00F81C3A">
        <w:t xml:space="preserve">and in consultation with relevant experts. </w:t>
      </w:r>
    </w:p>
    <w:p w:rsidR="00700EED" w:rsidRPr="00F81C3A" w:rsidRDefault="000C67AE" w:rsidP="00F204CF">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T</w:t>
      </w:r>
      <w:r w:rsidR="00A345C2" w:rsidRPr="00F81C3A">
        <w:t xml:space="preserve">he </w:t>
      </w:r>
      <w:r w:rsidR="00700EED" w:rsidRPr="00F81C3A">
        <w:t>guidelines do not establish mandatory requirements</w:t>
      </w:r>
      <w:r w:rsidRPr="00F81C3A">
        <w:t xml:space="preserve"> </w:t>
      </w:r>
      <w:r w:rsidR="00700EED" w:rsidRPr="00F81C3A">
        <w:t>or attempt to add to</w:t>
      </w:r>
      <w:r w:rsidR="00A345C2" w:rsidRPr="00F81C3A">
        <w:t xml:space="preserve">, </w:t>
      </w:r>
      <w:r w:rsidR="00700EED" w:rsidRPr="00F81C3A">
        <w:t xml:space="preserve">or subtract from, a </w:t>
      </w:r>
      <w:r w:rsidR="004C01FA">
        <w:t>p</w:t>
      </w:r>
      <w:r w:rsidR="004C01FA" w:rsidRPr="00F81C3A">
        <w:t xml:space="preserve">arty’s </w:t>
      </w:r>
      <w:r w:rsidR="00700EED" w:rsidRPr="00F81C3A">
        <w:t>obligations under the Convention, in particular article 10 of the Convention. However</w:t>
      </w:r>
      <w:r w:rsidR="00A345C2" w:rsidRPr="00F81C3A">
        <w:t>,</w:t>
      </w:r>
      <w:r w:rsidR="00700EED" w:rsidRPr="00F81C3A">
        <w:t xml:space="preserve"> in taking measures to ensure that </w:t>
      </w:r>
      <w:r w:rsidR="00A345C2" w:rsidRPr="00F81C3A">
        <w:t xml:space="preserve">the </w:t>
      </w:r>
      <w:r w:rsidR="00700EED" w:rsidRPr="00F81C3A">
        <w:t xml:space="preserve">interim storage of mercury and mercury compounds is conducted in an environmentally sound manner, the </w:t>
      </w:r>
      <w:r w:rsidR="004C01FA">
        <w:t>p</w:t>
      </w:r>
      <w:r w:rsidR="004C01FA" w:rsidRPr="00F81C3A">
        <w:t xml:space="preserve">arty </w:t>
      </w:r>
      <w:r w:rsidR="00A76F44" w:rsidRPr="00F81C3A">
        <w:t xml:space="preserve">is to </w:t>
      </w:r>
      <w:r w:rsidR="00700EED" w:rsidRPr="00F81C3A">
        <w:t xml:space="preserve">take into account any guidelines adopted by the Conference of the Parties. </w:t>
      </w:r>
      <w:r w:rsidR="00A345C2" w:rsidRPr="00F81C3A">
        <w:t>I</w:t>
      </w:r>
      <w:r w:rsidR="00700EED" w:rsidRPr="00F81C3A">
        <w:t xml:space="preserve">n addition to the guidelines to be adopted, the Conference of the Parties may adopt requirements for interim storage in an additional annex to the Convention. Such an annex would be adopted in accordance with the procedures for adopting additional annexes set out in Article 27 of the Convention. </w:t>
      </w:r>
    </w:p>
    <w:p w:rsidR="00700EED" w:rsidRPr="00F81C3A" w:rsidRDefault="00AD48F5" w:rsidP="004C56C2">
      <w:pPr>
        <w:pStyle w:val="CH1"/>
        <w:tabs>
          <w:tab w:val="clear" w:pos="851"/>
          <w:tab w:val="clear" w:pos="1247"/>
          <w:tab w:val="clear" w:pos="1814"/>
          <w:tab w:val="clear" w:pos="2381"/>
          <w:tab w:val="clear" w:pos="2948"/>
          <w:tab w:val="clear" w:pos="3515"/>
          <w:tab w:val="clear" w:pos="4082"/>
          <w:tab w:val="left" w:pos="624"/>
        </w:tabs>
        <w:ind w:left="624" w:hanging="624"/>
      </w:pPr>
      <w:r w:rsidRPr="00F81C3A">
        <w:tab/>
      </w:r>
      <w:bookmarkStart w:id="15" w:name="_Toc483401103"/>
      <w:r w:rsidR="009630A3" w:rsidRPr="00F81C3A">
        <w:t>II</w:t>
      </w:r>
      <w:r w:rsidRPr="00F81C3A">
        <w:t>.</w:t>
      </w:r>
      <w:r w:rsidRPr="00F81C3A">
        <w:tab/>
      </w:r>
      <w:r w:rsidR="00700EED" w:rsidRPr="00F81C3A">
        <w:t>Overall management of hazardous substances</w:t>
      </w:r>
      <w:bookmarkEnd w:id="15"/>
    </w:p>
    <w:p w:rsidR="00700EED" w:rsidRPr="00F81C3A" w:rsidRDefault="00700EED" w:rsidP="00F204CF">
      <w:pPr>
        <w:pStyle w:val="Normalnumber"/>
        <w:numPr>
          <w:ilvl w:val="0"/>
          <w:numId w:val="6"/>
        </w:numPr>
        <w:tabs>
          <w:tab w:val="clear" w:pos="1247"/>
          <w:tab w:val="clear" w:pos="1305"/>
          <w:tab w:val="clear" w:pos="1814"/>
          <w:tab w:val="clear" w:pos="2381"/>
          <w:tab w:val="clear" w:pos="2948"/>
          <w:tab w:val="clear" w:pos="3515"/>
          <w:tab w:val="clear" w:pos="4082"/>
          <w:tab w:val="left" w:pos="624"/>
        </w:tabs>
        <w:ind w:left="1247"/>
      </w:pPr>
      <w:r w:rsidRPr="00F81C3A">
        <w:t xml:space="preserve">To address the environmentally sound </w:t>
      </w:r>
      <w:r w:rsidRPr="002D5B89">
        <w:t>management of hazardous</w:t>
      </w:r>
      <w:r w:rsidRPr="00F81C3A">
        <w:t xml:space="preserve"> substances being stored within their territory, </w:t>
      </w:r>
      <w:r w:rsidR="00CB6215" w:rsidRPr="00F81C3A">
        <w:t>p</w:t>
      </w:r>
      <w:r w:rsidRPr="00F81C3A">
        <w:t>arties should develop and implement chemical management plans (which may include legislation, regulations, policies, agreements with industry, agreed standards, or any combination of these or other management mechanisms). Parties should have specific management plans in place for mercury and mercury compounds that are being “stored”</w:t>
      </w:r>
      <w:r w:rsidR="00A345C2" w:rsidRPr="00F81C3A">
        <w:t>,</w:t>
      </w:r>
      <w:r w:rsidRPr="00F81C3A">
        <w:t xml:space="preserve"> in accordance with article 10. In order for a </w:t>
      </w:r>
      <w:r w:rsidR="004C01FA">
        <w:t>p</w:t>
      </w:r>
      <w:r w:rsidR="004C01FA" w:rsidRPr="00F81C3A">
        <w:t xml:space="preserve">arty </w:t>
      </w:r>
      <w:r w:rsidRPr="00F81C3A">
        <w:t xml:space="preserve">to understand its needs for the interim storage of mercury and mercury compounds, it may be useful for </w:t>
      </w:r>
      <w:r w:rsidR="00A345C2" w:rsidRPr="00F81C3A">
        <w:t>that</w:t>
      </w:r>
      <w:r w:rsidRPr="00F81C3A">
        <w:t xml:space="preserve"> </w:t>
      </w:r>
      <w:r w:rsidR="00BF50C2">
        <w:t>p</w:t>
      </w:r>
      <w:r w:rsidR="00BF50C2" w:rsidRPr="00F81C3A">
        <w:t>arty</w:t>
      </w:r>
      <w:r w:rsidRPr="00F81C3A">
        <w:t xml:space="preserve">, during the development of its implementation activities, to </w:t>
      </w:r>
      <w:r w:rsidR="00A345C2" w:rsidRPr="00F81C3A">
        <w:t xml:space="preserve">undertake </w:t>
      </w:r>
      <w:r w:rsidRPr="00F81C3A">
        <w:t xml:space="preserve">further work to identify the mercury and mercury compounds that are being held in its territory, and to acquire a general understanding of the quantities of mercury and mercury compounds being stored in each location to facilitate safe and appropriate storage. Such information can also contribute to </w:t>
      </w:r>
      <w:r w:rsidR="00A345C2" w:rsidRPr="00F81C3A">
        <w:t xml:space="preserve">the establishment of </w:t>
      </w:r>
      <w:r w:rsidRPr="00F81C3A">
        <w:t xml:space="preserve">appropriate safety measures and regulatory inspection, as well as </w:t>
      </w:r>
      <w:r w:rsidR="000C67AE" w:rsidRPr="00F81C3A">
        <w:t>to</w:t>
      </w:r>
      <w:r w:rsidRPr="00F81C3A">
        <w:t xml:space="preserve"> the preparation of emergency response plans.  </w:t>
      </w:r>
    </w:p>
    <w:p w:rsidR="00700EED" w:rsidRPr="00F81C3A" w:rsidRDefault="00700EED" w:rsidP="001E33F3">
      <w:pPr>
        <w:pStyle w:val="Normalnumber"/>
        <w:numPr>
          <w:ilvl w:val="0"/>
          <w:numId w:val="6"/>
        </w:numPr>
        <w:tabs>
          <w:tab w:val="clear" w:pos="1247"/>
          <w:tab w:val="clear" w:pos="1305"/>
          <w:tab w:val="clear" w:pos="1814"/>
          <w:tab w:val="clear" w:pos="2381"/>
          <w:tab w:val="clear" w:pos="2948"/>
          <w:tab w:val="clear" w:pos="3515"/>
          <w:tab w:val="clear" w:pos="4082"/>
          <w:tab w:val="left" w:pos="624"/>
        </w:tabs>
        <w:ind w:left="1247"/>
      </w:pPr>
      <w:r w:rsidRPr="00F81C3A">
        <w:t xml:space="preserve">An important component of </w:t>
      </w:r>
      <w:r w:rsidRPr="006946EE">
        <w:t>such management</w:t>
      </w:r>
      <w:r w:rsidRPr="00F81C3A">
        <w:t xml:space="preserve"> plans may be </w:t>
      </w:r>
      <w:r w:rsidR="00A345C2" w:rsidRPr="00F81C3A">
        <w:t xml:space="preserve">the acquisition of </w:t>
      </w:r>
      <w:r w:rsidRPr="00F81C3A">
        <w:t xml:space="preserve">knowledge </w:t>
      </w:r>
      <w:r w:rsidR="000C67AE" w:rsidRPr="00F81C3A">
        <w:t>about</w:t>
      </w:r>
      <w:r w:rsidRPr="00F81C3A">
        <w:t xml:space="preserve"> the identity of hazardous substances held within </w:t>
      </w:r>
      <w:r w:rsidR="00A345C2" w:rsidRPr="00F81C3A">
        <w:t xml:space="preserve">the </w:t>
      </w:r>
      <w:r w:rsidR="00442142">
        <w:t>p</w:t>
      </w:r>
      <w:r w:rsidR="00442142" w:rsidRPr="00F81C3A">
        <w:t xml:space="preserve">arty’s </w:t>
      </w:r>
      <w:r w:rsidRPr="00F81C3A">
        <w:t>territory and the quantities of each individual substance. For this purpose, and as part of national management of hazardous substances, inventories are an important tool for identifying, quantifying and characteri</w:t>
      </w:r>
      <w:r w:rsidR="00FC1C5D" w:rsidRPr="00F81C3A">
        <w:t>z</w:t>
      </w:r>
      <w:r w:rsidRPr="00F81C3A">
        <w:t>ing substances present</w:t>
      </w:r>
      <w:r w:rsidR="00FC1C5D" w:rsidRPr="00F81C3A">
        <w:t xml:space="preserve"> in the </w:t>
      </w:r>
      <w:r w:rsidR="00442142">
        <w:t>p</w:t>
      </w:r>
      <w:r w:rsidR="00442142" w:rsidRPr="00F81C3A">
        <w:t xml:space="preserve">arty’s </w:t>
      </w:r>
      <w:r w:rsidR="00FC1C5D" w:rsidRPr="00F81C3A">
        <w:t>territory</w:t>
      </w:r>
      <w:r w:rsidRPr="00F81C3A">
        <w:t>. In relation specifically to mercury or mercury compounds, a national mercury inventory can provide useful information for all aspects of</w:t>
      </w:r>
      <w:r w:rsidR="00FC1C5D" w:rsidRPr="00F81C3A">
        <w:t xml:space="preserve"> the</w:t>
      </w:r>
      <w:r w:rsidRPr="00F81C3A">
        <w:t xml:space="preserve"> implementation of the Minamata Convention. Article 3 of the Convention requires </w:t>
      </w:r>
      <w:r w:rsidR="00CB6215" w:rsidRPr="00F81C3A">
        <w:t>p</w:t>
      </w:r>
      <w:r w:rsidRPr="00F81C3A">
        <w:t xml:space="preserve">arties to endeavour to identify individual stocks of mercury or mercury compounds exceeding 50 metric tons, as well as sources of mercury supply generating stocks exceeding 10 metric tons per year that are located within </w:t>
      </w:r>
      <w:r w:rsidR="00FC1C5D" w:rsidRPr="00F81C3A">
        <w:t>their</w:t>
      </w:r>
      <w:r w:rsidRPr="00F81C3A">
        <w:t xml:space="preserve"> territor</w:t>
      </w:r>
      <w:r w:rsidR="00FC1C5D" w:rsidRPr="00F81C3A">
        <w:t>ies</w:t>
      </w:r>
      <w:r w:rsidRPr="00F81C3A">
        <w:t xml:space="preserve">. Parties may find it useful also to identify smaller stocks or supplies of mercury as part of </w:t>
      </w:r>
      <w:r w:rsidR="000C67AE" w:rsidRPr="00F81C3A">
        <w:t>their</w:t>
      </w:r>
      <w:r w:rsidR="00FC1C5D" w:rsidRPr="00F81C3A">
        <w:t xml:space="preserve"> </w:t>
      </w:r>
      <w:r w:rsidRPr="00F81C3A">
        <w:t>overall management</w:t>
      </w:r>
      <w:r w:rsidR="00FC1C5D" w:rsidRPr="00F81C3A">
        <w:t xml:space="preserve"> of mercury</w:t>
      </w:r>
      <w:r w:rsidRPr="00F81C3A">
        <w:t xml:space="preserve">. Through the identification of any uses of mercury within its territory, </w:t>
      </w:r>
      <w:r w:rsidR="000C67AE" w:rsidRPr="00F81C3A">
        <w:t xml:space="preserve">a </w:t>
      </w:r>
      <w:r w:rsidR="00442142">
        <w:t>p</w:t>
      </w:r>
      <w:r w:rsidR="00442142" w:rsidRPr="00F81C3A">
        <w:t xml:space="preserve">arty </w:t>
      </w:r>
      <w:r w:rsidRPr="00F81C3A">
        <w:t xml:space="preserve">may be able to estimate </w:t>
      </w:r>
      <w:r w:rsidR="00FC1C5D" w:rsidRPr="00F81C3A">
        <w:t xml:space="preserve">the </w:t>
      </w:r>
      <w:r w:rsidRPr="00F81C3A">
        <w:t xml:space="preserve">approximate quantities of mercury </w:t>
      </w:r>
      <w:r w:rsidR="00FC1C5D" w:rsidRPr="00F81C3A">
        <w:t>that</w:t>
      </w:r>
      <w:r w:rsidRPr="00F81C3A">
        <w:t xml:space="preserve"> may require storage. It should be noted that the intended use of stored mercury may not always be known. The </w:t>
      </w:r>
      <w:r w:rsidR="00C07999" w:rsidRPr="00F81C3A">
        <w:t>United Nations Environment Programme (</w:t>
      </w:r>
      <w:r w:rsidRPr="00F81C3A">
        <w:t>UNEP</w:t>
      </w:r>
      <w:r w:rsidR="00C07999" w:rsidRPr="00F81C3A">
        <w:t>)</w:t>
      </w:r>
      <w:r w:rsidRPr="00F81C3A">
        <w:t xml:space="preserve"> </w:t>
      </w:r>
      <w:r w:rsidR="0015717E" w:rsidRPr="00F81C3A">
        <w:rPr>
          <w:i/>
        </w:rPr>
        <w:t>Toolkit for Identification and Quantification of Mercury Releases</w:t>
      </w:r>
      <w:r w:rsidR="000C66A5">
        <w:rPr>
          <w:rStyle w:val="FootnoteReference"/>
          <w:i/>
        </w:rPr>
        <w:footnoteReference w:id="3"/>
      </w:r>
      <w:r w:rsidR="0015717E" w:rsidRPr="00F81C3A">
        <w:t xml:space="preserve"> </w:t>
      </w:r>
      <w:r w:rsidR="002E71C8" w:rsidRPr="00F81C3A">
        <w:t>or</w:t>
      </w:r>
      <w:r w:rsidRPr="00F81C3A">
        <w:t xml:space="preserve"> other national methodologies may provide </w:t>
      </w:r>
      <w:r w:rsidR="00CB6215" w:rsidRPr="00F81C3A">
        <w:t>p</w:t>
      </w:r>
      <w:r w:rsidRPr="00F81C3A">
        <w:t xml:space="preserve">arties with additional resources or information </w:t>
      </w:r>
      <w:r w:rsidR="0015717E" w:rsidRPr="00F81C3A">
        <w:t xml:space="preserve">that may be of </w:t>
      </w:r>
      <w:r w:rsidRPr="00F81C3A">
        <w:t xml:space="preserve">assistance. While the </w:t>
      </w:r>
      <w:r w:rsidR="0015717E" w:rsidRPr="00F81C3A">
        <w:t xml:space="preserve">main aim of the </w:t>
      </w:r>
      <w:r w:rsidRPr="00F81C3A">
        <w:t>toolkit</w:t>
      </w:r>
      <w:r w:rsidR="0015717E" w:rsidRPr="00F81C3A">
        <w:t xml:space="preserve"> is to</w:t>
      </w:r>
      <w:r w:rsidRPr="00F81C3A">
        <w:t xml:space="preserve"> assess emissions and releases, it may be a valuable source of information on uses of mercury at the national level. </w:t>
      </w:r>
    </w:p>
    <w:p w:rsidR="00700EED" w:rsidRPr="00F81C3A" w:rsidRDefault="00700EED" w:rsidP="00F204CF">
      <w:pPr>
        <w:pStyle w:val="Normalnumber"/>
        <w:numPr>
          <w:ilvl w:val="0"/>
          <w:numId w:val="6"/>
        </w:numPr>
        <w:tabs>
          <w:tab w:val="clear" w:pos="1247"/>
          <w:tab w:val="clear" w:pos="1305"/>
          <w:tab w:val="clear" w:pos="1814"/>
          <w:tab w:val="clear" w:pos="2381"/>
          <w:tab w:val="clear" w:pos="2948"/>
          <w:tab w:val="clear" w:pos="3515"/>
          <w:tab w:val="clear" w:pos="4082"/>
          <w:tab w:val="left" w:pos="624"/>
        </w:tabs>
        <w:ind w:left="1247"/>
      </w:pPr>
      <w:r w:rsidRPr="00F81C3A">
        <w:t>As part of the overall management of hazardous substances, establishing baselines for the quantities produced, circulated, traded or in use is valuable. The guidance developed and adopted on a provisional basis by the intergovernmental negotiating committee on the identification of stocks may be u</w:t>
      </w:r>
      <w:r w:rsidR="00BA789B" w:rsidRPr="00F81C3A">
        <w:t>sed</w:t>
      </w:r>
      <w:r w:rsidRPr="00F81C3A">
        <w:t xml:space="preserve"> as one tool for this purpose. The information may contribute to the establishment of an information registry at the national level, which may assist with safety and regulatory inspection, as well as with the preparation of emergency response plans consistent with national regulations or legislation. A</w:t>
      </w:r>
      <w:r w:rsidR="00BA789B" w:rsidRPr="00F81C3A">
        <w:t>t</w:t>
      </w:r>
      <w:r w:rsidRPr="00F81C3A">
        <w:t xml:space="preserve"> a minimum, a registry of sites approved for the interim storage of mercury may be needed to ensure that storage is undertaken in an environmentally sound manner.</w:t>
      </w:r>
      <w:r w:rsidR="001273A3" w:rsidRPr="00F81C3A">
        <w:t xml:space="preserve"> </w:t>
      </w:r>
      <w:r w:rsidRPr="00F81C3A">
        <w:t xml:space="preserve">There is also potential to track progress at the national level towards phasing out the use of mercury. </w:t>
      </w:r>
    </w:p>
    <w:p w:rsidR="00700EED" w:rsidRPr="00F81C3A" w:rsidRDefault="00AD48F5" w:rsidP="001E33F3">
      <w:pPr>
        <w:pStyle w:val="CH1"/>
        <w:tabs>
          <w:tab w:val="clear" w:pos="851"/>
          <w:tab w:val="clear" w:pos="1247"/>
          <w:tab w:val="clear" w:pos="1814"/>
          <w:tab w:val="clear" w:pos="2381"/>
          <w:tab w:val="clear" w:pos="2948"/>
          <w:tab w:val="clear" w:pos="3515"/>
          <w:tab w:val="clear" w:pos="4082"/>
          <w:tab w:val="left" w:pos="624"/>
        </w:tabs>
        <w:ind w:left="624" w:hanging="624"/>
      </w:pPr>
      <w:r w:rsidRPr="00F81C3A">
        <w:tab/>
      </w:r>
      <w:bookmarkStart w:id="16" w:name="_Toc483401104"/>
      <w:r w:rsidR="009630A3" w:rsidRPr="00F81C3A">
        <w:t>III</w:t>
      </w:r>
      <w:r w:rsidRPr="00F81C3A">
        <w:t>.</w:t>
      </w:r>
      <w:r w:rsidRPr="00F81C3A">
        <w:tab/>
      </w:r>
      <w:r w:rsidR="00700EED" w:rsidRPr="00F81C3A">
        <w:t>Scope of the guidelines</w:t>
      </w:r>
      <w:bookmarkEnd w:id="16"/>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These guidelines are intended to provide information relating to </w:t>
      </w:r>
      <w:r w:rsidR="0015717E" w:rsidRPr="00F81C3A">
        <w:t xml:space="preserve">the </w:t>
      </w:r>
      <w:r w:rsidRPr="00F81C3A">
        <w:t xml:space="preserve">interim storage of mercury and mercury compounds intended for a use allowed to a </w:t>
      </w:r>
      <w:r w:rsidR="00442142">
        <w:t>p</w:t>
      </w:r>
      <w:r w:rsidR="00442142" w:rsidRPr="00F81C3A">
        <w:t xml:space="preserve">arty </w:t>
      </w:r>
      <w:r w:rsidRPr="00F81C3A">
        <w:t xml:space="preserve">under the Convention. Under the Convention, certain uses of mercury are not allowed after a certain </w:t>
      </w:r>
      <w:r w:rsidR="0015717E" w:rsidRPr="00F81C3A">
        <w:t>date</w:t>
      </w:r>
      <w:r w:rsidRPr="00F81C3A">
        <w:t xml:space="preserve"> (i.e.</w:t>
      </w:r>
      <w:r w:rsidR="0015717E" w:rsidRPr="00F81C3A">
        <w:t>,</w:t>
      </w:r>
      <w:r w:rsidRPr="00F81C3A">
        <w:t xml:space="preserve"> use in the manufacture of certain mercury-added products after a phase-out date</w:t>
      </w:r>
      <w:r w:rsidR="001E33F3" w:rsidRPr="00F81C3A">
        <w:t xml:space="preserve"> as specified in annex A under article 4 of the </w:t>
      </w:r>
      <w:r w:rsidR="001221DF" w:rsidRPr="00F81C3A">
        <w:t>C</w:t>
      </w:r>
      <w:r w:rsidR="001E33F3" w:rsidRPr="00F81C3A">
        <w:t>onvention</w:t>
      </w:r>
      <w:r w:rsidRPr="00F81C3A">
        <w:t xml:space="preserve">). All uses of mercury not specified in the Convention as being not allowed are considered to be allowed to a </w:t>
      </w:r>
      <w:r w:rsidR="00442142">
        <w:t>p</w:t>
      </w:r>
      <w:r w:rsidR="00442142" w:rsidRPr="00F81C3A">
        <w:t xml:space="preserve">arty </w:t>
      </w:r>
      <w:r w:rsidRPr="00F81C3A">
        <w:t xml:space="preserve">under the Convention. </w:t>
      </w:r>
    </w:p>
    <w:p w:rsidR="00700EED" w:rsidRPr="00F81C3A" w:rsidRDefault="009650A3"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T</w:t>
      </w:r>
      <w:r w:rsidR="00700EED" w:rsidRPr="00F81C3A">
        <w:t>hese guidelines</w:t>
      </w:r>
      <w:r w:rsidRPr="00F81C3A">
        <w:t xml:space="preserve"> do not</w:t>
      </w:r>
      <w:r w:rsidR="00700EED" w:rsidRPr="00F81C3A">
        <w:t xml:space="preserve"> consider options for final or permanent storage, </w:t>
      </w:r>
      <w:r w:rsidRPr="00F81C3A">
        <w:t>or</w:t>
      </w:r>
      <w:r w:rsidR="00700EED" w:rsidRPr="00F81C3A">
        <w:t xml:space="preserve"> for stabili</w:t>
      </w:r>
      <w:r w:rsidR="0015717E" w:rsidRPr="00F81C3A">
        <w:t>z</w:t>
      </w:r>
      <w:r w:rsidR="00700EED" w:rsidRPr="00F81C3A">
        <w:t>ation or solidification</w:t>
      </w:r>
      <w:r w:rsidRPr="00F81C3A">
        <w:t>,</w:t>
      </w:r>
      <w:r w:rsidR="00700EED" w:rsidRPr="00F81C3A">
        <w:t xml:space="preserve"> of mercury. </w:t>
      </w:r>
      <w:r w:rsidR="00700EED" w:rsidRPr="0005483E">
        <w:t>Th</w:t>
      </w:r>
      <w:r w:rsidR="00897875" w:rsidRPr="003038EE">
        <w:t>o</w:t>
      </w:r>
      <w:r w:rsidR="00700EED" w:rsidRPr="0005483E">
        <w:t>se</w:t>
      </w:r>
      <w:r w:rsidR="00700EED" w:rsidRPr="00F81C3A">
        <w:t xml:space="preserve"> options are considered to relate to the environmentally sound management of mercury waste, and are covered in the </w:t>
      </w:r>
      <w:r w:rsidR="0015717E" w:rsidRPr="00F81C3A">
        <w:rPr>
          <w:rStyle w:val="Hyperlink0"/>
          <w:lang w:val="en-GB" w:eastAsia="zh-CN"/>
        </w:rPr>
        <w:t xml:space="preserve">technical guidelines </w:t>
      </w:r>
      <w:r w:rsidR="0015717E" w:rsidRPr="00F81C3A">
        <w:t>for the environmentally sound management of wastes containing or contaminated with mercury</w:t>
      </w:r>
      <w:r w:rsidR="0015717E" w:rsidRPr="00F81C3A" w:rsidDel="0015717E">
        <w:t xml:space="preserve"> </w:t>
      </w:r>
      <w:r w:rsidR="00700EED" w:rsidRPr="00F81C3A">
        <w:t xml:space="preserve">developed under the Basel Convention.  </w:t>
      </w:r>
    </w:p>
    <w:p w:rsidR="00700EED" w:rsidRPr="00F81C3A" w:rsidRDefault="00700EED" w:rsidP="001E33F3">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Article 10 covers the storage of mercury and mercury compounds as defined in article 3 of the Convention that are not covered under the definition of mercury waste. On this basis, the article </w:t>
      </w:r>
      <w:r w:rsidR="001E33F3" w:rsidRPr="00F81C3A">
        <w:t>indicates</w:t>
      </w:r>
      <w:r w:rsidR="001221DF" w:rsidRPr="00F81C3A">
        <w:t xml:space="preserve"> the following</w:t>
      </w:r>
      <w:r w:rsidRPr="00F81C3A">
        <w:t>:</w:t>
      </w:r>
    </w:p>
    <w:p w:rsidR="00700EED" w:rsidRPr="00F81C3A"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w:t>
      </w:r>
      <w:r w:rsidRPr="00F81C3A">
        <w:tab/>
        <w:t xml:space="preserve">Mercury includes mixtures of mercury with other substances, including alloys of mercury, with a mercury concentration of at least 95 per cent by weight; </w:t>
      </w:r>
    </w:p>
    <w:p w:rsidR="00700EED" w:rsidRPr="00F81C3A"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(b)</w:t>
      </w:r>
      <w:r w:rsidRPr="00F81C3A">
        <w:tab/>
        <w:t xml:space="preserve">Mercury compounds means mercury(I) chloride (known also as calomel), mercury(II) oxide, mercury(II) sulphate, mercury(II) nitrate, cinnabar and mercury sulphide.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Based on the definitions in article 3, the article does not cover:</w:t>
      </w:r>
    </w:p>
    <w:p w:rsidR="00700EED" w:rsidRPr="00F81C3A"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t>(a)</w:t>
      </w:r>
      <w:r w:rsidRPr="00F81C3A">
        <w:tab/>
        <w:t xml:space="preserve">Quantities of mercury or mercury compounds to be used for laboratory-scale research or as a reference standard; </w:t>
      </w:r>
    </w:p>
    <w:p w:rsidR="00700EED" w:rsidRPr="00F81C3A"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t>(b)</w:t>
      </w:r>
      <w:r w:rsidRPr="00F81C3A">
        <w:tab/>
        <w:t xml:space="preserve">Naturally occurring trace quantities of mercury or mercury compounds present in such products as non-mercury metals, ores or mineral products, including coal, or products derived from these materials, and unintentional trace quantities in chemical products; </w:t>
      </w:r>
    </w:p>
    <w:p w:rsidR="00700EED" w:rsidRPr="00F81C3A"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t>(c)</w:t>
      </w:r>
      <w:r w:rsidRPr="00F81C3A">
        <w:tab/>
        <w:t xml:space="preserve">Mercury-added products. </w:t>
      </w:r>
    </w:p>
    <w:p w:rsidR="00057280" w:rsidRPr="00F81C3A" w:rsidRDefault="00700EED">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Additionally, as mercury defined as mercury waste under article 11 of the Convention is not covered by article 10, the article does not cover:</w:t>
      </w:r>
      <w:r w:rsidR="00057280" w:rsidRPr="00F81C3A">
        <w:t xml:space="preserve"> </w:t>
      </w:r>
    </w:p>
    <w:p w:rsidR="00700EED" w:rsidRPr="00F81C3A" w:rsidRDefault="00057280" w:rsidP="001E33F3">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871"/>
      </w:pPr>
      <w:r w:rsidRPr="00F81C3A">
        <w:t>S</w:t>
      </w:r>
      <w:r w:rsidR="00700EED" w:rsidRPr="00F81C3A">
        <w:t>ubstances or objects consisting of mercury or mercury compounds, containing mercury or mercury compounds or contaminated with mercury or mercury compounds in a quantity above the relevant thresholds defined by the Conference of the Parties, in collaboration with the relevant bodies of the Basel Convention in a harmoni</w:t>
      </w:r>
      <w:r w:rsidR="0015717E" w:rsidRPr="00F81C3A">
        <w:t>z</w:t>
      </w:r>
      <w:r w:rsidR="00700EED" w:rsidRPr="00F81C3A">
        <w:t xml:space="preserve">ed manner, that are disposed of or are intended to be disposed of or are required to be disposed of by the provisions of national law or this </w:t>
      </w:r>
      <w:r w:rsidR="00112A35">
        <w:t>C</w:t>
      </w:r>
      <w:r w:rsidR="00700EED" w:rsidRPr="00F81C3A">
        <w:t xml:space="preserve">onvention. This definition excludes overburden, waste rock and tailings from mining, except from primary mercury mining, unless they contain mercury or mercury compounds above the thresholds defined by the Conference of the Parties.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Under </w:t>
      </w:r>
      <w:r w:rsidRPr="004F1A00">
        <w:t>the Convention</w:t>
      </w:r>
      <w:r w:rsidRPr="00F81C3A">
        <w:t xml:space="preserve">, each </w:t>
      </w:r>
      <w:r w:rsidR="00442142">
        <w:t>p</w:t>
      </w:r>
      <w:r w:rsidR="00442142" w:rsidRPr="00F81C3A">
        <w:t xml:space="preserve">arty </w:t>
      </w:r>
      <w:r w:rsidRPr="00F81C3A">
        <w:t xml:space="preserve">shall take measures to ensure that the interim storage of mercury and mercury compounds intended for a use allowed to a </w:t>
      </w:r>
      <w:r w:rsidR="00442142">
        <w:t>p</w:t>
      </w:r>
      <w:r w:rsidR="00442142" w:rsidRPr="00F81C3A">
        <w:t xml:space="preserve">arty </w:t>
      </w:r>
      <w:r w:rsidRPr="00F81C3A">
        <w:t xml:space="preserve">under the Convention is undertaken in an environmentally sound manner, taking into account any guidelines and in accordance with any requirements adopted. The Convention does not include a definition of the term </w:t>
      </w:r>
      <w:r w:rsidR="00057280" w:rsidRPr="00F81C3A">
        <w:t>“</w:t>
      </w:r>
      <w:r w:rsidRPr="00F81C3A">
        <w:t>interim</w:t>
      </w:r>
      <w:r w:rsidR="00057280" w:rsidRPr="00F81C3A">
        <w:t>”</w:t>
      </w:r>
      <w:r w:rsidRPr="00F81C3A">
        <w:t>.</w:t>
      </w:r>
      <w:r w:rsidR="001273A3" w:rsidRPr="00F81C3A">
        <w:t xml:space="preserve"> </w:t>
      </w:r>
      <w:r w:rsidRPr="00F81C3A">
        <w:t xml:space="preserve">The </w:t>
      </w:r>
      <w:r w:rsidR="00B942A8" w:rsidRPr="00F81C3A">
        <w:t>English</w:t>
      </w:r>
      <w:r w:rsidRPr="00F81C3A">
        <w:t xml:space="preserve"> </w:t>
      </w:r>
      <w:r w:rsidR="00B942A8" w:rsidRPr="00F81C3A">
        <w:t xml:space="preserve">word </w:t>
      </w:r>
      <w:r w:rsidR="00057280" w:rsidRPr="00F81C3A">
        <w:t>“</w:t>
      </w:r>
      <w:r w:rsidRPr="00F81C3A">
        <w:t>interim</w:t>
      </w:r>
      <w:r w:rsidR="00057280" w:rsidRPr="00F81C3A">
        <w:t>”</w:t>
      </w:r>
      <w:r w:rsidRPr="00F81C3A">
        <w:t xml:space="preserve"> i</w:t>
      </w:r>
      <w:r w:rsidR="00B942A8" w:rsidRPr="00F81C3A">
        <w:t>s commonly understood to mean</w:t>
      </w:r>
      <w:r w:rsidRPr="00F81C3A">
        <w:t xml:space="preserve"> “in or for the intervening period; provisional or temporary”. In the case of the Minamata Convention, it may therefore apply to the period between the mercury</w:t>
      </w:r>
      <w:r w:rsidR="00550AFB" w:rsidRPr="00F81C3A">
        <w:t>’s</w:t>
      </w:r>
      <w:r w:rsidRPr="00F81C3A">
        <w:t xml:space="preserve"> being generated or acquired and it</w:t>
      </w:r>
      <w:r w:rsidR="00550AFB" w:rsidRPr="00F81C3A">
        <w:t>s</w:t>
      </w:r>
      <w:r w:rsidRPr="00F81C3A">
        <w:t xml:space="preserve"> being used for a use allowed under the Convention, as well as during any transport. Requirements for </w:t>
      </w:r>
      <w:r w:rsidR="00057280" w:rsidRPr="00F81C3A">
        <w:t xml:space="preserve">the </w:t>
      </w:r>
      <w:r w:rsidRPr="00F81C3A">
        <w:t xml:space="preserve">environmentally sound management of mercury will differ between mercury held in facilities and mercury in transport, and specific transport controls may apply.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The Basel Convention defines </w:t>
      </w:r>
      <w:r w:rsidR="00057280" w:rsidRPr="00F81C3A">
        <w:t xml:space="preserve">the </w:t>
      </w:r>
      <w:r w:rsidRPr="00F81C3A">
        <w:t>“</w:t>
      </w:r>
      <w:r w:rsidR="00057280" w:rsidRPr="00F81C3A">
        <w:t>e</w:t>
      </w:r>
      <w:r w:rsidRPr="00F81C3A">
        <w:t>nvironmentally sound management of hazardous wastes or other wastes” as “taking all practicable steps to ensure that hazardous wastes or other wastes are managed in a manner which will protect human health and the environment against the adverse effects which may result from such wastes”.</w:t>
      </w:r>
    </w:p>
    <w:p w:rsidR="00700EED" w:rsidRPr="00F81C3A" w:rsidRDefault="00700EED" w:rsidP="001E33F3">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Extrapolating from this definition, </w:t>
      </w:r>
      <w:r w:rsidR="00057280" w:rsidRPr="00F81C3A">
        <w:t xml:space="preserve">the </w:t>
      </w:r>
      <w:r w:rsidRPr="00F81C3A">
        <w:t>environmentally sound storage of mercury and mercury compounds, other than waste mercury</w:t>
      </w:r>
      <w:r w:rsidR="00057280" w:rsidRPr="00F81C3A">
        <w:t>,</w:t>
      </w:r>
      <w:r w:rsidRPr="00F81C3A">
        <w:t xml:space="preserve"> may be considered to be storage in which the mercury is managed in a manner </w:t>
      </w:r>
      <w:r w:rsidR="00550AFB" w:rsidRPr="00F81C3A">
        <w:t>that</w:t>
      </w:r>
      <w:r w:rsidRPr="00F81C3A">
        <w:t xml:space="preserve"> will protect human health and the environment against the adverse effects which may result from such mercury and mercury compounds. The information presented in the guidelines on interim storage provide</w:t>
      </w:r>
      <w:r w:rsidR="00550AFB" w:rsidRPr="00F81C3A">
        <w:t>s</w:t>
      </w:r>
      <w:r w:rsidRPr="00F81C3A">
        <w:t xml:space="preserve"> examples and guiding text in relation to what may be considered appropriate by </w:t>
      </w:r>
      <w:r w:rsidR="00CB6215" w:rsidRPr="00F81C3A">
        <w:t>p</w:t>
      </w:r>
      <w:r w:rsidRPr="00F81C3A">
        <w:t xml:space="preserve">arties. </w:t>
      </w:r>
    </w:p>
    <w:p w:rsidR="00700EED" w:rsidRPr="00F81C3A" w:rsidRDefault="00700EED" w:rsidP="001E33F3">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While no strict </w:t>
      </w:r>
      <w:r w:rsidR="001E33F3" w:rsidRPr="00F81C3A">
        <w:t xml:space="preserve">definition of the maximum storage </w:t>
      </w:r>
      <w:r w:rsidRPr="00F81C3A">
        <w:t xml:space="preserve">time </w:t>
      </w:r>
      <w:r w:rsidR="00560365" w:rsidRPr="00F81C3A">
        <w:t>is established</w:t>
      </w:r>
      <w:r w:rsidRPr="00F81C3A">
        <w:t xml:space="preserve"> for </w:t>
      </w:r>
      <w:r w:rsidR="000F3C8B" w:rsidRPr="00F81C3A">
        <w:t>“</w:t>
      </w:r>
      <w:r w:rsidRPr="00F81C3A">
        <w:t>interim storage</w:t>
      </w:r>
      <w:r w:rsidR="000F3C8B" w:rsidRPr="00F81C3A">
        <w:t>”</w:t>
      </w:r>
      <w:r w:rsidRPr="00F81C3A">
        <w:t xml:space="preserve">, in line with the common </w:t>
      </w:r>
      <w:r w:rsidR="00B942A8" w:rsidRPr="00F81C3A">
        <w:t xml:space="preserve">use of the </w:t>
      </w:r>
      <w:r w:rsidRPr="00F81C3A">
        <w:t xml:space="preserve">English </w:t>
      </w:r>
      <w:r w:rsidR="00B942A8" w:rsidRPr="00F81C3A">
        <w:t>word</w:t>
      </w:r>
      <w:r w:rsidRPr="00F81C3A">
        <w:t xml:space="preserve"> </w:t>
      </w:r>
      <w:r w:rsidR="00252602" w:rsidRPr="00F81C3A">
        <w:t>“</w:t>
      </w:r>
      <w:r w:rsidRPr="00F81C3A">
        <w:t>interim</w:t>
      </w:r>
      <w:r w:rsidR="00252602" w:rsidRPr="00F81C3A">
        <w:t>”</w:t>
      </w:r>
      <w:r w:rsidR="002923B8" w:rsidRPr="00F81C3A">
        <w:t xml:space="preserve"> </w:t>
      </w:r>
      <w:r w:rsidR="00B942A8" w:rsidRPr="00F81C3A">
        <w:t>to mean</w:t>
      </w:r>
      <w:r w:rsidRPr="00F81C3A">
        <w:t xml:space="preserve"> </w:t>
      </w:r>
      <w:r w:rsidR="00B942A8" w:rsidRPr="00F81C3A">
        <w:t>“</w:t>
      </w:r>
      <w:r w:rsidRPr="00F81C3A">
        <w:t>provisional</w:t>
      </w:r>
      <w:r w:rsidR="00B942A8" w:rsidRPr="00F81C3A">
        <w:t>”</w:t>
      </w:r>
      <w:r w:rsidRPr="00F81C3A">
        <w:t xml:space="preserve"> or </w:t>
      </w:r>
      <w:r w:rsidR="00B942A8" w:rsidRPr="00F81C3A">
        <w:t>“</w:t>
      </w:r>
      <w:r w:rsidRPr="00F81C3A">
        <w:t>temporary</w:t>
      </w:r>
      <w:r w:rsidR="00B942A8" w:rsidRPr="00F81C3A">
        <w:t>”</w:t>
      </w:r>
      <w:r w:rsidRPr="00F81C3A">
        <w:t xml:space="preserve">, a </w:t>
      </w:r>
      <w:r w:rsidR="00442142">
        <w:t>p</w:t>
      </w:r>
      <w:r w:rsidR="00442142" w:rsidRPr="00F81C3A">
        <w:t xml:space="preserve">arty </w:t>
      </w:r>
      <w:r w:rsidRPr="00F81C3A">
        <w:t xml:space="preserve">may wish to </w:t>
      </w:r>
      <w:r w:rsidR="00560365" w:rsidRPr="00F81C3A">
        <w:t>establish</w:t>
      </w:r>
      <w:r w:rsidRPr="00F81C3A">
        <w:t xml:space="preserve"> at the national level the </w:t>
      </w:r>
      <w:r w:rsidR="00560365" w:rsidRPr="00F81C3A">
        <w:t xml:space="preserve">maximum </w:t>
      </w:r>
      <w:r w:rsidRPr="00F81C3A">
        <w:t xml:space="preserve">duration of storage </w:t>
      </w:r>
      <w:r w:rsidR="00560365" w:rsidRPr="00F81C3A">
        <w:t>that</w:t>
      </w:r>
      <w:r w:rsidRPr="00F81C3A">
        <w:t xml:space="preserve"> may be considered </w:t>
      </w:r>
      <w:r w:rsidR="007D3B60" w:rsidRPr="00F81C3A">
        <w:t>“</w:t>
      </w:r>
      <w:r w:rsidRPr="00F81C3A">
        <w:t>interim</w:t>
      </w:r>
      <w:r w:rsidR="007D3B60" w:rsidRPr="00F81C3A">
        <w:t>”</w:t>
      </w:r>
      <w:r w:rsidRPr="00F81C3A">
        <w:t xml:space="preserve"> storage, in particular to address concerns that interim storage </w:t>
      </w:r>
      <w:r w:rsidR="00560365" w:rsidRPr="00F81C3A">
        <w:t xml:space="preserve">may </w:t>
      </w:r>
      <w:r w:rsidRPr="00F81C3A">
        <w:t xml:space="preserve">become de facto permanent or final storage. A </w:t>
      </w:r>
      <w:r w:rsidR="00442142">
        <w:t>p</w:t>
      </w:r>
      <w:r w:rsidR="00442142" w:rsidRPr="00F81C3A">
        <w:t xml:space="preserve">arty </w:t>
      </w:r>
      <w:r w:rsidRPr="00F81C3A">
        <w:t xml:space="preserve">may consider applying more strict controls for mercury stored beyond an initial period (such as five years).  </w:t>
      </w:r>
    </w:p>
    <w:p w:rsidR="00700EED" w:rsidRPr="00F81C3A" w:rsidRDefault="00700EED" w:rsidP="001E33F3">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As the mercury and mercury compounds </w:t>
      </w:r>
      <w:r w:rsidRPr="00ED4831">
        <w:t>covered</w:t>
      </w:r>
      <w:r w:rsidRPr="00F81C3A">
        <w:t xml:space="preserve"> are considered </w:t>
      </w:r>
      <w:r w:rsidR="007D3B60" w:rsidRPr="00F81C3A">
        <w:t>“</w:t>
      </w:r>
      <w:r w:rsidRPr="00F81C3A">
        <w:t>commodity mercury</w:t>
      </w:r>
      <w:r w:rsidR="00C929FB" w:rsidRPr="00F81C3A">
        <w:t>,</w:t>
      </w:r>
      <w:r w:rsidR="007D3B60" w:rsidRPr="00F81C3A">
        <w:t>”</w:t>
      </w:r>
      <w:r w:rsidRPr="00F81C3A">
        <w:t xml:space="preserve"> it is considered </w:t>
      </w:r>
      <w:r w:rsidR="00897875">
        <w:t>appropriate</w:t>
      </w:r>
      <w:r w:rsidR="00897875" w:rsidRPr="00F81C3A">
        <w:t xml:space="preserve"> </w:t>
      </w:r>
      <w:r w:rsidR="00560365" w:rsidRPr="00F81C3A">
        <w:t>for</w:t>
      </w:r>
      <w:r w:rsidRPr="00F81C3A">
        <w:t xml:space="preserve"> the responsibility for the environmentally sound interim storage of the mercury </w:t>
      </w:r>
      <w:r w:rsidR="00560365" w:rsidRPr="00F81C3A">
        <w:t xml:space="preserve">to </w:t>
      </w:r>
      <w:r w:rsidRPr="00F81C3A">
        <w:t xml:space="preserve">belong to the owner or custodian of the mercury, or the entity </w:t>
      </w:r>
      <w:r w:rsidR="00C929FB" w:rsidRPr="00F81C3A">
        <w:t xml:space="preserve">that </w:t>
      </w:r>
      <w:r w:rsidRPr="00F81C3A">
        <w:t xml:space="preserve">will gain commercial benefit from </w:t>
      </w:r>
      <w:r w:rsidR="00560365" w:rsidRPr="00F81C3A">
        <w:t>its</w:t>
      </w:r>
      <w:r w:rsidRPr="00F81C3A">
        <w:t xml:space="preserve"> use. A formal agreement between the owner of the mercury and the management of the storage facility may be required to formally delegate responsibility for the environmentally sound management</w:t>
      </w:r>
      <w:r w:rsidR="005837D3" w:rsidRPr="00F81C3A">
        <w:t xml:space="preserve"> of the mercury</w:t>
      </w:r>
      <w:r w:rsidRPr="00F81C3A">
        <w:t>. It should be noted that storage facilities may be privately owned or publicly owned, either nationally or on a regional basis. The authority to operate an interim storage facility may be granted by the relevant national authority, and may specify quantitative limits for the amount of mercury to be stored along with relevant facility requirements. The responsibility for mercury and mercury compounds in transit remains with the entit</w:t>
      </w:r>
      <w:r w:rsidR="00560365" w:rsidRPr="00F81C3A">
        <w:t>ies</w:t>
      </w:r>
      <w:r w:rsidRPr="00F81C3A">
        <w:t xml:space="preserve"> identified in the national and international regulations, standards or guidance for the transport of dangerous goods (i.e. </w:t>
      </w:r>
      <w:r w:rsidR="00560365" w:rsidRPr="00F81C3A">
        <w:t xml:space="preserve">the </w:t>
      </w:r>
      <w:r w:rsidRPr="00F81C3A">
        <w:t xml:space="preserve">importer, carrier and handler). </w:t>
      </w:r>
    </w:p>
    <w:p w:rsidR="00700EED" w:rsidRPr="00F81C3A" w:rsidRDefault="00700EED" w:rsidP="00232071">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The Convention does not </w:t>
      </w:r>
      <w:r w:rsidR="00232071" w:rsidRPr="00F81C3A">
        <w:t>specify</w:t>
      </w:r>
      <w:r w:rsidRPr="00F81C3A">
        <w:t xml:space="preserve"> </w:t>
      </w:r>
      <w:r w:rsidRPr="003F3618">
        <w:t>the amount</w:t>
      </w:r>
      <w:r w:rsidRPr="00F81C3A">
        <w:t xml:space="preserve"> of mercury or mercury compounds </w:t>
      </w:r>
      <w:r w:rsidR="00EE3999" w:rsidRPr="00F81C3A">
        <w:t>that</w:t>
      </w:r>
      <w:r w:rsidRPr="00F81C3A">
        <w:t xml:space="preserve"> may be stored. </w:t>
      </w:r>
      <w:r w:rsidR="0056021F" w:rsidRPr="00F81C3A">
        <w:t>T</w:t>
      </w:r>
      <w:r w:rsidRPr="00F81C3A">
        <w:t xml:space="preserve">he guidelines for interim storage </w:t>
      </w:r>
      <w:r w:rsidR="0056021F" w:rsidRPr="00F81C3A">
        <w:t xml:space="preserve">therefore </w:t>
      </w:r>
      <w:r w:rsidRPr="00F81C3A">
        <w:t xml:space="preserve">cover all quantities of mercury </w:t>
      </w:r>
      <w:r w:rsidR="00EE3999" w:rsidRPr="00F81C3A">
        <w:t>that</w:t>
      </w:r>
      <w:r w:rsidRPr="00F81C3A">
        <w:t xml:space="preserve"> may be stored prior to use. However, it is recognized that the guidelines may need to be applied flexibly </w:t>
      </w:r>
      <w:r w:rsidR="0056021F" w:rsidRPr="00F81C3A">
        <w:t xml:space="preserve">in accordance with </w:t>
      </w:r>
      <w:r w:rsidRPr="00F81C3A">
        <w:t>the requirements of specific</w:t>
      </w:r>
      <w:r w:rsidR="00AE3231" w:rsidRPr="00F81C3A">
        <w:t xml:space="preserve"> sites</w:t>
      </w:r>
      <w:r w:rsidRPr="00F81C3A">
        <w:t xml:space="preserve">. As </w:t>
      </w:r>
      <w:r w:rsidR="00EE3999" w:rsidRPr="00F81C3A">
        <w:t xml:space="preserve">is </w:t>
      </w:r>
      <w:r w:rsidRPr="00F81C3A">
        <w:t xml:space="preserve">noted above, </w:t>
      </w:r>
      <w:r w:rsidR="0056021F" w:rsidRPr="00F81C3A">
        <w:t>a</w:t>
      </w:r>
      <w:r w:rsidRPr="00F81C3A">
        <w:t>rticle 3 of the Convention</w:t>
      </w:r>
      <w:r w:rsidR="00EE3999" w:rsidRPr="00F81C3A">
        <w:t>,</w:t>
      </w:r>
      <w:r w:rsidRPr="00F81C3A">
        <w:t xml:space="preserve"> on mercury supply sources and trade</w:t>
      </w:r>
      <w:r w:rsidR="00EE3999" w:rsidRPr="00F81C3A">
        <w:t>,</w:t>
      </w:r>
      <w:r w:rsidRPr="00F81C3A">
        <w:t xml:space="preserve"> specifies that each </w:t>
      </w:r>
      <w:r w:rsidR="00442142">
        <w:t>p</w:t>
      </w:r>
      <w:r w:rsidR="00442142" w:rsidRPr="00F81C3A">
        <w:t xml:space="preserve">arty </w:t>
      </w:r>
      <w:r w:rsidR="00996592" w:rsidRPr="00F81C3A">
        <w:t xml:space="preserve">is to </w:t>
      </w:r>
      <w:r w:rsidRPr="00F81C3A">
        <w:t xml:space="preserve">endeavour to identify individual stocks of mercury or mercury compounds exceeding 50 metric tons, as well as sources of mercury supply generating stocks </w:t>
      </w:r>
      <w:r w:rsidR="00AE3231" w:rsidRPr="00F81C3A">
        <w:t xml:space="preserve">that </w:t>
      </w:r>
      <w:r w:rsidRPr="00F81C3A">
        <w:t xml:space="preserve">exceed 10 metric tons per year, that are located within its territory. Guidance on the identification of such stocks and sources of supply is available in a separate guidance document, which </w:t>
      </w:r>
      <w:r w:rsidR="00AE3231" w:rsidRPr="00F81C3A">
        <w:t>was</w:t>
      </w:r>
      <w:r w:rsidRPr="00F81C3A">
        <w:t xml:space="preserve"> adopted on a provisional basis by </w:t>
      </w:r>
      <w:r w:rsidR="00AE3231" w:rsidRPr="00F81C3A">
        <w:t>the intergovernmental negotiating committee at its seventh session</w:t>
      </w:r>
      <w:r w:rsidRPr="00F81C3A">
        <w:t xml:space="preserve"> and will be considered </w:t>
      </w:r>
      <w:r w:rsidR="00680135" w:rsidRPr="00F81C3A">
        <w:t xml:space="preserve">by the Conference of the Parties </w:t>
      </w:r>
      <w:r w:rsidRPr="00F81C3A">
        <w:t xml:space="preserve">at </w:t>
      </w:r>
      <w:r w:rsidR="00680135" w:rsidRPr="00F81C3A">
        <w:t xml:space="preserve">its </w:t>
      </w:r>
      <w:r w:rsidRPr="00F81C3A">
        <w:t>first meeting</w:t>
      </w:r>
      <w:r w:rsidR="00EE3999" w:rsidRPr="00F81C3A">
        <w:t>.</w:t>
      </w:r>
      <w:r w:rsidRPr="00F81C3A">
        <w:t xml:space="preserve"> (</w:t>
      </w:r>
      <w:r w:rsidR="00EE3999" w:rsidRPr="00F81C3A">
        <w:t>A</w:t>
      </w:r>
      <w:r w:rsidRPr="00F81C3A">
        <w:t>fter formal adoption</w:t>
      </w:r>
      <w:r w:rsidR="00EE3999" w:rsidRPr="00F81C3A">
        <w:t xml:space="preserve"> of the final version of the guidance document</w:t>
      </w:r>
      <w:r w:rsidRPr="00F81C3A">
        <w:t>, reference will be made to th</w:t>
      </w:r>
      <w:r w:rsidR="00EE3999" w:rsidRPr="00F81C3A">
        <w:t>at</w:t>
      </w:r>
      <w:r w:rsidRPr="00F81C3A">
        <w:t xml:space="preserve"> version</w:t>
      </w:r>
      <w:r w:rsidR="00EE3999" w:rsidRPr="00F81C3A">
        <w:t>.</w:t>
      </w:r>
      <w:r w:rsidRPr="00F81C3A">
        <w:t xml:space="preserve">)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It is anticipated that the quantity maintained in storage will be commensurate with its intended use and </w:t>
      </w:r>
      <w:r w:rsidR="004E30CC" w:rsidRPr="00F81C3A">
        <w:t xml:space="preserve">will </w:t>
      </w:r>
      <w:r w:rsidRPr="00F81C3A">
        <w:t xml:space="preserve">be the mercury considered necessary by the </w:t>
      </w:r>
      <w:r w:rsidR="00442142">
        <w:t>p</w:t>
      </w:r>
      <w:r w:rsidR="00442142" w:rsidRPr="00F81C3A">
        <w:t xml:space="preserve">arty </w:t>
      </w:r>
      <w:r w:rsidRPr="00F81C3A">
        <w:t>to meet the requirements of the domestic activities under</w:t>
      </w:r>
      <w:r w:rsidR="00432D3C" w:rsidRPr="00F81C3A">
        <w:t xml:space="preserve"> </w:t>
      </w:r>
      <w:r w:rsidRPr="00F81C3A">
        <w:t xml:space="preserve">way in accordance with the Convention, whether </w:t>
      </w:r>
      <w:r w:rsidR="00432D3C" w:rsidRPr="00F81C3A">
        <w:t>such activities consist of</w:t>
      </w:r>
      <w:r w:rsidRPr="00F81C3A">
        <w:t xml:space="preserve"> producing mercury-added products, undertaking a process using mercury, or </w:t>
      </w:r>
      <w:r w:rsidR="00432D3C" w:rsidRPr="00F81C3A">
        <w:t>using</w:t>
      </w:r>
      <w:r w:rsidRPr="00F81C3A">
        <w:t xml:space="preserve"> mercury in artisanal and small-scale gold mining (ASGM).</w:t>
      </w:r>
      <w:r w:rsidR="001273A3" w:rsidRPr="00F81C3A">
        <w:t xml:space="preserve"> </w:t>
      </w:r>
      <w:r w:rsidRPr="00F81C3A">
        <w:t xml:space="preserve">In the case of ASGM, the quantities of mercury stored should be commensurate with the baseline inventories, and </w:t>
      </w:r>
      <w:r w:rsidR="004E30CC" w:rsidRPr="00F81C3A">
        <w:t xml:space="preserve">with </w:t>
      </w:r>
      <w:r w:rsidRPr="00F81C3A">
        <w:t xml:space="preserve">reduction activities and targets specified in the </w:t>
      </w:r>
      <w:r w:rsidR="002C38D4" w:rsidRPr="00F81C3A">
        <w:t xml:space="preserve">article 7 national action plan, </w:t>
      </w:r>
      <w:r w:rsidRPr="00F81C3A">
        <w:t xml:space="preserve">where required. The </w:t>
      </w:r>
      <w:r w:rsidR="002C38D4" w:rsidRPr="00F81C3A">
        <w:t xml:space="preserve">national action plan </w:t>
      </w:r>
      <w:r w:rsidRPr="00F81C3A">
        <w:t xml:space="preserve">may also address how the </w:t>
      </w:r>
      <w:r w:rsidR="002C38D4" w:rsidRPr="00F81C3A">
        <w:t>a</w:t>
      </w:r>
      <w:r w:rsidRPr="00F81C3A">
        <w:t xml:space="preserve">rticle 10 storage obligation (taking into account these guidelines) </w:t>
      </w:r>
      <w:r w:rsidR="002C38D4" w:rsidRPr="00F81C3A">
        <w:t xml:space="preserve">is to </w:t>
      </w:r>
      <w:r w:rsidRPr="00F81C3A">
        <w:t>be applied for ASGM-related activities and sites.</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rPr>
          <w:i/>
        </w:rPr>
        <w:t>N</w:t>
      </w:r>
      <w:r w:rsidR="002C38D4" w:rsidRPr="00F81C3A">
        <w:rPr>
          <w:i/>
        </w:rPr>
        <w:t>ote:</w:t>
      </w:r>
      <w:r w:rsidRPr="00F81C3A">
        <w:t xml:space="preserve"> The text currently refers to the amount considered necessary by the </w:t>
      </w:r>
      <w:r w:rsidR="00442142">
        <w:t>p</w:t>
      </w:r>
      <w:r w:rsidR="00442142" w:rsidRPr="00F81C3A">
        <w:t>arty</w:t>
      </w:r>
      <w:r w:rsidR="004E30CC" w:rsidRPr="00F81C3A">
        <w:t>. W</w:t>
      </w:r>
      <w:r w:rsidRPr="00F81C3A">
        <w:t xml:space="preserve">e may need to consider whether this should be expanded in the guidelines </w:t>
      </w:r>
      <w:r w:rsidRPr="0005483E">
        <w:t>and linked</w:t>
      </w:r>
      <w:r w:rsidRPr="00F81C3A">
        <w:t xml:space="preserve"> with the quantity of mercury expected to be used in a given period. Input from industry and others would be useful to clarify what is considered a </w:t>
      </w:r>
      <w:r w:rsidR="002C38D4" w:rsidRPr="00F81C3A">
        <w:t>“</w:t>
      </w:r>
      <w:r w:rsidRPr="00F81C3A">
        <w:t>reasonable</w:t>
      </w:r>
      <w:r w:rsidR="002C38D4" w:rsidRPr="00F81C3A">
        <w:t>”</w:t>
      </w:r>
      <w:r w:rsidRPr="00F81C3A">
        <w:t xml:space="preserve"> quantity to store on site. However, tying this to the </w:t>
      </w:r>
      <w:r w:rsidR="00442142">
        <w:t>p</w:t>
      </w:r>
      <w:r w:rsidR="00442142" w:rsidRPr="00F81C3A">
        <w:t xml:space="preserve">arty’s </w:t>
      </w:r>
      <w:r w:rsidRPr="00F81C3A">
        <w:t>decision may be considered sufficient</w:t>
      </w:r>
      <w:r w:rsidR="004E30CC" w:rsidRPr="00F81C3A">
        <w:t>.</w:t>
      </w:r>
      <w:r w:rsidRPr="00F81C3A">
        <w:t xml:space="preserve"> </w:t>
      </w:r>
    </w:p>
    <w:p w:rsidR="00700EED" w:rsidRPr="00F81C3A" w:rsidRDefault="00AD48F5" w:rsidP="00525218">
      <w:pPr>
        <w:pStyle w:val="CH1"/>
        <w:tabs>
          <w:tab w:val="clear" w:pos="851"/>
          <w:tab w:val="clear" w:pos="1247"/>
          <w:tab w:val="clear" w:pos="1814"/>
          <w:tab w:val="clear" w:pos="2381"/>
          <w:tab w:val="clear" w:pos="2948"/>
          <w:tab w:val="clear" w:pos="3515"/>
          <w:tab w:val="clear" w:pos="4082"/>
          <w:tab w:val="left" w:pos="624"/>
        </w:tabs>
        <w:ind w:left="624" w:hanging="624"/>
      </w:pPr>
      <w:r w:rsidRPr="00F81C3A">
        <w:tab/>
      </w:r>
      <w:bookmarkStart w:id="17" w:name="_Toc483401105"/>
      <w:r w:rsidR="009630A3" w:rsidRPr="00F81C3A">
        <w:t>IV</w:t>
      </w:r>
      <w:r w:rsidRPr="00F81C3A">
        <w:t>.</w:t>
      </w:r>
      <w:r w:rsidRPr="00F81C3A">
        <w:tab/>
      </w:r>
      <w:r w:rsidR="00700EED" w:rsidRPr="00F81C3A">
        <w:t>Good practices for storage</w:t>
      </w:r>
      <w:bookmarkEnd w:id="17"/>
    </w:p>
    <w:p w:rsidR="00700EED" w:rsidRPr="00F81C3A" w:rsidRDefault="00AD48F5" w:rsidP="00525218">
      <w:pPr>
        <w:pStyle w:val="CH2"/>
      </w:pPr>
      <w:r w:rsidRPr="00F81C3A">
        <w:tab/>
      </w:r>
      <w:bookmarkStart w:id="18" w:name="_Toc483401106"/>
      <w:r w:rsidR="009630A3" w:rsidRPr="00F81C3A">
        <w:t>A</w:t>
      </w:r>
      <w:r w:rsidRPr="00F81C3A">
        <w:t>.</w:t>
      </w:r>
      <w:r w:rsidRPr="00F81C3A">
        <w:tab/>
      </w:r>
      <w:r w:rsidR="00700EED" w:rsidRPr="00F81C3A">
        <w:t>Location of mercury storage sites and site selection criteria</w:t>
      </w:r>
      <w:bookmarkEnd w:id="18"/>
    </w:p>
    <w:p w:rsidR="00700EED" w:rsidRPr="00F81C3A" w:rsidRDefault="00700EED" w:rsidP="00525218">
      <w:pPr>
        <w:pStyle w:val="Normalnumber"/>
        <w:keepNext/>
        <w:keepLines/>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A number of factors should </w:t>
      </w:r>
      <w:r w:rsidRPr="00546FFF">
        <w:t>be considered</w:t>
      </w:r>
      <w:r w:rsidRPr="00F81C3A">
        <w:t xml:space="preserve"> in deciding on the location of storage facilities. A storage facility should have an environmental management system in place. In terms of siting and design, in order to avoid any significant risk of mercury release </w:t>
      </w:r>
      <w:r w:rsidR="002C38D4" w:rsidRPr="00F81C3A">
        <w:t xml:space="preserve">owing </w:t>
      </w:r>
      <w:r w:rsidRPr="00F81C3A">
        <w:t xml:space="preserve">to factors such as geographic location, </w:t>
      </w:r>
      <w:r w:rsidR="002C38D4" w:rsidRPr="00F81C3A">
        <w:t xml:space="preserve">where possible </w:t>
      </w:r>
      <w:r w:rsidRPr="00F81C3A">
        <w:t>storage facilities should not be built in sensitive locations such as floodplains, wetlands, areas with potential for leaching to groundwater, earthquake zones, Karst terrain,</w:t>
      </w:r>
      <w:r w:rsidR="00DB69B7" w:rsidRPr="00F81C3A">
        <w:t xml:space="preserve"> complex or</w:t>
      </w:r>
      <w:r w:rsidRPr="00F81C3A">
        <w:t xml:space="preserve"> unstable terrain or locations with unfavourable weather conditions or incompatible land use.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In selecting a </w:t>
      </w:r>
      <w:r w:rsidR="005209B7" w:rsidRPr="00F81C3A">
        <w:t xml:space="preserve">location </w:t>
      </w:r>
      <w:r w:rsidRPr="00F81C3A">
        <w:t xml:space="preserve">for new sites for storage of mercury or mercury compounds, consideration </w:t>
      </w:r>
      <w:r w:rsidRPr="002544E7">
        <w:t>should be</w:t>
      </w:r>
      <w:r w:rsidRPr="00F81C3A">
        <w:t xml:space="preserve"> given to any requirements under national law</w:t>
      </w:r>
      <w:r w:rsidR="00787403" w:rsidRPr="00F81C3A">
        <w:t>,</w:t>
      </w:r>
      <w:r w:rsidRPr="00F81C3A">
        <w:t xml:space="preserve"> including</w:t>
      </w:r>
      <w:r w:rsidR="00787403" w:rsidRPr="00F81C3A">
        <w:t xml:space="preserve"> those pertaining to</w:t>
      </w:r>
      <w:r w:rsidRPr="00F81C3A">
        <w:t xml:space="preserve"> issues such as zoning or restrictions on use. It is suggested that public consultations be held to inform the local community about siting criteria and procedures </w:t>
      </w:r>
      <w:r w:rsidR="005E1028" w:rsidRPr="00F81C3A">
        <w:t>for</w:t>
      </w:r>
      <w:r w:rsidRPr="00F81C3A">
        <w:t xml:space="preserve"> mitigat</w:t>
      </w:r>
      <w:r w:rsidR="005E1028" w:rsidRPr="00F81C3A">
        <w:t>ing</w:t>
      </w:r>
      <w:r w:rsidRPr="00F81C3A">
        <w:t xml:space="preserve"> any </w:t>
      </w:r>
      <w:r w:rsidR="005E1028" w:rsidRPr="00F81C3A">
        <w:t xml:space="preserve">risks associated with </w:t>
      </w:r>
      <w:r w:rsidRPr="00F81C3A">
        <w:t xml:space="preserve">mercury storage. Sites should have adequate access </w:t>
      </w:r>
      <w:r w:rsidR="00A4060A" w:rsidRPr="00F81C3A">
        <w:t>for</w:t>
      </w:r>
      <w:r w:rsidRPr="00F81C3A">
        <w:t xml:space="preserve"> receiv</w:t>
      </w:r>
      <w:r w:rsidR="00A4060A" w:rsidRPr="00F81C3A">
        <w:t>ing</w:t>
      </w:r>
      <w:r w:rsidRPr="00F81C3A">
        <w:t xml:space="preserve"> </w:t>
      </w:r>
      <w:r w:rsidR="005E1028" w:rsidRPr="00F81C3A">
        <w:t xml:space="preserve">mercury </w:t>
      </w:r>
      <w:r w:rsidRPr="00F81C3A">
        <w:t>and disburs</w:t>
      </w:r>
      <w:r w:rsidR="00A4060A" w:rsidRPr="00F81C3A">
        <w:t>ing</w:t>
      </w:r>
      <w:r w:rsidRPr="00F81C3A">
        <w:t xml:space="preserve"> </w:t>
      </w:r>
      <w:r w:rsidR="005E1028" w:rsidRPr="00F81C3A">
        <w:t>it</w:t>
      </w:r>
      <w:r w:rsidRPr="00F81C3A">
        <w:t xml:space="preserve"> for use. Consideration should be given to factors </w:t>
      </w:r>
      <w:r w:rsidR="005E1028" w:rsidRPr="00F81C3A">
        <w:t>that</w:t>
      </w:r>
      <w:r w:rsidRPr="00F81C3A">
        <w:t xml:space="preserve"> may affect site or facility security. At private facilities using mercury or mercury compounds, consideration should be given to the actual location of the mercury storage </w:t>
      </w:r>
      <w:r w:rsidR="005E1028" w:rsidRPr="00F81C3A">
        <w:t>inside</w:t>
      </w:r>
      <w:r w:rsidRPr="00F81C3A">
        <w:t xml:space="preserve"> the facility, including ease of access to mercury or mercury compounds. The security of the site should also be considered.</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In assessing mercury storage sites, certain criteria may be used as </w:t>
      </w:r>
      <w:r w:rsidR="00756461" w:rsidRPr="00F81C3A">
        <w:t>“</w:t>
      </w:r>
      <w:r w:rsidRPr="00F81C3A">
        <w:t>exclusion criteria</w:t>
      </w:r>
      <w:r w:rsidR="00756461" w:rsidRPr="00F81C3A">
        <w:t>”</w:t>
      </w:r>
      <w:r w:rsidR="00935E43" w:rsidRPr="00F81C3A">
        <w:t>.</w:t>
      </w:r>
      <w:r w:rsidRPr="00F81C3A">
        <w:t xml:space="preserve"> The presence of such elements </w:t>
      </w:r>
      <w:r w:rsidR="00AF5FB6" w:rsidRPr="00F81C3A">
        <w:t xml:space="preserve">would </w:t>
      </w:r>
      <w:r w:rsidRPr="00F81C3A">
        <w:t xml:space="preserve">rule out the possibility of </w:t>
      </w:r>
      <w:r w:rsidR="005E1028" w:rsidRPr="00F81C3A">
        <w:t>us</w:t>
      </w:r>
      <w:r w:rsidRPr="00F81C3A">
        <w:t xml:space="preserve">ing </w:t>
      </w:r>
      <w:r w:rsidR="005D0CE9" w:rsidRPr="00F81C3A">
        <w:t>a</w:t>
      </w:r>
      <w:r w:rsidRPr="00F81C3A">
        <w:t xml:space="preserve"> particular site. Other criteria may be considered as positive or negative factors but not completely exclude the site as an option.</w:t>
      </w:r>
      <w:r w:rsidR="001273A3" w:rsidRPr="00F81C3A">
        <w:t xml:space="preserve"> </w:t>
      </w:r>
      <w:r w:rsidRPr="00F81C3A">
        <w:t>The assessment of the importance of different criteria is based on national consideration, including a determination of acceptable risks. The importance of the criteria in selecting a suitable site may be related to the site</w:t>
      </w:r>
      <w:r w:rsidR="00AF5FB6" w:rsidRPr="00F81C3A">
        <w:t>’</w:t>
      </w:r>
      <w:r w:rsidRPr="00F81C3A">
        <w:t>s effect on the stability of storage</w:t>
      </w:r>
      <w:r w:rsidR="00AF5FB6" w:rsidRPr="00F81C3A">
        <w:t>. A</w:t>
      </w:r>
      <w:r w:rsidRPr="00F81C3A">
        <w:t xml:space="preserve"> risk assessment </w:t>
      </w:r>
      <w:r w:rsidR="00935E43" w:rsidRPr="00F81C3A">
        <w:t>for</w:t>
      </w:r>
      <w:r w:rsidRPr="00F81C3A">
        <w:t xml:space="preserve"> each potential site would</w:t>
      </w:r>
      <w:r w:rsidR="00AF5FB6" w:rsidRPr="00F81C3A">
        <w:t xml:space="preserve"> therefore</w:t>
      </w:r>
      <w:r w:rsidRPr="00F81C3A">
        <w:t xml:space="preserve"> be needed. In </w:t>
      </w:r>
      <w:r w:rsidR="00AF5FB6" w:rsidRPr="00F81C3A">
        <w:t xml:space="preserve">carrying out </w:t>
      </w:r>
      <w:r w:rsidRPr="00F81C3A">
        <w:t>such a</w:t>
      </w:r>
      <w:r w:rsidR="00935E43" w:rsidRPr="00F81C3A">
        <w:t>n</w:t>
      </w:r>
      <w:r w:rsidRPr="00F81C3A">
        <w:t xml:space="preserve"> assessment, consideration should</w:t>
      </w:r>
      <w:r w:rsidR="00AF5FB6" w:rsidRPr="00F81C3A">
        <w:t xml:space="preserve"> be given, among other things, to</w:t>
      </w:r>
      <w:r w:rsidRPr="00F81C3A">
        <w:t xml:space="preserve"> the quantity of mercury or mercury compounds to be stored at the facility, as</w:t>
      </w:r>
      <w:r w:rsidR="00935E43" w:rsidRPr="00F81C3A">
        <w:t xml:space="preserve"> the quantity might affect</w:t>
      </w:r>
      <w:r w:rsidRPr="00F81C3A">
        <w:t xml:space="preserve"> storage requirements. The level of control needed to safely manage the mercury may vary </w:t>
      </w:r>
      <w:r w:rsidR="00D567AB" w:rsidRPr="00F81C3A">
        <w:t xml:space="preserve">according to </w:t>
      </w:r>
      <w:r w:rsidRPr="00F81C3A">
        <w:t xml:space="preserve">the quantity of mercury stored.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In considering mercury storage sites, consideration could be given to whether national storage sites are necessary or whether commodity mercury or mercury compounds </w:t>
      </w:r>
      <w:r w:rsidR="005E1028" w:rsidRPr="00F81C3A">
        <w:t>could</w:t>
      </w:r>
      <w:r w:rsidRPr="00F81C3A">
        <w:t xml:space="preserve"> be stored in regional storage facilities prior to use.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Such facilities could be located </w:t>
      </w:r>
      <w:r w:rsidR="005E1028" w:rsidRPr="00F81C3A">
        <w:t>near</w:t>
      </w:r>
      <w:r w:rsidRPr="00F81C3A">
        <w:t xml:space="preserve"> a point of import </w:t>
      </w:r>
      <w:r w:rsidR="005E1028" w:rsidRPr="00F81C3A">
        <w:t xml:space="preserve">in order </w:t>
      </w:r>
      <w:r w:rsidRPr="00F81C3A">
        <w:t xml:space="preserve">to </w:t>
      </w:r>
      <w:r w:rsidR="005E1028" w:rsidRPr="00F81C3A">
        <w:t>minimize</w:t>
      </w:r>
      <w:r w:rsidRPr="00F81C3A">
        <w:t xml:space="preserve"> </w:t>
      </w:r>
      <w:r w:rsidR="005E1028" w:rsidRPr="00F81C3A">
        <w:t xml:space="preserve">the need for </w:t>
      </w:r>
      <w:r w:rsidRPr="00F81C3A">
        <w:t xml:space="preserve">transportation. </w:t>
      </w:r>
    </w:p>
    <w:p w:rsidR="00700EED" w:rsidRPr="00F81C3A" w:rsidRDefault="00AD48F5" w:rsidP="00DB69B7">
      <w:pPr>
        <w:pStyle w:val="CH2"/>
      </w:pPr>
      <w:r w:rsidRPr="00F81C3A">
        <w:tab/>
      </w:r>
      <w:bookmarkStart w:id="19" w:name="_Toc483401107"/>
      <w:r w:rsidR="009630A3" w:rsidRPr="00F81C3A">
        <w:t>B</w:t>
      </w:r>
      <w:r w:rsidRPr="00F81C3A">
        <w:t>.</w:t>
      </w:r>
      <w:r w:rsidRPr="00F81C3A">
        <w:tab/>
      </w:r>
      <w:r w:rsidR="00700EED" w:rsidRPr="00F81C3A">
        <w:t>Construction of storage sites, including provision of barriers</w:t>
      </w:r>
      <w:bookmarkEnd w:id="19"/>
    </w:p>
    <w:p w:rsidR="00700EED" w:rsidRPr="00F81C3A" w:rsidRDefault="005E1028"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In</w:t>
      </w:r>
      <w:r w:rsidR="00700EED" w:rsidRPr="00F81C3A">
        <w:t xml:space="preserve"> </w:t>
      </w:r>
      <w:r w:rsidRPr="00F81C3A">
        <w:t>building</w:t>
      </w:r>
      <w:r w:rsidR="00700EED" w:rsidRPr="00F81C3A">
        <w:t xml:space="preserve"> a new facility or </w:t>
      </w:r>
      <w:r w:rsidR="00700EED" w:rsidRPr="00DD1D38">
        <w:t>retrofitting</w:t>
      </w:r>
      <w:r w:rsidR="00700EED" w:rsidRPr="00F81C3A">
        <w:t xml:space="preserve"> an existing one, consideration should be given to </w:t>
      </w:r>
      <w:r w:rsidRPr="00F81C3A">
        <w:t xml:space="preserve">its </w:t>
      </w:r>
      <w:r w:rsidR="00700EED" w:rsidRPr="00F81C3A">
        <w:t>siz</w:t>
      </w:r>
      <w:r w:rsidRPr="00F81C3A">
        <w:t>e,</w:t>
      </w:r>
      <w:r w:rsidR="00700EED" w:rsidRPr="00F81C3A">
        <w:t xml:space="preserve"> layout and design, floor strength requirements, surface coatings, plumbing and drains, air flow and ventilation, and </w:t>
      </w:r>
      <w:r w:rsidRPr="00F81C3A">
        <w:t xml:space="preserve">the </w:t>
      </w:r>
      <w:r w:rsidR="00700EED" w:rsidRPr="00F81C3A">
        <w:t xml:space="preserve">acceptable temperature range for storing elemental mercury. </w:t>
      </w:r>
      <w:r w:rsidRPr="00F81C3A">
        <w:t>The f</w:t>
      </w:r>
      <w:r w:rsidR="00700EED" w:rsidRPr="00F81C3A">
        <w:t>acility</w:t>
      </w:r>
      <w:r w:rsidRPr="00F81C3A">
        <w:t>’s</w:t>
      </w:r>
      <w:r w:rsidR="00700EED" w:rsidRPr="00F81C3A">
        <w:t xml:space="preserve"> siz</w:t>
      </w:r>
      <w:r w:rsidRPr="00F81C3A">
        <w:t>e</w:t>
      </w:r>
      <w:r w:rsidR="00700EED" w:rsidRPr="00F81C3A">
        <w:t xml:space="preserve"> will depend on the amount of space needed for present and future storage and </w:t>
      </w:r>
      <w:r w:rsidRPr="00F81C3A">
        <w:t xml:space="preserve">on </w:t>
      </w:r>
      <w:r w:rsidR="00700EED" w:rsidRPr="00F81C3A">
        <w:t xml:space="preserve">the method of storage. Regardless of size, however, storage facilities must meet certain containment characteristics </w:t>
      </w:r>
      <w:r w:rsidR="00D567AB" w:rsidRPr="00F81C3A">
        <w:t xml:space="preserve">in order </w:t>
      </w:r>
      <w:r w:rsidR="00700EED" w:rsidRPr="00F81C3A">
        <w:t xml:space="preserve">to ensure </w:t>
      </w:r>
      <w:r w:rsidR="00D567AB" w:rsidRPr="00F81C3A">
        <w:t xml:space="preserve">the </w:t>
      </w:r>
      <w:r w:rsidR="00700EED" w:rsidRPr="00F81C3A">
        <w:t>safe and environmentally sound interim storage of mercury (QSC</w:t>
      </w:r>
      <w:r w:rsidR="00986C26" w:rsidRPr="00F81C3A">
        <w:t>,</w:t>
      </w:r>
      <w:r w:rsidR="00700EED" w:rsidRPr="00F81C3A">
        <w:t xml:space="preserve"> 2003)</w:t>
      </w:r>
      <w:r w:rsidR="00D567AB" w:rsidRPr="00F81C3A">
        <w:t>.</w:t>
      </w:r>
      <w:r w:rsidR="00700EED" w:rsidRPr="00F81C3A">
        <w:t xml:space="preserve">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The storage site</w:t>
      </w:r>
      <w:r w:rsidR="005E1028" w:rsidRPr="00F81C3A">
        <w:t xml:space="preserve"> should have</w:t>
      </w:r>
      <w:r w:rsidRPr="00F81C3A">
        <w:t xml:space="preserve"> engineered or natural barriers adequate </w:t>
      </w:r>
      <w:r w:rsidR="00D567AB" w:rsidRPr="00F81C3A">
        <w:t xml:space="preserve">for </w:t>
      </w:r>
      <w:r w:rsidRPr="00F81C3A">
        <w:t>protect</w:t>
      </w:r>
      <w:r w:rsidR="00D567AB" w:rsidRPr="00F81C3A">
        <w:t>ing</w:t>
      </w:r>
      <w:r w:rsidRPr="00F81C3A">
        <w:t xml:space="preserve"> the environment against mercury releases and a containment volume adequate for the total quantity of mercury stored (EU</w:t>
      </w:r>
      <w:r w:rsidR="00057EF8" w:rsidRPr="00F81C3A">
        <w:t>,</w:t>
      </w:r>
      <w:r w:rsidRPr="00F81C3A">
        <w:t xml:space="preserve"> 2011). Facilities should be designed to facilitate the safe handling of containers</w:t>
      </w:r>
      <w:r w:rsidR="005E1028" w:rsidRPr="00F81C3A">
        <w:t xml:space="preserve"> and might</w:t>
      </w:r>
      <w:r w:rsidRPr="00F81C3A">
        <w:t xml:space="preserve"> includ</w:t>
      </w:r>
      <w:r w:rsidR="005E1028" w:rsidRPr="00F81C3A">
        <w:t>e</w:t>
      </w:r>
      <w:r w:rsidRPr="00F81C3A">
        <w:t xml:space="preserve"> separate, self-contained areas for loading operations for </w:t>
      </w:r>
      <w:r w:rsidR="00D567AB" w:rsidRPr="00F81C3A">
        <w:t xml:space="preserve">the </w:t>
      </w:r>
      <w:r w:rsidRPr="00F81C3A">
        <w:t xml:space="preserve">shipping and receiving of containers, and for repackaging operations, </w:t>
      </w:r>
      <w:r w:rsidR="00D567AB" w:rsidRPr="00F81C3A">
        <w:t>which are the</w:t>
      </w:r>
      <w:r w:rsidRPr="00F81C3A">
        <w:t xml:space="preserve"> most vulnerable to accidents </w:t>
      </w:r>
      <w:r w:rsidR="005E1028" w:rsidRPr="00F81C3A">
        <w:t>and</w:t>
      </w:r>
      <w:r w:rsidRPr="00F81C3A">
        <w:t xml:space="preserve"> mercury spillage.</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To the extent feasible, facilities should be dedicated solely to mercury storage and kept completely segregated, particularly from materials incompatible with mercury</w:t>
      </w:r>
      <w:r w:rsidR="00BB224B" w:rsidRPr="00F81C3A">
        <w:t>,</w:t>
      </w:r>
      <w:r w:rsidRPr="00F81C3A">
        <w:t xml:space="preserve"> to ensure that there is no unnecessary chemical or physical </w:t>
      </w:r>
      <w:r w:rsidRPr="0005483E">
        <w:t xml:space="preserve">reaction </w:t>
      </w:r>
      <w:r w:rsidR="0005483E" w:rsidRPr="003038EE">
        <w:t xml:space="preserve">with </w:t>
      </w:r>
      <w:r w:rsidRPr="0005483E">
        <w:t>mercury</w:t>
      </w:r>
      <w:r w:rsidRPr="00F81C3A">
        <w:t>.</w:t>
      </w:r>
      <w:r w:rsidRPr="003F1FDE">
        <w:rPr>
          <w:b/>
        </w:rPr>
        <w:t xml:space="preserve"> </w:t>
      </w:r>
      <w:r w:rsidRPr="00F81C3A">
        <w:t>To reduce the risk of fires, facilities should be constructed of non-combustible materials</w:t>
      </w:r>
      <w:r w:rsidR="00BB224B" w:rsidRPr="00F81C3A">
        <w:t>,</w:t>
      </w:r>
      <w:r w:rsidRPr="00F81C3A">
        <w:t xml:space="preserve"> and non-combustible materials </w:t>
      </w:r>
      <w:r w:rsidR="005438BA" w:rsidRPr="00F81C3A">
        <w:t xml:space="preserve">should be used </w:t>
      </w:r>
      <w:r w:rsidRPr="00F81C3A">
        <w:t>for pallets, storage racks and other interior furnishings (QSC</w:t>
      </w:r>
      <w:r w:rsidR="00B30FE1">
        <w:t>,</w:t>
      </w:r>
      <w:r w:rsidRPr="00F81C3A">
        <w:t xml:space="preserve"> 2003)</w:t>
      </w:r>
      <w:r w:rsidR="005438BA" w:rsidRPr="00F81C3A">
        <w:t>.</w:t>
      </w:r>
      <w:r w:rsidRPr="00F81C3A">
        <w:t xml:space="preserve">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The aisles in storage areas should be wide enough to allow for the passage of inspection teams, loading machinery and emergency equipment. Storage facilities should be constructed from non</w:t>
      </w:r>
      <w:r w:rsidR="00A7643A" w:rsidRPr="00F81C3A">
        <w:noBreakHyphen/>
      </w:r>
      <w:r w:rsidRPr="00F81C3A">
        <w:t>flammable materials, such as poured concrete</w:t>
      </w:r>
      <w:r w:rsidR="00BB224B" w:rsidRPr="00F81C3A">
        <w:t xml:space="preserve"> or</w:t>
      </w:r>
      <w:r w:rsidRPr="00F81C3A">
        <w:t xml:space="preserve"> concrete block, and should have fire alarm systems and fire suppression systems. Handling areas </w:t>
      </w:r>
      <w:r w:rsidR="00BB224B" w:rsidRPr="00F81C3A">
        <w:t>inside</w:t>
      </w:r>
      <w:r w:rsidRPr="00F81C3A">
        <w:t xml:space="preserve"> the facility, where mercury or mercury compounds may be transferred between containers</w:t>
      </w:r>
      <w:r w:rsidR="00234F45" w:rsidRPr="00F81C3A">
        <w:t>,</w:t>
      </w:r>
      <w:r w:rsidRPr="00F81C3A">
        <w:t xml:space="preserve"> should have negative pressure environments to avoid mercury emissions to the outside of the building. Where indoor air is vented outside, particularly from handling areas, such venting should be done via activated carbon or other mercury capture systems.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The storage site </w:t>
      </w:r>
      <w:r w:rsidR="00234F45" w:rsidRPr="00F81C3A">
        <w:t xml:space="preserve">is to </w:t>
      </w:r>
      <w:r w:rsidRPr="00F81C3A">
        <w:t>be equipped with a fire protection system (EU</w:t>
      </w:r>
      <w:r w:rsidR="00B943CC" w:rsidRPr="00F81C3A">
        <w:t>,</w:t>
      </w:r>
      <w:r w:rsidRPr="00F81C3A">
        <w:t xml:space="preserve"> 2011). Any emergency response plan</w:t>
      </w:r>
      <w:r w:rsidR="00BB224B" w:rsidRPr="00F81C3A">
        <w:t xml:space="preserve"> should be</w:t>
      </w:r>
      <w:r w:rsidRPr="00F81C3A">
        <w:t xml:space="preserve"> </w:t>
      </w:r>
      <w:r w:rsidR="00BB224B" w:rsidRPr="00F81C3A">
        <w:t>developed in coordination</w:t>
      </w:r>
      <w:r w:rsidRPr="00F81C3A">
        <w:t xml:space="preserve"> with the local fire department to ensure that they are sufficiently informed, trained, equipped and </w:t>
      </w:r>
      <w:r w:rsidR="00BB224B" w:rsidRPr="00F81C3A">
        <w:t xml:space="preserve">otherwise </w:t>
      </w:r>
      <w:r w:rsidRPr="00F81C3A">
        <w:t xml:space="preserve">prepared to safely handle any fires at the facility. To further </w:t>
      </w:r>
      <w:r w:rsidR="00BB224B" w:rsidRPr="00F81C3A">
        <w:t>minimize</w:t>
      </w:r>
      <w:r w:rsidRPr="00F81C3A">
        <w:t xml:space="preserve"> the risk of fire, it is suggested that battery-powered electric forklifts be used to transport mercury </w:t>
      </w:r>
      <w:r w:rsidR="00BB224B" w:rsidRPr="00F81C3A">
        <w:t>inside</w:t>
      </w:r>
      <w:r w:rsidRPr="00F81C3A">
        <w:t xml:space="preserve"> the storage facility (QSC</w:t>
      </w:r>
      <w:r w:rsidR="00B943CC" w:rsidRPr="00F81C3A">
        <w:t>,</w:t>
      </w:r>
      <w:r w:rsidRPr="00F81C3A">
        <w:t xml:space="preserve"> 2003)</w:t>
      </w:r>
      <w:r w:rsidR="00B943CC" w:rsidRPr="00F81C3A">
        <w:t>.</w:t>
      </w:r>
    </w:p>
    <w:p w:rsidR="00700EED" w:rsidRPr="00F81C3A" w:rsidRDefault="00700EED" w:rsidP="00E42377">
      <w:pPr>
        <w:pStyle w:val="Normalnumber"/>
        <w:keepNext/>
        <w:keepLines/>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The protection of soil, groundwater and surface water should be carefully considered</w:t>
      </w:r>
      <w:r w:rsidR="00BB224B" w:rsidRPr="00F81C3A">
        <w:t>,</w:t>
      </w:r>
      <w:r w:rsidRPr="00F81C3A">
        <w:t xml:space="preserve"> particularly in the construction of facilities for the storage of large quantities of mercury. </w:t>
      </w:r>
      <w:r w:rsidR="00C708E3" w:rsidRPr="00F81C3A">
        <w:t>Such protection</w:t>
      </w:r>
      <w:r w:rsidRPr="00F81C3A">
        <w:t xml:space="preserve"> should be </w:t>
      </w:r>
      <w:r w:rsidRPr="001110A6">
        <w:t>achieved through a</w:t>
      </w:r>
      <w:r w:rsidRPr="00F81C3A">
        <w:t xml:space="preserve"> combination of a geological barrier and other impermeable barriers. A drainage and collection system for water discharged from storage sites should be installed within the sites to enable mercury monitoring prior to discharge to water systems. Moreover, monitoring procedures should be established for the operation and post-closure phases of the storage sites so that any possible adverse environmental effects of the storage sites can be identified and appropriate corrective measures taken. </w:t>
      </w:r>
      <w:r w:rsidR="00BB224B" w:rsidRPr="00F81C3A">
        <w:t>S</w:t>
      </w:r>
      <w:r w:rsidRPr="00F81C3A">
        <w:t xml:space="preserve">torage site development should be </w:t>
      </w:r>
      <w:r w:rsidR="00BB224B" w:rsidRPr="00F81C3A">
        <w:t>guided by</w:t>
      </w:r>
      <w:r w:rsidRPr="00F81C3A">
        <w:t xml:space="preserve"> the</w:t>
      </w:r>
      <w:r w:rsidR="00DB69B7" w:rsidRPr="00F81C3A">
        <w:t xml:space="preserve"> nature of the</w:t>
      </w:r>
      <w:r w:rsidRPr="00F81C3A">
        <w:t xml:space="preserve"> site, geology and other project-specific factors</w:t>
      </w:r>
      <w:r w:rsidR="00BB224B" w:rsidRPr="00F81C3A">
        <w:t>, as well as a</w:t>
      </w:r>
      <w:r w:rsidRPr="00F81C3A">
        <w:t>ppropriate geotechnical engineering principle</w:t>
      </w:r>
      <w:r w:rsidR="00BB224B" w:rsidRPr="00F81C3A">
        <w:t>s</w:t>
      </w:r>
      <w:r w:rsidRPr="00F81C3A">
        <w:t>. Such factors may be less importan</w:t>
      </w:r>
      <w:r w:rsidR="00BB224B" w:rsidRPr="00F81C3A">
        <w:t>t</w:t>
      </w:r>
      <w:r w:rsidRPr="00F81C3A">
        <w:t xml:space="preserve"> </w:t>
      </w:r>
      <w:r w:rsidR="00C708E3" w:rsidRPr="00F81C3A">
        <w:t>for</w:t>
      </w:r>
      <w:r w:rsidRPr="00F81C3A">
        <w:t xml:space="preserve"> sites </w:t>
      </w:r>
      <w:r w:rsidR="00BB224B" w:rsidRPr="00F81C3A">
        <w:t>designed for</w:t>
      </w:r>
      <w:r w:rsidR="00DB69B7" w:rsidRPr="00F81C3A">
        <w:t xml:space="preserve"> the storage of</w:t>
      </w:r>
      <w:r w:rsidRPr="00F81C3A">
        <w:t xml:space="preserve"> small quantities of mercury. </w:t>
      </w:r>
    </w:p>
    <w:p w:rsidR="00700EED" w:rsidRPr="00F81C3A" w:rsidRDefault="00AD48F5" w:rsidP="00C5577C">
      <w:pPr>
        <w:pStyle w:val="CH2"/>
      </w:pPr>
      <w:r w:rsidRPr="00F81C3A">
        <w:tab/>
      </w:r>
      <w:bookmarkStart w:id="20" w:name="_Toc483401108"/>
      <w:r w:rsidR="009630A3" w:rsidRPr="00F81C3A">
        <w:t>C</w:t>
      </w:r>
      <w:r w:rsidRPr="00F81C3A">
        <w:t>.</w:t>
      </w:r>
      <w:r w:rsidRPr="00F81C3A">
        <w:tab/>
      </w:r>
      <w:r w:rsidR="00700EED" w:rsidRPr="00F81C3A">
        <w:t xml:space="preserve">Physical conditions </w:t>
      </w:r>
      <w:r w:rsidR="00AF6F2D" w:rsidRPr="00F81C3A">
        <w:t>at</w:t>
      </w:r>
      <w:r w:rsidR="00700EED" w:rsidRPr="00F81C3A">
        <w:t xml:space="preserve"> storage sites</w:t>
      </w:r>
      <w:bookmarkEnd w:id="20"/>
    </w:p>
    <w:p w:rsidR="00700EED" w:rsidRPr="00F81C3A" w:rsidRDefault="00700EED" w:rsidP="00410406">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Storage facility floors should be designed to withstand 50</w:t>
      </w:r>
      <w:r w:rsidR="00C708E3" w:rsidRPr="00F81C3A">
        <w:t xml:space="preserve"> per cent</w:t>
      </w:r>
      <w:r w:rsidRPr="00F81C3A">
        <w:t xml:space="preserve"> more than the total load from the mercury being stored and </w:t>
      </w:r>
      <w:r w:rsidR="00C708E3" w:rsidRPr="00F81C3A">
        <w:t xml:space="preserve">should </w:t>
      </w:r>
      <w:r w:rsidRPr="00F81C3A">
        <w:t>not be penetrated by any drains or plumbing. Sloped floors and open</w:t>
      </w:r>
      <w:r w:rsidR="00C708E3" w:rsidRPr="00F81C3A">
        <w:t>-</w:t>
      </w:r>
      <w:r w:rsidRPr="00F81C3A">
        <w:t xml:space="preserve">flow gutters with rounded-down edges can be used to avoid </w:t>
      </w:r>
      <w:r w:rsidR="00AF6F2D" w:rsidRPr="00F81C3A">
        <w:t xml:space="preserve">trapping </w:t>
      </w:r>
      <w:r w:rsidRPr="00F81C3A">
        <w:t xml:space="preserve">mercury under gutter covers and to </w:t>
      </w:r>
      <w:r w:rsidR="00AF6F2D" w:rsidRPr="00F81C3A">
        <w:t>facilitate</w:t>
      </w:r>
      <w:r w:rsidRPr="00F81C3A">
        <w:t xml:space="preserve"> the collection of spills. The floors of storage facilities should be covered with mercury</w:t>
      </w:r>
      <w:r w:rsidR="00A7643A" w:rsidRPr="00F81C3A">
        <w:noBreakHyphen/>
      </w:r>
      <w:r w:rsidRPr="00F81C3A">
        <w:t>resistant materials, such as an epoxy coating, and should be light</w:t>
      </w:r>
      <w:r w:rsidR="00AF6F2D" w:rsidRPr="00F81C3A">
        <w:t>-</w:t>
      </w:r>
      <w:r w:rsidRPr="00F81C3A">
        <w:t>coloured to allow the detection of mercury droplets. Floors and their coatings should be inspected frequently to ensure that the floors have no cracks and the coatings are intact. Walls</w:t>
      </w:r>
      <w:r w:rsidR="00AF6F2D" w:rsidRPr="00F81C3A">
        <w:t xml:space="preserve"> should be built of</w:t>
      </w:r>
      <w:r w:rsidRPr="00F81C3A">
        <w:t xml:space="preserve"> materials that do not readily absorb mercury vapour.</w:t>
      </w:r>
      <w:r w:rsidR="00903D14" w:rsidRPr="00F81C3A">
        <w:t xml:space="preserve"> </w:t>
      </w:r>
      <w:r w:rsidRPr="00F81C3A">
        <w:t>It is important to include redundant systems capa</w:t>
      </w:r>
      <w:r w:rsidR="00AF6F2D" w:rsidRPr="00F81C3A">
        <w:t>ble of</w:t>
      </w:r>
      <w:r w:rsidRPr="00F81C3A">
        <w:t xml:space="preserve"> deal</w:t>
      </w:r>
      <w:r w:rsidR="00AF6F2D" w:rsidRPr="00F81C3A">
        <w:t>ing</w:t>
      </w:r>
      <w:r w:rsidRPr="00F81C3A">
        <w:t xml:space="preserve"> with greater releases of mercury</w:t>
      </w:r>
      <w:r w:rsidR="00AF6F2D" w:rsidRPr="00F81C3A">
        <w:t xml:space="preserve"> so as</w:t>
      </w:r>
      <w:r w:rsidRPr="00F81C3A">
        <w:t xml:space="preserve"> to prevent releases in the event of an unexpected occurrence</w:t>
      </w:r>
      <w:r w:rsidR="00AF6F2D" w:rsidRPr="00F81C3A">
        <w:t>. Such systems</w:t>
      </w:r>
      <w:r w:rsidRPr="00F81C3A">
        <w:t xml:space="preserve"> includ</w:t>
      </w:r>
      <w:r w:rsidR="00AF6F2D" w:rsidRPr="00F81C3A">
        <w:t>e</w:t>
      </w:r>
      <w:r w:rsidRPr="00F81C3A">
        <w:t xml:space="preserve"> secondary containment, monitoring for releases and protection of the workforce and the public from exposure (U</w:t>
      </w:r>
      <w:r w:rsidR="00F700C3" w:rsidRPr="00F81C3A">
        <w:t>S DOE</w:t>
      </w:r>
      <w:r w:rsidR="00903D14" w:rsidRPr="00F81C3A">
        <w:t>,</w:t>
      </w:r>
      <w:r w:rsidRPr="00F81C3A">
        <w:t xml:space="preserve"> 2009; </w:t>
      </w:r>
      <w:r w:rsidRPr="000D15B9">
        <w:t>World Chlorine Council</w:t>
      </w:r>
      <w:r w:rsidRPr="00F81C3A">
        <w:t xml:space="preserve">). The temperature in storage areas should </w:t>
      </w:r>
      <w:r w:rsidR="00AF6F2D" w:rsidRPr="00F81C3A">
        <w:t>remain as low as</w:t>
      </w:r>
      <w:r w:rsidRPr="00F81C3A">
        <w:t xml:space="preserve"> possible, preferably at a constant 21</w:t>
      </w:r>
      <w:r w:rsidR="00903D14" w:rsidRPr="00F81C3A">
        <w:rPr>
          <w:vertAlign w:val="superscript"/>
        </w:rPr>
        <w:t>o</w:t>
      </w:r>
      <w:r w:rsidRPr="00F81C3A">
        <w:t>C. Storage areas should be clearly marked with warning signs (FAO</w:t>
      </w:r>
      <w:r w:rsidR="00903D14" w:rsidRPr="00F81C3A">
        <w:t>,</w:t>
      </w:r>
      <w:r w:rsidRPr="00F81C3A">
        <w:t xml:space="preserve"> 1985; US EPA</w:t>
      </w:r>
      <w:r w:rsidR="00903D14" w:rsidRPr="00F81C3A">
        <w:t>,</w:t>
      </w:r>
      <w:r w:rsidRPr="00F81C3A">
        <w:t xml:space="preserve"> 1997; US D</w:t>
      </w:r>
      <w:r w:rsidR="00F700C3" w:rsidRPr="00F81C3A">
        <w:t>OE</w:t>
      </w:r>
      <w:r w:rsidR="00903D14" w:rsidRPr="00F81C3A">
        <w:t>,</w:t>
      </w:r>
      <w:r w:rsidRPr="00F81C3A">
        <w:t xml:space="preserve"> 2009).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Mercury storage should take place indoors whenever possible. </w:t>
      </w:r>
      <w:r w:rsidR="00AF6F2D" w:rsidRPr="00F81C3A">
        <w:t>When</w:t>
      </w:r>
      <w:r w:rsidRPr="00F81C3A">
        <w:t xml:space="preserve"> mercury </w:t>
      </w:r>
      <w:r w:rsidR="00AF6F2D" w:rsidRPr="00F81C3A">
        <w:t>is</w:t>
      </w:r>
      <w:r w:rsidRPr="00F81C3A">
        <w:t xml:space="preserve"> stored in enclosed outdoor facilities, particular care must be taken to ensure that there are protective measures to prevent releases of mercury </w:t>
      </w:r>
      <w:r w:rsidR="00AF6F2D" w:rsidRPr="00F81C3A">
        <w:t>into</w:t>
      </w:r>
      <w:r w:rsidRPr="00F81C3A">
        <w:t xml:space="preserve"> soil, groundwater or surface water. </w:t>
      </w:r>
      <w:r w:rsidR="00AF6F2D" w:rsidRPr="00F81C3A">
        <w:t>C</w:t>
      </w:r>
      <w:r w:rsidRPr="00F81C3A">
        <w:t xml:space="preserve">ontainers </w:t>
      </w:r>
      <w:r w:rsidR="00AF6F2D" w:rsidRPr="00F81C3A">
        <w:t xml:space="preserve">should be sealed </w:t>
      </w:r>
      <w:r w:rsidRPr="00F81C3A">
        <w:t>to prevent any escape of mercury vapour. Stored mercury should be protected from the elements to prevent damage to containers, and the integrity of stored containers</w:t>
      </w:r>
      <w:r w:rsidR="00AF6F2D" w:rsidRPr="00F81C3A">
        <w:t xml:space="preserve"> should be regularly checked</w:t>
      </w:r>
      <w:r w:rsidRPr="00F81C3A">
        <w:t xml:space="preserve">.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Storage facilities should be secured to avoid theft or unauthorized access.</w:t>
      </w:r>
    </w:p>
    <w:p w:rsidR="00700EED" w:rsidRPr="00F81C3A" w:rsidRDefault="00AD48F5" w:rsidP="00C5577C">
      <w:pPr>
        <w:pStyle w:val="CH2"/>
      </w:pPr>
      <w:r w:rsidRPr="00F81C3A">
        <w:tab/>
      </w:r>
      <w:bookmarkStart w:id="21" w:name="_Toc483401109"/>
      <w:r w:rsidR="009630A3" w:rsidRPr="00F81C3A">
        <w:t>D</w:t>
      </w:r>
      <w:r w:rsidRPr="00F81C3A">
        <w:t>.</w:t>
      </w:r>
      <w:r w:rsidRPr="00F81C3A">
        <w:tab/>
      </w:r>
      <w:r w:rsidR="00700EED" w:rsidRPr="00F81C3A">
        <w:t>Containers for the storage of mercury, including secondary containers</w:t>
      </w:r>
      <w:bookmarkEnd w:id="21"/>
    </w:p>
    <w:p w:rsidR="00700EED" w:rsidRPr="00F81C3A" w:rsidRDefault="00700EED" w:rsidP="00F700C3">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Mercury may be stored either as elemental mercury or as mercury compounds. Elemental (or metallic) mercury is a liquid at room temperature, while most mercury compounds are solids. </w:t>
      </w:r>
      <w:r w:rsidR="00721DE7" w:rsidRPr="00F81C3A">
        <w:t>S</w:t>
      </w:r>
      <w:r w:rsidRPr="00F81C3A">
        <w:t>olid and liquid storage</w:t>
      </w:r>
      <w:r w:rsidR="00721DE7" w:rsidRPr="00F81C3A">
        <w:t xml:space="preserve"> require different types of storage containers</w:t>
      </w:r>
      <w:r w:rsidRPr="00F81C3A">
        <w:t>. The risk of contamination of other materials should be avoided. Containers and packages holding mercury should not be placed together with containers holding other substances. Separate storage areas, even within the same storage facility, should be established. Containers and packages should be marked and stored in a dry and secure place, such as a warehouse or other space that is not usually frequented by people. Such areas should not share ventilation systems with work or public areas</w:t>
      </w:r>
      <w:r w:rsidR="00721DE7" w:rsidRPr="00F81C3A">
        <w:t>. They</w:t>
      </w:r>
      <w:r w:rsidRPr="00F81C3A">
        <w:t xml:space="preserve"> should have their own ventilation systems or be vented directly to the outdoors. Ideally, </w:t>
      </w:r>
      <w:r w:rsidR="00721DE7" w:rsidRPr="00F81C3A">
        <w:t xml:space="preserve">ventilation systems should include </w:t>
      </w:r>
      <w:r w:rsidRPr="00F81C3A">
        <w:t xml:space="preserve">pollution control devices to capture any mercury vapour or dust release. Guidance developed by </w:t>
      </w:r>
      <w:r w:rsidR="00684E35" w:rsidRPr="00F81C3A">
        <w:t>the United Nations Development Programme</w:t>
      </w:r>
      <w:r w:rsidRPr="00F81C3A">
        <w:t xml:space="preserve"> for mercury wastes generated by healthcare facilities provides detailed advice in this regard and may be applicable to many commercial facilities. </w:t>
      </w:r>
    </w:p>
    <w:p w:rsidR="00700EED" w:rsidRPr="00F81C3A" w:rsidRDefault="00700EED" w:rsidP="00C5577C">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Elemental mercury in bulk form should be carefully packaged in appropriate containers, such as those identified in the </w:t>
      </w:r>
      <w:r w:rsidRPr="00F81C3A">
        <w:rPr>
          <w:i/>
        </w:rPr>
        <w:t>U</w:t>
      </w:r>
      <w:r w:rsidR="00057EF8" w:rsidRPr="00F81C3A">
        <w:rPr>
          <w:i/>
        </w:rPr>
        <w:t xml:space="preserve">nited </w:t>
      </w:r>
      <w:r w:rsidRPr="00F81C3A">
        <w:rPr>
          <w:i/>
        </w:rPr>
        <w:t>N</w:t>
      </w:r>
      <w:r w:rsidR="00057EF8" w:rsidRPr="00F81C3A">
        <w:rPr>
          <w:i/>
        </w:rPr>
        <w:t>ations</w:t>
      </w:r>
      <w:r w:rsidRPr="00F81C3A">
        <w:rPr>
          <w:i/>
        </w:rPr>
        <w:t xml:space="preserve"> </w:t>
      </w:r>
      <w:r w:rsidR="00FB6540" w:rsidRPr="00F81C3A">
        <w:rPr>
          <w:i/>
        </w:rPr>
        <w:t xml:space="preserve">Recommendations on the </w:t>
      </w:r>
      <w:r w:rsidRPr="00F81C3A">
        <w:rPr>
          <w:i/>
        </w:rPr>
        <w:t>Transport of Dangerous Goods</w:t>
      </w:r>
      <w:r w:rsidR="00FB6540" w:rsidRPr="00F81C3A">
        <w:rPr>
          <w:i/>
        </w:rPr>
        <w:t>,</w:t>
      </w:r>
      <w:r w:rsidR="000C7F08" w:rsidRPr="00F81C3A">
        <w:rPr>
          <w:i/>
        </w:rPr>
        <w:t xml:space="preserve"> Model Regulations</w:t>
      </w:r>
      <w:r w:rsidRPr="00F81C3A">
        <w:rPr>
          <w:i/>
        </w:rPr>
        <w:t>.</w:t>
      </w:r>
      <w:r w:rsidR="000C66A5" w:rsidRPr="003F1FDE">
        <w:rPr>
          <w:i/>
        </w:rPr>
        <w:t xml:space="preserve"> </w:t>
      </w:r>
      <w:r w:rsidR="000C66A5" w:rsidRPr="003038EE">
        <w:t>(</w:t>
      </w:r>
      <w:r w:rsidR="000C66A5" w:rsidRPr="00F81C3A">
        <w:t>United Nations (2015</w:t>
      </w:r>
      <w:r w:rsidR="0070348A">
        <w:t>a</w:t>
      </w:r>
      <w:r w:rsidR="000C66A5" w:rsidRPr="00F81C3A">
        <w:t>).</w:t>
      </w:r>
      <w:r w:rsidRPr="00F81C3A">
        <w:t xml:space="preserve"> Containers for elemental mercury should be stored upright on pallets off the ground, with overpacking</w:t>
      </w:r>
      <w:r w:rsidR="00721DE7" w:rsidRPr="00F81C3A">
        <w:t xml:space="preserve"> (such as shrink wrapping of pallets)</w:t>
      </w:r>
      <w:r w:rsidRPr="00F81C3A">
        <w:t xml:space="preserve"> to provide protection </w:t>
      </w:r>
      <w:r w:rsidR="00721DE7" w:rsidRPr="00F81C3A">
        <w:t>during handling. A</w:t>
      </w:r>
      <w:r w:rsidR="002E27AE" w:rsidRPr="00F81C3A">
        <w:t>lternatively</w:t>
      </w:r>
      <w:r w:rsidR="00721DE7" w:rsidRPr="00F81C3A">
        <w:t>,</w:t>
      </w:r>
      <w:r w:rsidR="002E27AE" w:rsidRPr="00F81C3A">
        <w:t xml:space="preserve"> the </w:t>
      </w:r>
      <w:r w:rsidRPr="00F81C3A">
        <w:t xml:space="preserve">packages </w:t>
      </w:r>
      <w:r w:rsidR="00721DE7" w:rsidRPr="00F81C3A">
        <w:t>c</w:t>
      </w:r>
      <w:r w:rsidR="002E27AE" w:rsidRPr="00F81C3A">
        <w:t xml:space="preserve">ould be </w:t>
      </w:r>
      <w:r w:rsidRPr="00F81C3A">
        <w:t>placed in a protective outer packaging such as a box or crate. The use of wood or other porous materials for pallets</w:t>
      </w:r>
      <w:r w:rsidR="00AA54A5" w:rsidRPr="00F81C3A">
        <w:t xml:space="preserve"> </w:t>
      </w:r>
      <w:r w:rsidRPr="00F81C3A">
        <w:t>should be avoided as such materials are difficult to decontaminate after use. Liquid mercury in containers should be placed in containment trays or in a</w:t>
      </w:r>
      <w:r w:rsidR="00721DE7" w:rsidRPr="00F81C3A">
        <w:t xml:space="preserve"> leak-proof</w:t>
      </w:r>
      <w:r w:rsidRPr="00F81C3A">
        <w:t xml:space="preserve"> area of the storage facility where the edges of storage areas are curved to limit </w:t>
      </w:r>
      <w:r w:rsidR="002E27AE" w:rsidRPr="00F81C3A">
        <w:t xml:space="preserve">the </w:t>
      </w:r>
      <w:r w:rsidRPr="00F81C3A">
        <w:t xml:space="preserve">potential </w:t>
      </w:r>
      <w:r w:rsidRPr="002F41D8">
        <w:t>accumulation of mercury in any corners, and where spill</w:t>
      </w:r>
      <w:r w:rsidR="00721DE7" w:rsidRPr="002F41D8">
        <w:t>s can be</w:t>
      </w:r>
      <w:r w:rsidRPr="002F41D8">
        <w:t xml:space="preserve"> contain</w:t>
      </w:r>
      <w:r w:rsidR="00721DE7" w:rsidRPr="002F41D8">
        <w:t>ed</w:t>
      </w:r>
      <w:r w:rsidRPr="002F41D8">
        <w:t>. The liquid containment</w:t>
      </w:r>
      <w:r w:rsidRPr="00F81C3A">
        <w:t xml:space="preserve"> volume should be at least 125 per cent of the maximum liquid volume, taking into account the space taken up by items </w:t>
      </w:r>
      <w:r w:rsidR="00CC340A" w:rsidRPr="00F81C3A">
        <w:t xml:space="preserve">stored </w:t>
      </w:r>
      <w:r w:rsidRPr="00F81C3A">
        <w:t xml:space="preserve">in the containment area. Solid mercury compounds should be stored in sealed containers such as barrels or pails with well-fitting lids or </w:t>
      </w:r>
      <w:r w:rsidR="00CC340A" w:rsidRPr="00F81C3A">
        <w:t xml:space="preserve">in </w:t>
      </w:r>
      <w:r w:rsidRPr="00F81C3A">
        <w:t>specially constructed containers that do not release mercury vapour.</w:t>
      </w:r>
    </w:p>
    <w:p w:rsidR="00700EED" w:rsidRPr="00F81C3A" w:rsidRDefault="00700EED" w:rsidP="00C5577C">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Those who handle mercury should pay particular attention to the prevention of evaporation and spillage of mercury into the environment. Mercury should be placed in gas- and liquid-tight container</w:t>
      </w:r>
      <w:r w:rsidR="00721DE7" w:rsidRPr="00F81C3A">
        <w:t>s</w:t>
      </w:r>
      <w:r w:rsidRPr="00F81C3A">
        <w:t xml:space="preserve"> bear</w:t>
      </w:r>
      <w:r w:rsidR="00721DE7" w:rsidRPr="00F81C3A">
        <w:t>ing</w:t>
      </w:r>
      <w:r w:rsidRPr="00F81C3A">
        <w:t xml:space="preserve"> a distinctive mark indicating that they contain “toxic” mercury. The most appropriate containers </w:t>
      </w:r>
      <w:r w:rsidR="00CC340A" w:rsidRPr="00F81C3A">
        <w:t>for storing</w:t>
      </w:r>
      <w:r w:rsidRPr="00F81C3A">
        <w:t xml:space="preserve"> mercury are specially designed steel containers, as mercury amalgamates with many other metals, including zinc, copper and silver. Some plastics</w:t>
      </w:r>
      <w:r w:rsidR="00CC340A" w:rsidRPr="00F81C3A">
        <w:t xml:space="preserve">, </w:t>
      </w:r>
      <w:r w:rsidRPr="00F81C3A">
        <w:t xml:space="preserve">such as </w:t>
      </w:r>
      <w:r w:rsidR="00CC340A" w:rsidRPr="00F81C3A">
        <w:t>high</w:t>
      </w:r>
      <w:r w:rsidR="00F81C3A">
        <w:noBreakHyphen/>
      </w:r>
      <w:r w:rsidR="00CC340A" w:rsidRPr="00F81C3A">
        <w:t>density polyethylene</w:t>
      </w:r>
      <w:r w:rsidRPr="00F81C3A">
        <w:t xml:space="preserve"> are permeable to mercury vapours and should be avoided.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Containers of mercury or mercury compounds should be structurally sound and make possible the environmentally sound storing of such mercury. Seamless flasks and containers are recommended to eliminate the risk of breaches along the seams (QSC</w:t>
      </w:r>
      <w:r w:rsidR="002F41D8">
        <w:t>,</w:t>
      </w:r>
      <w:r w:rsidRPr="00F81C3A">
        <w:t xml:space="preserve"> 2003)</w:t>
      </w:r>
      <w:r w:rsidR="00CC340A" w:rsidRPr="00F81C3A">
        <w:t>.</w:t>
      </w:r>
      <w:r w:rsidRPr="00F81C3A">
        <w:t xml:space="preserve">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Two main types of internationally approved mercury storage and transport containers exist: 76-lb flasks and one</w:t>
      </w:r>
      <w:r w:rsidR="00721DE7" w:rsidRPr="00F81C3A">
        <w:t>-</w:t>
      </w:r>
      <w:r w:rsidRPr="00F81C3A">
        <w:t>metric</w:t>
      </w:r>
      <w:r w:rsidR="00721DE7" w:rsidRPr="00F81C3A">
        <w:t>-</w:t>
      </w:r>
      <w:r w:rsidRPr="00F81C3A">
        <w:t>ton containers</w:t>
      </w:r>
      <w:r w:rsidR="00CC340A" w:rsidRPr="00F81C3A">
        <w:t xml:space="preserve"> </w:t>
      </w:r>
      <w:r w:rsidRPr="00F81C3A">
        <w:t>(QSC</w:t>
      </w:r>
      <w:r w:rsidR="00986C26" w:rsidRPr="00F81C3A">
        <w:t>,</w:t>
      </w:r>
      <w:r w:rsidRPr="00F81C3A">
        <w:t xml:space="preserve"> 2003)</w:t>
      </w:r>
      <w:r w:rsidR="00CC340A" w:rsidRPr="00F81C3A">
        <w:t>.</w:t>
      </w:r>
      <w:r w:rsidRPr="00F81C3A">
        <w:t xml:space="preserve"> The design type of the container should pass the drop test and the leakproof tests as described in </w:t>
      </w:r>
      <w:r w:rsidR="00CC340A" w:rsidRPr="00F81C3A">
        <w:t>c</w:t>
      </w:r>
      <w:r w:rsidRPr="00F81C3A">
        <w:t xml:space="preserve">hapters 6.1.5.3 and 6.1.5.4 of the </w:t>
      </w:r>
      <w:r w:rsidRPr="00F81C3A">
        <w:rPr>
          <w:i/>
        </w:rPr>
        <w:t>U</w:t>
      </w:r>
      <w:r w:rsidR="00CC340A" w:rsidRPr="00F81C3A">
        <w:rPr>
          <w:i/>
        </w:rPr>
        <w:t xml:space="preserve">nited </w:t>
      </w:r>
      <w:r w:rsidRPr="00F81C3A">
        <w:rPr>
          <w:i/>
        </w:rPr>
        <w:t>N</w:t>
      </w:r>
      <w:r w:rsidR="00CC340A" w:rsidRPr="00F81C3A">
        <w:rPr>
          <w:i/>
        </w:rPr>
        <w:t>ations</w:t>
      </w:r>
      <w:r w:rsidRPr="00F81C3A">
        <w:rPr>
          <w:i/>
        </w:rPr>
        <w:t xml:space="preserve"> Recommendations on the Transport of Dangerous Goods, Manual of Tests and Criteria</w:t>
      </w:r>
      <w:r w:rsidRPr="00F81C3A">
        <w:t xml:space="preserve"> (EU</w:t>
      </w:r>
      <w:r w:rsidR="00CC340A" w:rsidRPr="00F81C3A">
        <w:t>,</w:t>
      </w:r>
      <w:r w:rsidRPr="00F81C3A">
        <w:t xml:space="preserve"> 2011)</w:t>
      </w:r>
      <w:r w:rsidR="00CC340A" w:rsidRPr="00F81C3A">
        <w:t>.</w:t>
      </w:r>
      <w:r w:rsidRPr="00F81C3A">
        <w:t xml:space="preserve"> For </w:t>
      </w:r>
      <w:r w:rsidR="00721DE7" w:rsidRPr="00F81C3A">
        <w:t xml:space="preserve">transporting </w:t>
      </w:r>
      <w:r w:rsidRPr="0084112B">
        <w:t>smaller quantities</w:t>
      </w:r>
      <w:r w:rsidR="00721DE7" w:rsidRPr="00F81C3A">
        <w:t xml:space="preserve"> of mercury</w:t>
      </w:r>
      <w:r w:rsidRPr="00F81C3A">
        <w:t>, other sizes (e.g., 1</w:t>
      </w:r>
      <w:r w:rsidR="00CC340A" w:rsidRPr="00F81C3A">
        <w:t>‒</w:t>
      </w:r>
      <w:r w:rsidRPr="00F81C3A">
        <w:t xml:space="preserve">16 </w:t>
      </w:r>
      <w:r w:rsidR="00CB6215" w:rsidRPr="00F81C3A">
        <w:t>lb</w:t>
      </w:r>
      <w:r w:rsidRPr="00F81C3A">
        <w:t>s) and types (e.g., polyethylene, glass) of containers are often used (QSC</w:t>
      </w:r>
      <w:r w:rsidR="00986C26" w:rsidRPr="00F81C3A">
        <w:t>,</w:t>
      </w:r>
      <w:r w:rsidRPr="00F81C3A">
        <w:t xml:space="preserve"> 2003)</w:t>
      </w:r>
      <w:r w:rsidR="00CC340A" w:rsidRPr="00F81C3A">
        <w:t>.</w:t>
      </w:r>
    </w:p>
    <w:p w:rsidR="00700EED" w:rsidRPr="00F81C3A" w:rsidRDefault="00897875"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When storing mercury in containers, it is important to leave some “head space”</w:t>
      </w:r>
      <w:r>
        <w:t xml:space="preserve">. The </w:t>
      </w:r>
      <w:r w:rsidRPr="003038EE">
        <w:t xml:space="preserve">maximum filling ratio by volume </w:t>
      </w:r>
      <w:r>
        <w:t xml:space="preserve">is 80 per cent </w:t>
      </w:r>
      <w:r w:rsidRPr="003038EE">
        <w:t xml:space="preserve">and the </w:t>
      </w:r>
      <w:r>
        <w:t>“</w:t>
      </w:r>
      <w:r w:rsidRPr="00897875">
        <w:t>head space</w:t>
      </w:r>
      <w:r>
        <w:t>”</w:t>
      </w:r>
      <w:r w:rsidRPr="003038EE">
        <w:t xml:space="preserve"> should therefore be at least 20</w:t>
      </w:r>
      <w:r w:rsidR="00BB11A0">
        <w:t xml:space="preserve"> per cent</w:t>
      </w:r>
      <w:r>
        <w:t xml:space="preserve"> </w:t>
      </w:r>
      <w:r w:rsidR="00700EED" w:rsidRPr="00F81C3A">
        <w:t>in each container to allow for thermal expansion of mercury (EU</w:t>
      </w:r>
      <w:r w:rsidR="00CC340A" w:rsidRPr="00F81C3A">
        <w:t>,</w:t>
      </w:r>
      <w:r w:rsidR="00700EED" w:rsidRPr="00F81C3A">
        <w:t xml:space="preserve"> 2011)</w:t>
      </w:r>
      <w:r w:rsidR="00CC340A" w:rsidRPr="00F81C3A">
        <w:t>.</w:t>
      </w:r>
      <w:r w:rsidR="00700EED" w:rsidRPr="00F81C3A">
        <w:t xml:space="preserve"> Containers should meet the following criteria: </w:t>
      </w:r>
    </w:p>
    <w:p w:rsidR="00700EED" w:rsidRPr="00F81C3A"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t>(</w:t>
      </w:r>
      <w:r w:rsidR="008727E5" w:rsidRPr="00F81C3A">
        <w:t>a</w:t>
      </w:r>
      <w:r w:rsidRPr="00F81C3A">
        <w:t xml:space="preserve">) </w:t>
      </w:r>
      <w:r w:rsidR="00CC340A" w:rsidRPr="00F81C3A">
        <w:tab/>
        <w:t>T</w:t>
      </w:r>
      <w:r w:rsidRPr="00F81C3A">
        <w:t xml:space="preserve">hey should not be damaged from any materials previously stored in them or have contained materials that could adversely react with mercury; </w:t>
      </w:r>
    </w:p>
    <w:p w:rsidR="00700EED" w:rsidRPr="00F81C3A"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t>(</w:t>
      </w:r>
      <w:r w:rsidR="008727E5" w:rsidRPr="00F81C3A">
        <w:t>b</w:t>
      </w:r>
      <w:r w:rsidRPr="00F81C3A">
        <w:t xml:space="preserve">) </w:t>
      </w:r>
      <w:r w:rsidR="00CC340A" w:rsidRPr="00F81C3A">
        <w:tab/>
        <w:t>T</w:t>
      </w:r>
      <w:r w:rsidRPr="00F81C3A">
        <w:t xml:space="preserve">heir structural integrity should be intact; </w:t>
      </w:r>
    </w:p>
    <w:p w:rsidR="00700EED" w:rsidRPr="00F81C3A"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t>(</w:t>
      </w:r>
      <w:r w:rsidR="008727E5" w:rsidRPr="00F81C3A">
        <w:t>c</w:t>
      </w:r>
      <w:r w:rsidRPr="00F81C3A">
        <w:t xml:space="preserve">) </w:t>
      </w:r>
      <w:r w:rsidR="00CC340A" w:rsidRPr="00F81C3A">
        <w:tab/>
        <w:t>T</w:t>
      </w:r>
      <w:r w:rsidRPr="00F81C3A">
        <w:t xml:space="preserve">hey should not be excessively corroded; </w:t>
      </w:r>
    </w:p>
    <w:p w:rsidR="00700EED" w:rsidRPr="00F81C3A"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t>(</w:t>
      </w:r>
      <w:r w:rsidR="008727E5" w:rsidRPr="00F81C3A">
        <w:t>d</w:t>
      </w:r>
      <w:r w:rsidRPr="00F81C3A">
        <w:t xml:space="preserve">) </w:t>
      </w:r>
      <w:r w:rsidR="00CC340A" w:rsidRPr="00F81C3A">
        <w:tab/>
        <w:t>T</w:t>
      </w:r>
      <w:r w:rsidRPr="00F81C3A">
        <w:t>hey should have a protective coating (paint) to prevent corrosion</w:t>
      </w:r>
      <w:r w:rsidR="00CC340A" w:rsidRPr="00F81C3A">
        <w:t>;</w:t>
      </w:r>
    </w:p>
    <w:p w:rsidR="00700EED" w:rsidRPr="00F81C3A"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t>(</w:t>
      </w:r>
      <w:r w:rsidR="008727E5" w:rsidRPr="00F81C3A">
        <w:t>e</w:t>
      </w:r>
      <w:r w:rsidRPr="00F81C3A">
        <w:t xml:space="preserve">)  </w:t>
      </w:r>
      <w:r w:rsidR="00CC340A" w:rsidRPr="00F81C3A">
        <w:tab/>
        <w:t>T</w:t>
      </w:r>
      <w:r w:rsidRPr="00F81C3A">
        <w:t>hey should be gas</w:t>
      </w:r>
      <w:r w:rsidR="00D63025" w:rsidRPr="00F81C3A">
        <w:t>-</w:t>
      </w:r>
      <w:r w:rsidRPr="00F81C3A">
        <w:t xml:space="preserve"> and liquid</w:t>
      </w:r>
      <w:r w:rsidR="00D63025" w:rsidRPr="00F81C3A">
        <w:t>-</w:t>
      </w:r>
      <w:r w:rsidRPr="00F81C3A">
        <w:t>tight.</w:t>
      </w:r>
    </w:p>
    <w:p w:rsidR="00700EED" w:rsidRPr="00F81C3A" w:rsidRDefault="00700EED" w:rsidP="00C5577C">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Appropriate materials for mercury containers include carbon (minimum </w:t>
      </w:r>
      <w:r w:rsidR="001F6740" w:rsidRPr="00F81C3A">
        <w:t>A</w:t>
      </w:r>
      <w:r w:rsidR="001F6740">
        <w:t>ST</w:t>
      </w:r>
      <w:r w:rsidR="001F6740" w:rsidRPr="00F81C3A">
        <w:t xml:space="preserve">M </w:t>
      </w:r>
      <w:r w:rsidRPr="00F81C3A">
        <w:t>A36) and stainless steel (AISI 304 or 316L), which do not react with mercury at ambient temperatures. No protective coating is needed for the inner surface of such containers as long as the mercury to be stored in them meets purity standards for storage as elemental mercury and no water is present inside the container. Protective coatings (e.g., epoxy paint or electroplating) should be applied to all exterior carbon steel surfaces in a manner that does not leave any steel exposed. Coatings should be applied in a manner that minimizes paint blistering, peeling and cracking. Labels including information on the names of the suppliers of the mercury, the origin of the mercury,</w:t>
      </w:r>
      <w:r w:rsidR="00C5577C" w:rsidRPr="00F81C3A">
        <w:t xml:space="preserve"> the level and purity of the mercury, </w:t>
      </w:r>
      <w:r w:rsidRPr="00F81C3A">
        <w:t xml:space="preserve">the container number, </w:t>
      </w:r>
      <w:r w:rsidR="00721DE7" w:rsidRPr="00F81C3A">
        <w:t xml:space="preserve">the </w:t>
      </w:r>
      <w:r w:rsidRPr="00F81C3A">
        <w:t xml:space="preserve">gross </w:t>
      </w:r>
      <w:r w:rsidR="00C5577C" w:rsidRPr="00F81C3A">
        <w:t xml:space="preserve">and net </w:t>
      </w:r>
      <w:r w:rsidRPr="00F81C3A">
        <w:t xml:space="preserve">weight, the date when the mercury </w:t>
      </w:r>
      <w:r w:rsidRPr="0070348A">
        <w:t>was injected</w:t>
      </w:r>
      <w:r w:rsidR="0070348A">
        <w:t xml:space="preserve"> </w:t>
      </w:r>
      <w:r w:rsidRPr="00F81C3A">
        <w:t>and a “corrosives” label indicating that the container contains corrosive materials should be affixed to each container (</w:t>
      </w:r>
      <w:r w:rsidR="00D63025" w:rsidRPr="00F81C3A">
        <w:t>US</w:t>
      </w:r>
      <w:r w:rsidRPr="00F81C3A">
        <w:t xml:space="preserve"> </w:t>
      </w:r>
      <w:r w:rsidR="00BB11A0">
        <w:t xml:space="preserve">DOE, </w:t>
      </w:r>
      <w:r w:rsidRPr="00F81C3A">
        <w:t xml:space="preserve">2009). In addition, the label should show that the container meets appropriate national </w:t>
      </w:r>
      <w:r w:rsidR="00721DE7" w:rsidRPr="00F81C3A">
        <w:t>and</w:t>
      </w:r>
      <w:r w:rsidRPr="00F81C3A">
        <w:t xml:space="preserve"> international technical standards regarding tightness, pressure stability, shock resistance</w:t>
      </w:r>
      <w:r w:rsidR="00D63025" w:rsidRPr="00F81C3A">
        <w:t xml:space="preserve"> and</w:t>
      </w:r>
      <w:r w:rsidRPr="00F81C3A">
        <w:t xml:space="preserve"> behaviour when exposed to heat, </w:t>
      </w:r>
      <w:r w:rsidR="00D63025" w:rsidRPr="00F81C3A">
        <w:t>among other things</w:t>
      </w:r>
      <w:r w:rsidRPr="00F81C3A">
        <w:t xml:space="preserve">.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When mercury or mercury compounds</w:t>
      </w:r>
      <w:r w:rsidR="00721DE7" w:rsidRPr="00F81C3A">
        <w:t xml:space="preserve"> are stored</w:t>
      </w:r>
      <w:r w:rsidRPr="00F81C3A">
        <w:t>, they should be as pure as possible in order to avoid chemical reactions and the degradation of containers. A mercury content greater than 99.9</w:t>
      </w:r>
      <w:r w:rsidR="004C6EA2">
        <w:t> </w:t>
      </w:r>
      <w:r w:rsidRPr="00F81C3A">
        <w:t xml:space="preserve">weight per cent is recommended. </w:t>
      </w:r>
      <w:r w:rsidR="00721DE7" w:rsidRPr="00F81C3A">
        <w:t>For</w:t>
      </w:r>
      <w:r w:rsidRPr="00F81C3A">
        <w:t xml:space="preserve"> lower purity level</w:t>
      </w:r>
      <w:r w:rsidR="00721DE7" w:rsidRPr="00F81C3A">
        <w:t>s</w:t>
      </w:r>
      <w:r w:rsidRPr="00F81C3A">
        <w:t xml:space="preserve"> (95–99.9 weight per cent</w:t>
      </w:r>
      <w:r w:rsidR="00D63025" w:rsidRPr="00F81C3A">
        <w:t>)</w:t>
      </w:r>
      <w:r w:rsidRPr="00F81C3A">
        <w:t xml:space="preserve">, </w:t>
      </w:r>
      <w:r w:rsidR="00D63025" w:rsidRPr="00F81C3A">
        <w:t xml:space="preserve">it may be necessary to </w:t>
      </w:r>
      <w:r w:rsidRPr="00F81C3A">
        <w:t>monitor the condition of containers to detect any degradation</w:t>
      </w:r>
      <w:r w:rsidR="00D63025" w:rsidRPr="00F81C3A">
        <w:t xml:space="preserve"> over time</w:t>
      </w:r>
      <w:r w:rsidRPr="00F81C3A">
        <w:t>. Consideration should be given to the period of storage of mercury contain</w:t>
      </w:r>
      <w:r w:rsidR="00D63025" w:rsidRPr="00F81C3A">
        <w:t>ing</w:t>
      </w:r>
      <w:r w:rsidRPr="00F81C3A">
        <w:t xml:space="preserve"> contaminants</w:t>
      </w:r>
      <w:r w:rsidR="00191F1D" w:rsidRPr="00F81C3A">
        <w:t>,</w:t>
      </w:r>
      <w:r w:rsidRPr="00F81C3A">
        <w:t xml:space="preserve"> as prolonged periods of storage may affect the storage containers. </w:t>
      </w:r>
    </w:p>
    <w:p w:rsidR="00700EED" w:rsidRPr="00F81C3A" w:rsidRDefault="00AD48F5" w:rsidP="00C5577C">
      <w:pPr>
        <w:pStyle w:val="CH2"/>
      </w:pPr>
      <w:r w:rsidRPr="00F81C3A">
        <w:tab/>
      </w:r>
      <w:bookmarkStart w:id="22" w:name="_Toc483401110"/>
      <w:r w:rsidR="009630A3" w:rsidRPr="00F81C3A">
        <w:t>E</w:t>
      </w:r>
      <w:r w:rsidRPr="00F81C3A">
        <w:t>.</w:t>
      </w:r>
      <w:r w:rsidRPr="00F81C3A">
        <w:tab/>
      </w:r>
      <w:r w:rsidR="00700EED" w:rsidRPr="00F81C3A">
        <w:t>Transport</w:t>
      </w:r>
      <w:bookmarkEnd w:id="22"/>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Mercury being transported to the point of use should be properly packaged and labelled. Packaging and labelling for transport </w:t>
      </w:r>
      <w:r w:rsidR="00E43833" w:rsidRPr="00F81C3A">
        <w:t>are</w:t>
      </w:r>
      <w:r w:rsidRPr="00F81C3A">
        <w:t xml:space="preserve"> often controlled by national hazardous substances or dangerous goods transportation legislation, which should be consulted first (see </w:t>
      </w:r>
      <w:r w:rsidR="00330890" w:rsidRPr="00F81C3A">
        <w:t>part V below,</w:t>
      </w:r>
      <w:r w:rsidRPr="00F81C3A">
        <w:t xml:space="preserve"> “Guidance on collection, handling, </w:t>
      </w:r>
      <w:r w:rsidR="004C6EA2" w:rsidRPr="00F81C3A">
        <w:t>packag</w:t>
      </w:r>
      <w:r w:rsidR="004C6EA2">
        <w:t>ing</w:t>
      </w:r>
      <w:r w:rsidR="004C6EA2" w:rsidRPr="00F81C3A">
        <w:t xml:space="preserve"> </w:t>
      </w:r>
      <w:r w:rsidRPr="00F81C3A">
        <w:t xml:space="preserve">and transport”). If such legislation is lacking or does not provide sufficient guidance, reference materials published by national </w:t>
      </w:r>
      <w:r w:rsidR="00D63025" w:rsidRPr="00F81C3A">
        <w:t>G</w:t>
      </w:r>
      <w:r w:rsidRPr="00F81C3A">
        <w:t>overnments</w:t>
      </w:r>
      <w:r w:rsidR="00D63025" w:rsidRPr="00F81C3A">
        <w:t>,</w:t>
      </w:r>
      <w:r w:rsidRPr="00F81C3A">
        <w:t xml:space="preserve"> the International Civil Aviation Organization, the International Maritime Organization and the Economic Commission for Europe should be consulted. International standards for the proper labelling and identification of chemical substances and mixtures have been developed, including the following reference materials:</w:t>
      </w:r>
    </w:p>
    <w:p w:rsidR="00700EED" w:rsidRPr="00F81C3A" w:rsidRDefault="008727E5"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(a)</w:t>
      </w:r>
      <w:r w:rsidR="00700EED" w:rsidRPr="00F81C3A">
        <w:tab/>
        <w:t xml:space="preserve">United Nations </w:t>
      </w:r>
      <w:r w:rsidR="00A76811" w:rsidRPr="00F81C3A">
        <w:t>(</w:t>
      </w:r>
      <w:r w:rsidR="00700EED" w:rsidRPr="00F81C3A">
        <w:t>2015</w:t>
      </w:r>
      <w:r w:rsidR="00A76811" w:rsidRPr="00F81C3A">
        <w:t>),</w:t>
      </w:r>
      <w:r w:rsidR="00700EED" w:rsidRPr="00F81C3A">
        <w:t xml:space="preserve"> </w:t>
      </w:r>
      <w:r w:rsidR="00700EED" w:rsidRPr="00F81C3A">
        <w:rPr>
          <w:i/>
        </w:rPr>
        <w:t xml:space="preserve">Globally </w:t>
      </w:r>
      <w:r w:rsidR="00700EED" w:rsidRPr="0084112B">
        <w:rPr>
          <w:i/>
        </w:rPr>
        <w:t>Harmonized System</w:t>
      </w:r>
      <w:r w:rsidR="00700EED" w:rsidRPr="00F81C3A">
        <w:rPr>
          <w:i/>
        </w:rPr>
        <w:t xml:space="preserve"> of Classification and Labelling of Chemicals</w:t>
      </w:r>
      <w:r w:rsidR="00700EED" w:rsidRPr="00F81C3A">
        <w:t xml:space="preserve">, </w:t>
      </w:r>
      <w:r w:rsidRPr="00F81C3A">
        <w:t xml:space="preserve">sixth </w:t>
      </w:r>
      <w:r w:rsidR="00700EED" w:rsidRPr="00F81C3A">
        <w:t xml:space="preserve">revised edition (revised and improved every two years); </w:t>
      </w:r>
    </w:p>
    <w:p w:rsidR="00700EED" w:rsidRPr="00F81C3A" w:rsidRDefault="008727E5"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(b)</w:t>
      </w:r>
      <w:r w:rsidR="00700EED" w:rsidRPr="00F81C3A">
        <w:tab/>
      </w:r>
      <w:r w:rsidR="007322BD" w:rsidRPr="00F81C3A">
        <w:t>Organization for Economic Cooperation and Development</w:t>
      </w:r>
      <w:r w:rsidR="00700EED" w:rsidRPr="00F81C3A">
        <w:t xml:space="preserve"> </w:t>
      </w:r>
      <w:r w:rsidR="007322BD" w:rsidRPr="00F81C3A">
        <w:t>(</w:t>
      </w:r>
      <w:r w:rsidR="00700EED" w:rsidRPr="00F81C3A">
        <w:t>2001</w:t>
      </w:r>
      <w:r w:rsidR="007322BD" w:rsidRPr="00F81C3A">
        <w:t>),</w:t>
      </w:r>
      <w:r w:rsidR="00700EED" w:rsidRPr="00F81C3A">
        <w:t xml:space="preserve"> </w:t>
      </w:r>
      <w:r w:rsidR="00700EED" w:rsidRPr="00F81C3A">
        <w:rPr>
          <w:i/>
        </w:rPr>
        <w:t>Harmonised Integrated Classification System for Human Health and Environmental Hazards of Chemical Substances and Mixtures</w:t>
      </w:r>
      <w:r w:rsidR="00700EED" w:rsidRPr="00F81C3A">
        <w:t xml:space="preserve">.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Detailed transport requirements </w:t>
      </w:r>
      <w:r w:rsidR="00E43833" w:rsidRPr="00790FA2">
        <w:t>are</w:t>
      </w:r>
      <w:r w:rsidRPr="00790FA2">
        <w:t xml:space="preserve"> </w:t>
      </w:r>
      <w:r w:rsidR="00790FA2">
        <w:t>not</w:t>
      </w:r>
      <w:r w:rsidR="00790FA2" w:rsidRPr="00F81C3A">
        <w:t xml:space="preserve"> </w:t>
      </w:r>
      <w:r w:rsidRPr="00F81C3A">
        <w:t xml:space="preserve">included in this guidance at this stage, as it is considered more appropriate for the relevant primary source to be consulted for </w:t>
      </w:r>
      <w:r w:rsidR="009E227E" w:rsidRPr="00F81C3A">
        <w:t>such</w:t>
      </w:r>
      <w:r w:rsidRPr="00F81C3A">
        <w:t xml:space="preserve"> information.</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For labelling and packaging other than in transportation, the </w:t>
      </w:r>
      <w:r w:rsidRPr="00F81C3A">
        <w:rPr>
          <w:i/>
        </w:rPr>
        <w:t>Globally Harmonized System of Classification and Labelling of Chemicals</w:t>
      </w:r>
      <w:r w:rsidRPr="00F81C3A">
        <w:t xml:space="preserve"> should be taken into account, as appropriate.</w:t>
      </w:r>
    </w:p>
    <w:p w:rsidR="00700EED" w:rsidRPr="00F81C3A"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i/>
          <w:iCs/>
        </w:rPr>
      </w:pPr>
      <w:r w:rsidRPr="00F81C3A">
        <w:tab/>
      </w:r>
      <w:r w:rsidRPr="00F81C3A">
        <w:rPr>
          <w:i/>
          <w:iCs/>
        </w:rPr>
        <w:t>NOTE – appropriate images from the GHS may be inserted in the document here, or may be provided as a link to images online.</w:t>
      </w:r>
    </w:p>
    <w:p w:rsidR="00700EED" w:rsidRPr="00F81C3A" w:rsidRDefault="00AD48F5" w:rsidP="00B779BB">
      <w:pPr>
        <w:pStyle w:val="CH2"/>
      </w:pPr>
      <w:r w:rsidRPr="00F81C3A">
        <w:tab/>
      </w:r>
      <w:bookmarkStart w:id="23" w:name="_Toc483401111"/>
      <w:r w:rsidR="009630A3" w:rsidRPr="00F81C3A">
        <w:t>F</w:t>
      </w:r>
      <w:r w:rsidRPr="00F81C3A">
        <w:t>.</w:t>
      </w:r>
      <w:r w:rsidRPr="00F81C3A">
        <w:tab/>
      </w:r>
      <w:r w:rsidR="00700EED" w:rsidRPr="00F81C3A">
        <w:t>Logging and tracking of mercury movements</w:t>
      </w:r>
      <w:bookmarkEnd w:id="23"/>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An inventory of the mercury or mercury compounds kept at a storage site should be created and updated as mercury is added to the facility, used</w:t>
      </w:r>
      <w:r w:rsidR="00E42E22" w:rsidRPr="00F81C3A">
        <w:t>,</w:t>
      </w:r>
      <w:r w:rsidRPr="00F81C3A">
        <w:t xml:space="preserve"> removed from the facility, or disposed of in accordance with </w:t>
      </w:r>
      <w:r w:rsidR="009E310F" w:rsidRPr="00F81C3A">
        <w:t>a</w:t>
      </w:r>
      <w:r w:rsidRPr="00F81C3A">
        <w:t xml:space="preserve">rticle 11 of the Convention. </w:t>
      </w:r>
      <w:r w:rsidR="009E310F" w:rsidRPr="00F81C3A">
        <w:t xml:space="preserve">The </w:t>
      </w:r>
      <w:r w:rsidRPr="00F81C3A">
        <w:t xml:space="preserve">inventory sheet should be </w:t>
      </w:r>
      <w:r w:rsidR="009E310F" w:rsidRPr="00F81C3A">
        <w:t xml:space="preserve">checked </w:t>
      </w:r>
      <w:r w:rsidRPr="00F81C3A">
        <w:t xml:space="preserve">periodically against the containers </w:t>
      </w:r>
      <w:r w:rsidR="00E42E22" w:rsidRPr="00F81C3A">
        <w:t>stored</w:t>
      </w:r>
      <w:r w:rsidRPr="00F81C3A">
        <w:t xml:space="preserve"> at the facility to ensure its ongoing accuracy. Shipments of mercury or mercury compounds should be recorded, with consideration given to the requirements of </w:t>
      </w:r>
      <w:r w:rsidR="009E310F" w:rsidRPr="00F81C3A">
        <w:t>a</w:t>
      </w:r>
      <w:r w:rsidRPr="00F81C3A">
        <w:t xml:space="preserve">rticle 3 of the Convention that pertain to the import and export of mercury from the country. </w:t>
      </w:r>
      <w:r w:rsidR="009E310F" w:rsidRPr="00F81C3A">
        <w:t>The m</w:t>
      </w:r>
      <w:r w:rsidRPr="00F81C3A">
        <w:t xml:space="preserve">aintenance of tracking records is useful </w:t>
      </w:r>
      <w:r w:rsidR="00E42E22" w:rsidRPr="00F81C3A">
        <w:t>for</w:t>
      </w:r>
      <w:r w:rsidR="009E310F" w:rsidRPr="00F81C3A">
        <w:t xml:space="preserve"> </w:t>
      </w:r>
      <w:r w:rsidRPr="00F81C3A">
        <w:t xml:space="preserve">auditing of facilities, and </w:t>
      </w:r>
      <w:r w:rsidR="00E42E22" w:rsidRPr="00F81C3A">
        <w:t>for</w:t>
      </w:r>
      <w:r w:rsidRPr="00F81C3A">
        <w:t xml:space="preserve"> reporting under </w:t>
      </w:r>
      <w:r w:rsidR="009E310F" w:rsidRPr="00F81C3A">
        <w:t>a</w:t>
      </w:r>
      <w:r w:rsidRPr="00F81C3A">
        <w:t xml:space="preserve">rticle 3 in relation to stocks of mercury greater than 50 metric tons. </w:t>
      </w:r>
      <w:r w:rsidR="009E310F" w:rsidRPr="00F81C3A">
        <w:t>A</w:t>
      </w:r>
      <w:r w:rsidRPr="00F81C3A">
        <w:t xml:space="preserve">nnual or periodic reporting </w:t>
      </w:r>
      <w:r w:rsidR="00B779BB" w:rsidRPr="00F81C3A">
        <w:t xml:space="preserve">of the quantities of mercury stored or used </w:t>
      </w:r>
      <w:r w:rsidRPr="00F81C3A">
        <w:t xml:space="preserve">may also be considered to obtain the data needed for </w:t>
      </w:r>
      <w:r w:rsidRPr="00C9409F">
        <w:t xml:space="preserve">reporting </w:t>
      </w:r>
      <w:r w:rsidR="00C9409F">
        <w:t>under</w:t>
      </w:r>
      <w:r w:rsidR="00C9409F" w:rsidRPr="00C9409F">
        <w:t xml:space="preserve"> </w:t>
      </w:r>
      <w:r w:rsidRPr="00C9409F">
        <w:t>article</w:t>
      </w:r>
      <w:r w:rsidRPr="00F81C3A">
        <w:t xml:space="preserve"> 3. Guidance on the determination of such stocks is available on the </w:t>
      </w:r>
      <w:r w:rsidR="00E42E22" w:rsidRPr="00F81C3A">
        <w:t>Convention</w:t>
      </w:r>
      <w:r w:rsidRPr="00F81C3A">
        <w:t xml:space="preserve"> website (www.mercuryconvention.org)</w:t>
      </w:r>
      <w:r w:rsidR="009E310F" w:rsidRPr="00F81C3A">
        <w:t>.</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Regular inspection of storage areas should be undertaken, focusing </w:t>
      </w:r>
      <w:r w:rsidR="00C9409F">
        <w:t xml:space="preserve">especially </w:t>
      </w:r>
      <w:r w:rsidRPr="00F81C3A">
        <w:t>on damage, spills and deterioration. Clean-up and decontamination should be carried out speedily, but not without alerting the authorities concerned (FAO</w:t>
      </w:r>
      <w:r w:rsidR="009E310F" w:rsidRPr="00F81C3A">
        <w:t xml:space="preserve">, </w:t>
      </w:r>
      <w:r w:rsidRPr="00F81C3A">
        <w:t>1985; US EPA</w:t>
      </w:r>
      <w:r w:rsidR="009E310F" w:rsidRPr="00F81C3A">
        <w:t xml:space="preserve">, </w:t>
      </w:r>
      <w:r w:rsidRPr="00F81C3A">
        <w:t>1997).</w:t>
      </w:r>
    </w:p>
    <w:p w:rsidR="00700EED" w:rsidRPr="00F81C3A" w:rsidRDefault="00AD48F5" w:rsidP="00B779BB">
      <w:pPr>
        <w:pStyle w:val="CH2"/>
      </w:pPr>
      <w:r w:rsidRPr="00F81C3A">
        <w:tab/>
      </w:r>
      <w:bookmarkStart w:id="24" w:name="_Toc483401112"/>
      <w:r w:rsidR="009630A3" w:rsidRPr="00F81C3A">
        <w:t>G</w:t>
      </w:r>
      <w:r w:rsidRPr="00F81C3A">
        <w:t>.</w:t>
      </w:r>
      <w:r w:rsidRPr="00F81C3A">
        <w:tab/>
      </w:r>
      <w:r w:rsidR="00700EED" w:rsidRPr="00F81C3A">
        <w:t>Education and training of staff</w:t>
      </w:r>
      <w:bookmarkEnd w:id="24"/>
    </w:p>
    <w:p w:rsidR="00700EED" w:rsidRPr="00F81C3A" w:rsidRDefault="00700EED" w:rsidP="003F1FDE">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Personnel engaged in the handling or storage of mercury or mercury compounds should have appropriate and adequate training. Personnel who are not handling the mercury in the storage area but could be exposed by an accidental release should also understand the risks and hazards of mercury and be familiar with a facility’s emergency response plans</w:t>
      </w:r>
      <w:r w:rsidR="009903CA" w:rsidRPr="00F81C3A">
        <w:t xml:space="preserve"> </w:t>
      </w:r>
      <w:r w:rsidRPr="00F81C3A">
        <w:t>(QSC</w:t>
      </w:r>
      <w:r w:rsidR="001F1B48">
        <w:t>,</w:t>
      </w:r>
      <w:r w:rsidRPr="00F81C3A">
        <w:t xml:space="preserve"> 2003)</w:t>
      </w:r>
      <w:r w:rsidR="009903CA" w:rsidRPr="00F81C3A">
        <w:t>.</w:t>
      </w:r>
      <w:r w:rsidRPr="00F81C3A">
        <w:t xml:space="preserve"> Access to the storage area should be restricted to those with adequate training, including in </w:t>
      </w:r>
      <w:r w:rsidR="009903CA" w:rsidRPr="00F81C3A">
        <w:t xml:space="preserve">the </w:t>
      </w:r>
      <w:r w:rsidRPr="00F81C3A">
        <w:t>recognition of mercury-specific hazards and</w:t>
      </w:r>
      <w:r w:rsidR="00B779BB" w:rsidRPr="00F81C3A">
        <w:t xml:space="preserve"> in the</w:t>
      </w:r>
      <w:r w:rsidR="00AA54A5" w:rsidRPr="00F81C3A">
        <w:t xml:space="preserve"> </w:t>
      </w:r>
      <w:r w:rsidRPr="00F81C3A">
        <w:t>handling</w:t>
      </w:r>
      <w:r w:rsidR="00B779BB" w:rsidRPr="00F81C3A">
        <w:t xml:space="preserve"> of mercury</w:t>
      </w:r>
      <w:r w:rsidRPr="00F81C3A">
        <w:t xml:space="preserve">. </w:t>
      </w:r>
    </w:p>
    <w:p w:rsidR="00700EED" w:rsidRPr="00F81C3A" w:rsidRDefault="00700EED" w:rsidP="00B779B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Employee training in </w:t>
      </w:r>
      <w:r w:rsidR="009903CA" w:rsidRPr="00F81C3A">
        <w:t xml:space="preserve">environmentally sound management </w:t>
      </w:r>
      <w:r w:rsidRPr="00F81C3A">
        <w:t xml:space="preserve">and workplace health and safety should be provided to, among other things, ensure </w:t>
      </w:r>
      <w:r w:rsidR="00E42E22" w:rsidRPr="00F81C3A">
        <w:t xml:space="preserve">that </w:t>
      </w:r>
      <w:r w:rsidRPr="00F81C3A">
        <w:t>employee</w:t>
      </w:r>
      <w:r w:rsidR="00E42E22" w:rsidRPr="00F81C3A">
        <w:t>s are protected against</w:t>
      </w:r>
      <w:r w:rsidRPr="00F81C3A">
        <w:t xml:space="preserve"> mercury release</w:t>
      </w:r>
      <w:r w:rsidR="009903CA" w:rsidRPr="00F81C3A">
        <w:t>s</w:t>
      </w:r>
      <w:r w:rsidRPr="00F81C3A">
        <w:t xml:space="preserve"> within the facility, exposure and accidental injury.</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The basic knowledge that employees need to have includes:</w:t>
      </w:r>
    </w:p>
    <w:p w:rsidR="00700EED" w:rsidRPr="00F81C3A"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(a)</w:t>
      </w:r>
      <w:r w:rsidR="00700EED" w:rsidRPr="00F81C3A">
        <w:tab/>
        <w:t>The chemical properties and adverse effects of mercury;</w:t>
      </w:r>
    </w:p>
    <w:p w:rsidR="00700EED" w:rsidRPr="00F81C3A"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(b)</w:t>
      </w:r>
      <w:r w:rsidR="00700EED" w:rsidRPr="00F81C3A">
        <w:tab/>
        <w:t xml:space="preserve">How to identify mercury and segregate </w:t>
      </w:r>
      <w:r w:rsidR="00E42E22" w:rsidRPr="00F81C3A">
        <w:t>it</w:t>
      </w:r>
      <w:r w:rsidR="00700EED" w:rsidRPr="00F81C3A">
        <w:t xml:space="preserve"> from other hazardous substances;</w:t>
      </w:r>
    </w:p>
    <w:p w:rsidR="00700EED" w:rsidRPr="00F81C3A"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(c)</w:t>
      </w:r>
      <w:r w:rsidR="00700EED" w:rsidRPr="00F81C3A">
        <w:tab/>
        <w:t>Occupational safety standards relevant to mercury and how to safeguard their health against mercury exposure;</w:t>
      </w:r>
    </w:p>
    <w:p w:rsidR="00700EED" w:rsidRPr="00F81C3A"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(d)</w:t>
      </w:r>
      <w:r w:rsidR="00700EED" w:rsidRPr="00F81C3A">
        <w:tab/>
        <w:t>How to use personal protective equipment, such as body coverings, eye and face protectors, gloves and respiratory protectors;</w:t>
      </w:r>
    </w:p>
    <w:p w:rsidR="00700EED" w:rsidRPr="00F81C3A"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(e)</w:t>
      </w:r>
      <w:r w:rsidR="00700EED" w:rsidRPr="00F81C3A">
        <w:tab/>
        <w:t>Labelling and storage standards considered appropriate for the facility or facilities, container compatibility and dating requirements, and closed-container requirements;</w:t>
      </w:r>
    </w:p>
    <w:p w:rsidR="00700EED" w:rsidRPr="00F81C3A"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(f)</w:t>
      </w:r>
      <w:r w:rsidR="00700EED" w:rsidRPr="00F81C3A">
        <w:tab/>
        <w:t xml:space="preserve">How to safely handle mercury using the equipment available at the facility </w:t>
      </w:r>
      <w:r w:rsidR="00E42E22" w:rsidRPr="00F81C3A">
        <w:t>at</w:t>
      </w:r>
      <w:r w:rsidR="00700EED" w:rsidRPr="00F81C3A">
        <w:t xml:space="preserve"> which they work;</w:t>
      </w:r>
    </w:p>
    <w:p w:rsidR="00700EED" w:rsidRPr="00F81C3A"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(g)</w:t>
      </w:r>
      <w:r w:rsidR="00700EED" w:rsidRPr="00F81C3A">
        <w:tab/>
        <w:t xml:space="preserve">How to use engineering controls to minimize exposure; </w:t>
      </w:r>
    </w:p>
    <w:p w:rsidR="00700EED" w:rsidRPr="00F81C3A"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(h)</w:t>
      </w:r>
      <w:r w:rsidR="00700EED" w:rsidRPr="00F81C3A">
        <w:tab/>
        <w:t xml:space="preserve">How to respond if mercury is accidentally spilled; </w:t>
      </w:r>
    </w:p>
    <w:p w:rsidR="00700EED" w:rsidRPr="00F81C3A"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(i)</w:t>
      </w:r>
      <w:r w:rsidR="00700EED" w:rsidRPr="00F81C3A">
        <w:tab/>
        <w:t>How to use mercury vapo</w:t>
      </w:r>
      <w:r w:rsidR="00C07999" w:rsidRPr="00F81C3A">
        <w:t>u</w:t>
      </w:r>
      <w:r w:rsidR="00700EED" w:rsidRPr="00F81C3A">
        <w:t>r monitoring devices</w:t>
      </w:r>
      <w:r w:rsidR="00086E57" w:rsidRPr="00F81C3A">
        <w:t xml:space="preserve"> to identify possible sources of elevated mercury levels in the facility and</w:t>
      </w:r>
      <w:r w:rsidR="00700EED" w:rsidRPr="00F81C3A">
        <w:t xml:space="preserve"> to provide workers with </w:t>
      </w:r>
      <w:r w:rsidR="00C07999" w:rsidRPr="00F81C3A">
        <w:t xml:space="preserve">the </w:t>
      </w:r>
      <w:r w:rsidR="00700EED" w:rsidRPr="00F81C3A">
        <w:t>information</w:t>
      </w:r>
      <w:r w:rsidR="00C07999" w:rsidRPr="00F81C3A">
        <w:t xml:space="preserve"> they require</w:t>
      </w:r>
      <w:r w:rsidR="00700EED" w:rsidRPr="00F81C3A">
        <w:t xml:space="preserve"> to ensure safety (e.g., when respiratory protection may be warranted).</w:t>
      </w:r>
    </w:p>
    <w:p w:rsidR="00700EED" w:rsidRPr="00F81C3A" w:rsidRDefault="00700EED" w:rsidP="00B779B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It is important to have worker insurance and employer liability insurance</w:t>
      </w:r>
      <w:r w:rsidR="00AA54A5" w:rsidRPr="00F81C3A">
        <w:t xml:space="preserve"> </w:t>
      </w:r>
      <w:r w:rsidRPr="00F81C3A">
        <w:t>as appropriate under national law.</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A mercury awareness-raising package developed by UNEP (UNEP, 2008)</w:t>
      </w:r>
      <w:r w:rsidRPr="003F1FDE">
        <w:rPr>
          <w:b/>
        </w:rPr>
        <w:t xml:space="preserve"> </w:t>
      </w:r>
      <w:r w:rsidRPr="00F81C3A">
        <w:t>is recommended for use in employee training. All training materials should be translated into local languages and made accessible to employees.</w:t>
      </w:r>
    </w:p>
    <w:p w:rsidR="00700EED" w:rsidRPr="00F81C3A" w:rsidRDefault="00AD48F5" w:rsidP="00B779BB">
      <w:pPr>
        <w:pStyle w:val="CH2"/>
      </w:pPr>
      <w:r w:rsidRPr="00F81C3A">
        <w:tab/>
      </w:r>
      <w:bookmarkStart w:id="25" w:name="_Toc483401113"/>
      <w:r w:rsidR="009630A3" w:rsidRPr="00F81C3A">
        <w:t>H</w:t>
      </w:r>
      <w:r w:rsidRPr="00F81C3A">
        <w:t>.</w:t>
      </w:r>
      <w:r w:rsidRPr="00F81C3A">
        <w:tab/>
      </w:r>
      <w:r w:rsidR="00700EED" w:rsidRPr="00F81C3A">
        <w:t>Timetables for repair, testing and maintenance</w:t>
      </w:r>
      <w:bookmarkEnd w:id="25"/>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Regular inspections should </w:t>
      </w:r>
      <w:r w:rsidRPr="001F53D6">
        <w:t>be undertaken</w:t>
      </w:r>
      <w:r w:rsidRPr="00F81C3A">
        <w:t xml:space="preserve"> to ensure the facility, including all equipment, is in good condition. </w:t>
      </w:r>
      <w:r w:rsidR="00C07999" w:rsidRPr="00F81C3A">
        <w:t xml:space="preserve">Such inspections </w:t>
      </w:r>
      <w:r w:rsidRPr="00F81C3A">
        <w:t xml:space="preserve">should include </w:t>
      </w:r>
      <w:r w:rsidR="00C07999" w:rsidRPr="00F81C3A">
        <w:t xml:space="preserve">examination </w:t>
      </w:r>
      <w:r w:rsidRPr="00F81C3A">
        <w:t xml:space="preserve">of the containers, spill collection areas, floors and walls to ensure there are no mercury releases and the equipment </w:t>
      </w:r>
      <w:r w:rsidR="00C07999" w:rsidRPr="00F81C3A">
        <w:t xml:space="preserve">and </w:t>
      </w:r>
      <w:r w:rsidRPr="00F81C3A">
        <w:t>any coatings are intact.</w:t>
      </w:r>
      <w:r w:rsidR="001273A3" w:rsidRPr="00F81C3A">
        <w:t xml:space="preserve"> </w:t>
      </w:r>
      <w:r w:rsidRPr="00F81C3A">
        <w:t>Periodic indoor air monitoring may be considered to check for leaks and protect workers onsite. To detect leaks and protect workers on</w:t>
      </w:r>
      <w:r w:rsidR="00913076" w:rsidRPr="00F81C3A">
        <w:t>-</w:t>
      </w:r>
      <w:r w:rsidRPr="00F81C3A">
        <w:t>site, a continuous indoor air monitoring system may be used, with sensors positioned at ground and head level</w:t>
      </w:r>
      <w:r w:rsidR="00913076" w:rsidRPr="00F81C3A">
        <w:t>s</w:t>
      </w:r>
      <w:r w:rsidRPr="00F81C3A">
        <w:t xml:space="preserve">, </w:t>
      </w:r>
      <w:r w:rsidR="00913076" w:rsidRPr="00F81C3A">
        <w:t>and</w:t>
      </w:r>
      <w:r w:rsidRPr="00F81C3A">
        <w:t xml:space="preserve"> visual and acoustic alarm systems. Whe</w:t>
      </w:r>
      <w:r w:rsidR="007F2793" w:rsidRPr="00F81C3A">
        <w:t>n</w:t>
      </w:r>
      <w:r w:rsidRPr="00F81C3A">
        <w:t xml:space="preserve"> leaks are detected, the operator sh</w:t>
      </w:r>
      <w:r w:rsidR="007F2793" w:rsidRPr="00F81C3A">
        <w:t>ould</w:t>
      </w:r>
      <w:r w:rsidRPr="00F81C3A">
        <w:t xml:space="preserve"> immediately take all necessary action to avoid any releases of mercury (EU</w:t>
      </w:r>
      <w:r w:rsidR="00C07999" w:rsidRPr="00F81C3A">
        <w:t>,</w:t>
      </w:r>
      <w:r w:rsidRPr="00F81C3A">
        <w:t xml:space="preserve"> 2011)</w:t>
      </w:r>
      <w:r w:rsidR="00C07999" w:rsidRPr="00F81C3A">
        <w:t>.</w:t>
      </w:r>
      <w:r w:rsidRPr="00F81C3A">
        <w:t xml:space="preserve"> Monitoring equipment should be tested regular</w:t>
      </w:r>
      <w:r w:rsidR="007F2793" w:rsidRPr="00F81C3A">
        <w:t>ly</w:t>
      </w:r>
      <w:r w:rsidRPr="00F81C3A">
        <w:t xml:space="preserve"> to ensure it is properly calibrated and functioning correctly. </w:t>
      </w:r>
      <w:r w:rsidR="00913076" w:rsidRPr="00F81C3A">
        <w:t>A</w:t>
      </w:r>
      <w:r w:rsidRPr="00F81C3A">
        <w:t>ll equipment, including monitoring equipment, should be</w:t>
      </w:r>
      <w:r w:rsidR="00913076" w:rsidRPr="00F81C3A">
        <w:t xml:space="preserve"> subject to routine maintenance</w:t>
      </w:r>
      <w:r w:rsidRPr="00F81C3A">
        <w:t xml:space="preserve">.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The inspection schedule may be </w:t>
      </w:r>
      <w:r w:rsidR="007F2793" w:rsidRPr="00F81C3A">
        <w:t>determined</w:t>
      </w:r>
      <w:r w:rsidRPr="00F81C3A">
        <w:t xml:space="preserve"> by national regulations or instructions, or by the facility manager. A clear plan for </w:t>
      </w:r>
      <w:r w:rsidR="007F2793" w:rsidRPr="00F81C3A">
        <w:t>a</w:t>
      </w:r>
      <w:r w:rsidRPr="00F81C3A">
        <w:t xml:space="preserve"> regular monitoring and repair schedule should be in place </w:t>
      </w:r>
      <w:r w:rsidR="007F2793" w:rsidRPr="00F81C3A">
        <w:t>before</w:t>
      </w:r>
      <w:r w:rsidRPr="00F81C3A">
        <w:t xml:space="preserve"> </w:t>
      </w:r>
      <w:r w:rsidR="007F2793" w:rsidRPr="00F81C3A">
        <w:t xml:space="preserve">the facility starts </w:t>
      </w:r>
      <w:r w:rsidRPr="00F81C3A">
        <w:t>operati</w:t>
      </w:r>
      <w:r w:rsidR="007F2793" w:rsidRPr="00F81C3A">
        <w:t>ng</w:t>
      </w:r>
      <w:r w:rsidRPr="00F81C3A">
        <w:t xml:space="preserve">. Records detailing inspections and maintenance should be </w:t>
      </w:r>
      <w:r w:rsidR="007F2793" w:rsidRPr="00F81C3A">
        <w:t>kept</w:t>
      </w:r>
      <w:r w:rsidRPr="00F81C3A">
        <w:t xml:space="preserve">. </w:t>
      </w:r>
    </w:p>
    <w:p w:rsidR="00700EED" w:rsidRPr="00F81C3A" w:rsidRDefault="00AD48F5" w:rsidP="00B779BB">
      <w:pPr>
        <w:pStyle w:val="CH2"/>
      </w:pPr>
      <w:r w:rsidRPr="00F81C3A">
        <w:tab/>
      </w:r>
      <w:bookmarkStart w:id="26" w:name="_Toc483401114"/>
      <w:r w:rsidR="009630A3" w:rsidRPr="00F81C3A">
        <w:t>I</w:t>
      </w:r>
      <w:r w:rsidRPr="00F81C3A">
        <w:t>.</w:t>
      </w:r>
      <w:r w:rsidRPr="00F81C3A">
        <w:tab/>
      </w:r>
      <w:r w:rsidR="00700EED" w:rsidRPr="00F81C3A">
        <w:t xml:space="preserve">Emergency </w:t>
      </w:r>
      <w:r w:rsidR="007F2793" w:rsidRPr="00F81C3A">
        <w:t>measures</w:t>
      </w:r>
      <w:r w:rsidR="00700EED" w:rsidRPr="00F81C3A">
        <w:t>, including personal protective equipment</w:t>
      </w:r>
      <w:bookmarkEnd w:id="26"/>
    </w:p>
    <w:p w:rsidR="00700EED" w:rsidRPr="00F81C3A" w:rsidRDefault="00937D0A" w:rsidP="00906C8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S</w:t>
      </w:r>
      <w:r w:rsidR="00700EED" w:rsidRPr="00F81C3A">
        <w:t xml:space="preserve">ite-specific plans and procedures should be developed for implementing the safety requirements identified for </w:t>
      </w:r>
      <w:r w:rsidR="00561F56" w:rsidRPr="00F81C3A">
        <w:t xml:space="preserve">the </w:t>
      </w:r>
      <w:r w:rsidR="00700EED" w:rsidRPr="00F81C3A">
        <w:t xml:space="preserve">storage of mercury and mercury compounds </w:t>
      </w:r>
      <w:r w:rsidRPr="00F81C3A">
        <w:t>in line</w:t>
      </w:r>
      <w:r w:rsidR="00700EED" w:rsidRPr="00F81C3A">
        <w:t xml:space="preserve"> with national standards</w:t>
      </w:r>
      <w:r w:rsidR="00BD5830" w:rsidRPr="00F81C3A">
        <w:rPr>
          <w:rFonts w:eastAsiaTheme="minorEastAsia"/>
          <w:lang w:eastAsia="zh-CN"/>
        </w:rPr>
        <w:t xml:space="preserve"> and with the approval of relevant safety and environmental management sections</w:t>
      </w:r>
      <w:r w:rsidR="00991398" w:rsidRPr="00F81C3A">
        <w:rPr>
          <w:rFonts w:eastAsiaTheme="minorEastAsia"/>
          <w:lang w:eastAsia="zh-CN"/>
        </w:rPr>
        <w:t xml:space="preserve"> of the </w:t>
      </w:r>
      <w:r w:rsidR="00E024B3">
        <w:rPr>
          <w:rFonts w:eastAsiaTheme="minorEastAsia"/>
          <w:lang w:eastAsia="zh-CN"/>
        </w:rPr>
        <w:t>G</w:t>
      </w:r>
      <w:r w:rsidR="00991398" w:rsidRPr="00F81C3A">
        <w:rPr>
          <w:rFonts w:eastAsiaTheme="minorEastAsia"/>
          <w:lang w:eastAsia="zh-CN"/>
        </w:rPr>
        <w:t>overnment</w:t>
      </w:r>
      <w:r w:rsidR="00700EED" w:rsidRPr="00F81C3A">
        <w:t xml:space="preserve">. A workable emergency plan should address public evacuation and procedures to be followed in the event of terrorism, fire and other disastrous events that could result in significant mercury releases both </w:t>
      </w:r>
      <w:r w:rsidRPr="00F81C3A">
        <w:t>inside</w:t>
      </w:r>
      <w:r w:rsidR="00700EED" w:rsidRPr="00F81C3A">
        <w:t xml:space="preserve"> and </w:t>
      </w:r>
      <w:r w:rsidRPr="00F81C3A">
        <w:t>outside</w:t>
      </w:r>
      <w:r w:rsidR="00700EED" w:rsidRPr="00F81C3A">
        <w:t xml:space="preserve"> the building</w:t>
      </w:r>
      <w:r w:rsidRPr="00F81C3A">
        <w:t>’s</w:t>
      </w:r>
      <w:r w:rsidR="00700EED" w:rsidRPr="00F81C3A">
        <w:t xml:space="preserve"> perimeter. The plan should be in place and </w:t>
      </w:r>
      <w:r w:rsidRPr="00F81C3A">
        <w:t xml:space="preserve">should be </w:t>
      </w:r>
      <w:r w:rsidR="00700EED" w:rsidRPr="00F81C3A">
        <w:t>implemented immediately in case of accidental spillage or other emergencies (QSC</w:t>
      </w:r>
      <w:r w:rsidR="001F1B48">
        <w:t>,</w:t>
      </w:r>
      <w:r w:rsidR="00700EED" w:rsidRPr="00F81C3A">
        <w:t xml:space="preserve"> 2003). </w:t>
      </w:r>
      <w:r w:rsidRPr="00F81C3A">
        <w:t>A</w:t>
      </w:r>
      <w:r w:rsidR="00700EED" w:rsidRPr="00F81C3A">
        <w:t xml:space="preserve"> person </w:t>
      </w:r>
      <w:r w:rsidRPr="00F81C3A">
        <w:t xml:space="preserve">should be designated </w:t>
      </w:r>
      <w:r w:rsidR="00700EED" w:rsidRPr="00F81C3A">
        <w:t xml:space="preserve">who </w:t>
      </w:r>
      <w:r w:rsidR="00BD5830" w:rsidRPr="00F81C3A">
        <w:t>has the responsibility</w:t>
      </w:r>
      <w:r w:rsidRPr="00F81C3A">
        <w:t>, in emergencies,</w:t>
      </w:r>
      <w:r w:rsidR="00700EED" w:rsidRPr="00F81C3A">
        <w:t xml:space="preserve"> </w:t>
      </w:r>
      <w:r w:rsidR="00BD5830" w:rsidRPr="00F81C3A">
        <w:t xml:space="preserve">to </w:t>
      </w:r>
      <w:r w:rsidR="00700EED" w:rsidRPr="00F81C3A">
        <w:t xml:space="preserve">authorize </w:t>
      </w:r>
      <w:r w:rsidRPr="00F81C3A">
        <w:t>any changes</w:t>
      </w:r>
      <w:r w:rsidR="00700EED" w:rsidRPr="00F81C3A">
        <w:t xml:space="preserve"> to the safety procedures </w:t>
      </w:r>
      <w:r w:rsidRPr="00F81C3A">
        <w:t>needed to facilitate the work of</w:t>
      </w:r>
      <w:r w:rsidR="00700EED" w:rsidRPr="00F81C3A">
        <w:t xml:space="preserve"> emergency response personnel. Adequate access to the affected area should be ensured.</w:t>
      </w:r>
      <w:r w:rsidR="00906C8B">
        <w:t xml:space="preserve">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Emergency response plans or procedures should comply with local, </w:t>
      </w:r>
      <w:r w:rsidR="00C84A89" w:rsidRPr="00F81C3A">
        <w:t>regional</w:t>
      </w:r>
      <w:r w:rsidRPr="00F81C3A">
        <w:t xml:space="preserve"> and national requirements and include procedures for first responders, including fire department staff, emergency response personnel, ambulance personnel and local hospitals (QSC</w:t>
      </w:r>
      <w:r w:rsidR="001F1B48">
        <w:t>,</w:t>
      </w:r>
      <w:r w:rsidRPr="00F81C3A">
        <w:t xml:space="preserve"> 2003). While such plans can vary according to the physical and social conditions of each site, the principal elements of an emergency response plan include the identification of potential hazards</w:t>
      </w:r>
      <w:r w:rsidR="004C2260" w:rsidRPr="00F81C3A">
        <w:t>;</w:t>
      </w:r>
      <w:r w:rsidRPr="00F81C3A">
        <w:t xml:space="preserve"> legislation governing emergency response plans</w:t>
      </w:r>
      <w:r w:rsidR="004C2260" w:rsidRPr="00F81C3A">
        <w:t>;</w:t>
      </w:r>
      <w:r w:rsidRPr="00F81C3A">
        <w:t xml:space="preserve"> action to be taken in emergency situations, including mitigation measures</w:t>
      </w:r>
      <w:r w:rsidR="004C2260" w:rsidRPr="00F81C3A">
        <w:t>;</w:t>
      </w:r>
      <w:r w:rsidRPr="00F81C3A">
        <w:t xml:space="preserve"> personnel training plans</w:t>
      </w:r>
      <w:r w:rsidR="004C2260" w:rsidRPr="00F81C3A">
        <w:t>;</w:t>
      </w:r>
      <w:r w:rsidRPr="00F81C3A">
        <w:t xml:space="preserve"> communication targets (fire service, police, neighbouring communities, local government, etc.) and methods in case of emergency</w:t>
      </w:r>
      <w:r w:rsidR="004C2260" w:rsidRPr="00F81C3A">
        <w:t>;</w:t>
      </w:r>
      <w:r w:rsidRPr="00F81C3A">
        <w:t xml:space="preserve"> and methods and schedules for the testing of emergency response equipment. Emergency response practice exercises should be conducted.</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Emergency response plans or procedure</w:t>
      </w:r>
      <w:r w:rsidR="00102FA0" w:rsidRPr="00F81C3A">
        <w:t>s</w:t>
      </w:r>
      <w:r w:rsidRPr="00F81C3A">
        <w:t xml:space="preserve"> should cover a number of different scenarios</w:t>
      </w:r>
      <w:r w:rsidR="00102FA0" w:rsidRPr="00F81C3A">
        <w:t>,</w:t>
      </w:r>
      <w:r w:rsidRPr="00F81C3A">
        <w:t xml:space="preserve"> which may include but </w:t>
      </w:r>
      <w:r w:rsidR="004C2260" w:rsidRPr="00F81C3A">
        <w:t xml:space="preserve">should </w:t>
      </w:r>
      <w:r w:rsidRPr="00F81C3A">
        <w:t xml:space="preserve">not be limited to: </w:t>
      </w:r>
    </w:p>
    <w:p w:rsidR="00700EED" w:rsidRPr="00F81C3A" w:rsidRDefault="004C2260"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(a)</w:t>
      </w:r>
      <w:r w:rsidR="00700EED" w:rsidRPr="00F81C3A">
        <w:tab/>
        <w:t xml:space="preserve">Damage to storage containers during handling, including distinctions between minor damage and catastrophic damage (e.g., complete failure of the seal on </w:t>
      </w:r>
      <w:r w:rsidRPr="00F81C3A">
        <w:t xml:space="preserve">a </w:t>
      </w:r>
      <w:r w:rsidR="00700EED" w:rsidRPr="00F81C3A">
        <w:t>drum lid or other closure)</w:t>
      </w:r>
      <w:r w:rsidRPr="00F81C3A">
        <w:t>;</w:t>
      </w:r>
    </w:p>
    <w:p w:rsidR="00700EED" w:rsidRPr="00F81C3A" w:rsidRDefault="004C2260"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(b)</w:t>
      </w:r>
      <w:r w:rsidR="00700EED" w:rsidRPr="00F81C3A">
        <w:tab/>
        <w:t>Discovery of container leakage during routine inspections</w:t>
      </w:r>
      <w:r w:rsidRPr="00F81C3A">
        <w:t>;</w:t>
      </w:r>
    </w:p>
    <w:p w:rsidR="00700EED" w:rsidRPr="00F81C3A" w:rsidRDefault="004C2260"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(c)</w:t>
      </w:r>
      <w:r w:rsidR="00700EED" w:rsidRPr="00F81C3A">
        <w:tab/>
        <w:t>Release occurring during repackaging operations</w:t>
      </w:r>
      <w:r w:rsidRPr="00F81C3A">
        <w:t>;</w:t>
      </w:r>
    </w:p>
    <w:p w:rsidR="00700EED" w:rsidRPr="00F81C3A" w:rsidRDefault="004C2260"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(d)</w:t>
      </w:r>
      <w:r w:rsidR="00700EED" w:rsidRPr="00F81C3A">
        <w:tab/>
        <w:t>Damage to the storage facility itself (e.g., due to flood, fire, severe adverse weather or serious accidents that somehow compromise the physical integrity of the facility</w:t>
      </w:r>
      <w:r w:rsidR="00025487" w:rsidRPr="00F81C3A">
        <w:t>)</w:t>
      </w:r>
      <w:r w:rsidR="00700EED" w:rsidRPr="00F81C3A">
        <w:t>.</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For each scenario, response guidance should identify: </w:t>
      </w:r>
    </w:p>
    <w:p w:rsidR="00700EED" w:rsidRPr="00F81C3A" w:rsidRDefault="00025487"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(a)</w:t>
      </w:r>
      <w:r w:rsidR="00700EED" w:rsidRPr="00F81C3A">
        <w:tab/>
        <w:t xml:space="preserve"> </w:t>
      </w:r>
      <w:r w:rsidR="00D02EB6" w:rsidRPr="00F81C3A">
        <w:t>The e</w:t>
      </w:r>
      <w:r w:rsidR="00700EED" w:rsidRPr="00F81C3A">
        <w:t>quipment and procedures needed to address the release</w:t>
      </w:r>
      <w:r w:rsidR="00D02EB6" w:rsidRPr="00F81C3A">
        <w:t>;</w:t>
      </w:r>
      <w:r w:rsidR="00700EED" w:rsidRPr="00F81C3A">
        <w:t xml:space="preserve"> </w:t>
      </w:r>
    </w:p>
    <w:p w:rsidR="00700EED" w:rsidRPr="00F81C3A" w:rsidRDefault="00025487"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(b)</w:t>
      </w:r>
      <w:r w:rsidR="00700EED" w:rsidRPr="00F81C3A">
        <w:tab/>
        <w:t xml:space="preserve">The site official responsible for overseeing </w:t>
      </w:r>
      <w:r w:rsidR="00D02EB6" w:rsidRPr="00F81C3A">
        <w:t xml:space="preserve">the </w:t>
      </w:r>
      <w:r w:rsidR="00700EED" w:rsidRPr="00F81C3A">
        <w:t>assessment</w:t>
      </w:r>
      <w:r w:rsidR="00D02EB6" w:rsidRPr="00F81C3A">
        <w:t xml:space="preserve"> </w:t>
      </w:r>
      <w:r w:rsidR="00700EED" w:rsidRPr="00F81C3A">
        <w:t xml:space="preserve">of the situation (i.e., </w:t>
      </w:r>
      <w:r w:rsidR="00D02EB6" w:rsidRPr="00F81C3A">
        <w:t>whether it is a</w:t>
      </w:r>
      <w:r w:rsidR="00700EED" w:rsidRPr="00F81C3A">
        <w:t xml:space="preserve"> minor or major release) and supervising workers in addressing the release or accident</w:t>
      </w:r>
      <w:r w:rsidR="00D02EB6" w:rsidRPr="00F81C3A">
        <w:t>;</w:t>
      </w:r>
    </w:p>
    <w:p w:rsidR="00700EED" w:rsidRPr="00F81C3A" w:rsidRDefault="00D02EB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(c)</w:t>
      </w:r>
      <w:r w:rsidR="00700EED" w:rsidRPr="00F81C3A">
        <w:tab/>
        <w:t xml:space="preserve"> Notification procedures to other workers at the facility (particularly regarding the need to don </w:t>
      </w:r>
      <w:r w:rsidRPr="00F81C3A">
        <w:t>personal protective equipment</w:t>
      </w:r>
      <w:r w:rsidR="00700EED" w:rsidRPr="00F81C3A">
        <w:t>)</w:t>
      </w:r>
      <w:r w:rsidRPr="00F81C3A">
        <w:t>;</w:t>
      </w:r>
    </w:p>
    <w:p w:rsidR="00700EED" w:rsidRPr="00F81C3A" w:rsidRDefault="00D02EB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(d)</w:t>
      </w:r>
      <w:r w:rsidR="00700EED" w:rsidRPr="00F81C3A">
        <w:tab/>
        <w:t>When to notify local emergency response personnel for additional support;</w:t>
      </w:r>
    </w:p>
    <w:p w:rsidR="00700EED" w:rsidRPr="00F81C3A" w:rsidRDefault="00D02EB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(e)</w:t>
      </w:r>
      <w:r w:rsidR="00700EED" w:rsidRPr="00F81C3A">
        <w:tab/>
        <w:t>When to notify the public</w:t>
      </w:r>
      <w:r w:rsidR="00102FA0" w:rsidRPr="00F81C3A">
        <w:t>,</w:t>
      </w:r>
      <w:r w:rsidR="00700EED" w:rsidRPr="00F81C3A">
        <w:t xml:space="preserve"> and action the public should take</w:t>
      </w:r>
      <w:r w:rsidRPr="00F81C3A">
        <w:t>;</w:t>
      </w:r>
    </w:p>
    <w:p w:rsidR="00700EED" w:rsidRPr="00F81C3A" w:rsidRDefault="00D02EB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(f)</w:t>
      </w:r>
      <w:r w:rsidR="00700EED" w:rsidRPr="00F81C3A">
        <w:tab/>
        <w:t>When it is appropriate to evacuate non-essential workers from the facility</w:t>
      </w:r>
      <w:r w:rsidRPr="00F81C3A">
        <w:t>;</w:t>
      </w:r>
    </w:p>
    <w:p w:rsidR="00700EED" w:rsidRPr="00F81C3A" w:rsidRDefault="00D02EB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(g)</w:t>
      </w:r>
      <w:r w:rsidR="00700EED" w:rsidRPr="00F81C3A">
        <w:tab/>
        <w:t>When it may become necessary to evacuate all workers from the facility.</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All equipment necessary to address </w:t>
      </w:r>
      <w:r w:rsidR="0028630B" w:rsidRPr="00F81C3A">
        <w:t xml:space="preserve">spills or releases </w:t>
      </w:r>
      <w:r w:rsidR="0028630B">
        <w:t xml:space="preserve">of </w:t>
      </w:r>
      <w:r w:rsidRPr="00F81C3A">
        <w:t>mercury or mercury compounds should be available on</w:t>
      </w:r>
      <w:r w:rsidR="0028630B">
        <w:t xml:space="preserve"> </w:t>
      </w:r>
      <w:r w:rsidRPr="00F81C3A">
        <w:t xml:space="preserve">site and in good working order. </w:t>
      </w:r>
      <w:r w:rsidR="00D02EB6" w:rsidRPr="00F81C3A">
        <w:t>Such equipment</w:t>
      </w:r>
      <w:r w:rsidRPr="00F81C3A">
        <w:t xml:space="preserve"> may include sorbent materials, chemical reagent products that can be applied to elemental mercury spills to reduce mobility, shovels </w:t>
      </w:r>
      <w:r w:rsidR="00D02EB6" w:rsidRPr="00F81C3A">
        <w:t>and other tools</w:t>
      </w:r>
      <w:r w:rsidRPr="00F81C3A">
        <w:t xml:space="preserve"> to pick up spilled materials, and extra drums or other containers in which to place cleaned-up materials. Facilities should also have the capacity to contain and </w:t>
      </w:r>
      <w:r w:rsidR="00D02EB6" w:rsidRPr="00F81C3A">
        <w:t xml:space="preserve">manage appropriately any </w:t>
      </w:r>
      <w:r w:rsidRPr="00F81C3A">
        <w:t>contaminated wash water that may be generated.</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When an emergency occurs, the first step is to investigate the site. Wearing suitable personal protective equipment, the person in charge should approach cautiously from upwind, secure the scene and identify the hazard. Placards, container labels, shipping documents, safety data sheets, car identification charts and knowledgeable persons on the scene are valuable information sources. The need to evacuate, the availability of human resources and equipment</w:t>
      </w:r>
      <w:r w:rsidR="006F1D0C" w:rsidRPr="00F81C3A">
        <w:t>,</w:t>
      </w:r>
      <w:r w:rsidRPr="00F81C3A">
        <w:t xml:space="preserve"> and possible immediate actions should then be assessed. In order to ensure public safety, a </w:t>
      </w:r>
      <w:r w:rsidR="006F1D0C" w:rsidRPr="00F81C3A">
        <w:t xml:space="preserve">call to an </w:t>
      </w:r>
      <w:r w:rsidRPr="00F81C3A">
        <w:t>emergency response agency</w:t>
      </w:r>
      <w:r w:rsidR="001273A3" w:rsidRPr="00F81C3A">
        <w:t xml:space="preserve"> </w:t>
      </w:r>
      <w:r w:rsidRPr="00F81C3A">
        <w:t xml:space="preserve">should be made and, as an immediate precautionary measure, the spill or leak area should be isolated </w:t>
      </w:r>
      <w:r w:rsidR="006D1570" w:rsidRPr="00F81C3A">
        <w:t xml:space="preserve">by </w:t>
      </w:r>
      <w:r w:rsidRPr="00F81C3A">
        <w:t>at least 50 met</w:t>
      </w:r>
      <w:r w:rsidR="006D1570" w:rsidRPr="00F81C3A">
        <w:t>re</w:t>
      </w:r>
      <w:r w:rsidRPr="00F81C3A">
        <w:t xml:space="preserve">s in all directions. In case of fire, an extinguishing agent suitable for the type of surrounding fire should be used, whereas water should not. For further information, the </w:t>
      </w:r>
      <w:r w:rsidR="007F08D1">
        <w:t>“</w:t>
      </w:r>
      <w:r w:rsidRPr="003F1FDE">
        <w:t xml:space="preserve">Emergency </w:t>
      </w:r>
      <w:r w:rsidR="007E4BA2" w:rsidRPr="003F1FDE">
        <w:t>R</w:t>
      </w:r>
      <w:r w:rsidRPr="003F1FDE">
        <w:t xml:space="preserve">esponse </w:t>
      </w:r>
      <w:r w:rsidR="007E4BA2" w:rsidRPr="003F1FDE">
        <w:t>G</w:t>
      </w:r>
      <w:r w:rsidRPr="003F1FDE">
        <w:t>uidebook</w:t>
      </w:r>
      <w:r w:rsidR="007F08D1">
        <w:t>”</w:t>
      </w:r>
      <w:r w:rsidRPr="00F81C3A">
        <w:t xml:space="preserve"> (U</w:t>
      </w:r>
      <w:r w:rsidR="00B80AD6" w:rsidRPr="00F81C3A">
        <w:t>.</w:t>
      </w:r>
      <w:r w:rsidRPr="00F81C3A">
        <w:t>S</w:t>
      </w:r>
      <w:r w:rsidR="00B80AD6" w:rsidRPr="00F81C3A">
        <w:t>.</w:t>
      </w:r>
      <w:r w:rsidRPr="00F81C3A">
        <w:t xml:space="preserve"> Department of Transportation, Transport Canada and the Secretariat of Communications and Transportation of Mexico) is a helpful resource.</w:t>
      </w:r>
    </w:p>
    <w:p w:rsidR="00700EED" w:rsidRPr="00F81C3A" w:rsidRDefault="007201B9"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Any s</w:t>
      </w:r>
      <w:r w:rsidR="00700EED" w:rsidRPr="00F81C3A">
        <w:t>pillage of elemental mercury, even in small amounts, should be considered hazardous and should be cleaned up with caution. Spills should be reported to management and the date, time, inspector, location and approximate amount of mercury should be documented and records maintained of such incidences (QSC</w:t>
      </w:r>
      <w:r w:rsidR="00455BA9">
        <w:t>,</w:t>
      </w:r>
      <w:r w:rsidR="00700EED" w:rsidRPr="00F81C3A">
        <w:t xml:space="preserve"> 2003). Critical to determining </w:t>
      </w:r>
      <w:r w:rsidR="006F1D0C" w:rsidRPr="00F81C3A">
        <w:t>the</w:t>
      </w:r>
      <w:r w:rsidR="00700EED" w:rsidRPr="00F81C3A">
        <w:t xml:space="preserve"> type of response appropriate for a</w:t>
      </w:r>
      <w:r w:rsidR="006F1D0C" w:rsidRPr="00F81C3A">
        <w:t xml:space="preserve"> given</w:t>
      </w:r>
      <w:r w:rsidR="00700EED" w:rsidRPr="00F81C3A">
        <w:t xml:space="preserve"> mercury spill is evaluating </w:t>
      </w:r>
      <w:r w:rsidR="006F1D0C" w:rsidRPr="00F81C3A">
        <w:t>the spill’s</w:t>
      </w:r>
      <w:r w:rsidR="00700EED" w:rsidRPr="00F81C3A">
        <w:t xml:space="preserve"> size and dispersal and whether the necessary clean</w:t>
      </w:r>
      <w:r w:rsidR="00A7643A" w:rsidRPr="00F81C3A">
        <w:noBreakHyphen/>
      </w:r>
      <w:r w:rsidR="00700EED" w:rsidRPr="00F81C3A">
        <w:t xml:space="preserve">up resources and expertise are available. If the spill is small and on a non-porous surface (such as linoleum) or on a porous item that can be thrown away (such as a small rug or mat), it can be cleaned up by </w:t>
      </w:r>
      <w:r w:rsidR="00DC4B22" w:rsidRPr="00F81C3A">
        <w:t xml:space="preserve">the </w:t>
      </w:r>
      <w:r w:rsidR="00700EED" w:rsidRPr="00F81C3A">
        <w:t>personnel or workers of a facility and disposed of in an environmentally sound manner. If the spill is large or on a rug that cannot be discarded, on upholstery or in cracks or crevices, it may be necessary to hire personnel with suitable professional training, should such personnel not be available at the facility. Large spills involving more than the amount of mercury found in a typical household product should be reported to the local environmental health authorities. If there is any uncertainty as to whether a spill should be classified as “large”, the local environmental health authorities should be contacted to be on the safe side. Under certain circumstances outlined in the emergency plan, it may be advisable to obtain the assistance of qualified personnel for professional clean-up or air monitoring, regardless of spill size. Guidance on clean</w:t>
      </w:r>
      <w:r w:rsidR="00950CF4" w:rsidRPr="00F81C3A">
        <w:t>-</w:t>
      </w:r>
      <w:r w:rsidR="00700EED" w:rsidRPr="00F81C3A">
        <w:t>up o</w:t>
      </w:r>
      <w:r w:rsidR="00950CF4" w:rsidRPr="00F81C3A">
        <w:t>f</w:t>
      </w:r>
      <w:r w:rsidR="00700EED" w:rsidRPr="00F81C3A">
        <w:t xml:space="preserve"> household spills is available (Environment Canada</w:t>
      </w:r>
      <w:r w:rsidR="00950CF4" w:rsidRPr="00F81C3A">
        <w:t>,</w:t>
      </w:r>
      <w:r w:rsidR="00700EED" w:rsidRPr="00F81C3A">
        <w:t xml:space="preserve"> 2002)</w:t>
      </w:r>
      <w:r w:rsidR="000C66A5">
        <w:rPr>
          <w:rStyle w:val="FootnoteReference"/>
        </w:rPr>
        <w:footnoteReference w:id="4"/>
      </w:r>
      <w:r w:rsidR="007F08D1">
        <w:t xml:space="preserve"> </w:t>
      </w:r>
      <w:r w:rsidR="006F1D0C" w:rsidRPr="00F81C3A">
        <w:t>and</w:t>
      </w:r>
      <w:r w:rsidR="00700EED" w:rsidRPr="00F81C3A">
        <w:t xml:space="preserve"> may be adapted for use</w:t>
      </w:r>
      <w:r w:rsidR="00950CF4" w:rsidRPr="00F81C3A">
        <w:t xml:space="preserve"> </w:t>
      </w:r>
      <w:r w:rsidR="00201E7F" w:rsidRPr="00F81C3A">
        <w:t>in other situations</w:t>
      </w:r>
      <w:r w:rsidR="00700EED" w:rsidRPr="00F81C3A">
        <w:t xml:space="preserve">. Spills of elemental mercury in the course of commercial activities and in households have the potential to expose workers and the general public to hazardous mercury vapours. In addition, spills are </w:t>
      </w:r>
      <w:r w:rsidR="006F1D0C" w:rsidRPr="00F81C3A">
        <w:t xml:space="preserve">disruptive and </w:t>
      </w:r>
      <w:r w:rsidR="00700EED" w:rsidRPr="00F81C3A">
        <w:t>costly to clean up. Clean-up procedures for small mercury spills are found in</w:t>
      </w:r>
      <w:r w:rsidR="00455BA9">
        <w:t xml:space="preserve"> </w:t>
      </w:r>
      <w:r w:rsidR="00455BA9" w:rsidRPr="00F81C3A">
        <w:rPr>
          <w:i/>
        </w:rPr>
        <w:t>Spills, Disposal and Site Clean-Up</w:t>
      </w:r>
      <w:r w:rsidR="00700EED" w:rsidRPr="00F81C3A">
        <w:t xml:space="preserve"> </w:t>
      </w:r>
      <w:r w:rsidR="00455BA9">
        <w:t>(</w:t>
      </w:r>
      <w:r w:rsidR="00700EED" w:rsidRPr="00F81C3A">
        <w:t>US EPA</w:t>
      </w:r>
      <w:r w:rsidR="00455BA9">
        <w:t>,</w:t>
      </w:r>
      <w:r w:rsidR="00AA54A5" w:rsidRPr="00F81C3A">
        <w:t xml:space="preserve"> </w:t>
      </w:r>
      <w:r w:rsidR="00700EED" w:rsidRPr="00F81C3A">
        <w:t>2007</w:t>
      </w:r>
      <w:r w:rsidR="00455BA9">
        <w:t>)</w:t>
      </w:r>
      <w:r w:rsidR="00700EED" w:rsidRPr="00F81C3A">
        <w:t xml:space="preserve">. </w:t>
      </w:r>
    </w:p>
    <w:p w:rsidR="00700EED" w:rsidRPr="00F81C3A" w:rsidRDefault="00AD48F5" w:rsidP="005D55D9">
      <w:pPr>
        <w:pStyle w:val="CH2"/>
      </w:pPr>
      <w:r w:rsidRPr="00F81C3A">
        <w:tab/>
      </w:r>
      <w:bookmarkStart w:id="27" w:name="_Toc483401115"/>
      <w:r w:rsidR="009630A3" w:rsidRPr="00F81C3A">
        <w:t>J</w:t>
      </w:r>
      <w:r w:rsidRPr="00F81C3A">
        <w:t>.</w:t>
      </w:r>
      <w:r w:rsidRPr="00F81C3A">
        <w:tab/>
      </w:r>
      <w:r w:rsidR="00700EED" w:rsidRPr="00F81C3A">
        <w:t>Inspection and monitoring</w:t>
      </w:r>
      <w:bookmarkEnd w:id="27"/>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Facilities should have adequate monitoring, recording and reporting programmes to ensure that </w:t>
      </w:r>
      <w:r w:rsidR="00DC06E2" w:rsidRPr="00F81C3A">
        <w:t xml:space="preserve">they </w:t>
      </w:r>
      <w:r w:rsidRPr="00F81C3A">
        <w:t xml:space="preserve">can meet any national requirements to track mercury quantities as well as potential environmental releases.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Monitoring programmes should provide an indication of whether the storage operation is functioning in accordance with its design, and should detect changes in environmental quality (such as </w:t>
      </w:r>
      <w:r w:rsidR="00DC06E2" w:rsidRPr="00F81C3A">
        <w:t xml:space="preserve">any </w:t>
      </w:r>
      <w:r w:rsidRPr="00F81C3A">
        <w:t>emission or release of mercury or mercury compounds) caused by the operation. The information obtained through monitoring programmes can be used to indicate whether proper management of the stored mercury is being undertaken, to identify potential issues relating to possible mercury releases or exposure to mercury</w:t>
      </w:r>
      <w:r w:rsidR="00A909D8" w:rsidRPr="00F81C3A">
        <w:t>,</w:t>
      </w:r>
      <w:r w:rsidRPr="00F81C3A">
        <w:t xml:space="preserve"> and to help assess whether amendments to the management approach might be appropriate. By implementing a monitoring programme, facility managers can identify problems and take appropriate measures to remedy them.</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It should be noted that a number of continuous mercury measurement systems are commercially available for some types of mercury monitoring. Such monitoring may be required under national or local legislation. Alternatively, suitable monitoring may be undertaken through site sampling in the environment. </w:t>
      </w:r>
    </w:p>
    <w:p w:rsidR="00700EED" w:rsidRPr="00F81C3A" w:rsidRDefault="00AD48F5" w:rsidP="005D55D9">
      <w:pPr>
        <w:pStyle w:val="CH1"/>
        <w:tabs>
          <w:tab w:val="clear" w:pos="851"/>
          <w:tab w:val="clear" w:pos="1247"/>
          <w:tab w:val="clear" w:pos="1814"/>
          <w:tab w:val="clear" w:pos="2381"/>
          <w:tab w:val="clear" w:pos="2948"/>
          <w:tab w:val="clear" w:pos="3515"/>
          <w:tab w:val="clear" w:pos="4082"/>
          <w:tab w:val="left" w:pos="624"/>
        </w:tabs>
        <w:ind w:left="624" w:hanging="624"/>
      </w:pPr>
      <w:r w:rsidRPr="00F81C3A">
        <w:tab/>
      </w:r>
      <w:bookmarkStart w:id="28" w:name="_Toc483401116"/>
      <w:r w:rsidR="009630A3" w:rsidRPr="00F81C3A">
        <w:t>V</w:t>
      </w:r>
      <w:r w:rsidRPr="00F81C3A">
        <w:t>.</w:t>
      </w:r>
      <w:r w:rsidRPr="00F81C3A">
        <w:tab/>
      </w:r>
      <w:r w:rsidR="00700EED" w:rsidRPr="00F81C3A">
        <w:t>Guidance on collection, handling, packaging and transport</w:t>
      </w:r>
      <w:bookmarkEnd w:id="28"/>
    </w:p>
    <w:p w:rsidR="00700EED" w:rsidRPr="00F81C3A" w:rsidRDefault="00D03DEB"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While this section provides </w:t>
      </w:r>
      <w:r w:rsidRPr="001F53D6">
        <w:t>s</w:t>
      </w:r>
      <w:r w:rsidR="00700EED" w:rsidRPr="001F53D6">
        <w:t>pecific t</w:t>
      </w:r>
      <w:r w:rsidR="00700EED" w:rsidRPr="00F81C3A">
        <w:t xml:space="preserve">echnical guidance on appropriate handling of mercury, it is imperative that generators (such as recycling facilities which may be producing commodity mercury for use) </w:t>
      </w:r>
      <w:r w:rsidR="00494F78" w:rsidRPr="00F81C3A">
        <w:t>and</w:t>
      </w:r>
      <w:r w:rsidR="00700EED" w:rsidRPr="00F81C3A">
        <w:t xml:space="preserve"> storage facilities also consult and adhere to applicable national and local requirements.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rPr>
          <w:i/>
          <w:iCs/>
        </w:rPr>
        <w:t>Handling:</w:t>
      </w:r>
      <w:r w:rsidRPr="00F81C3A">
        <w:t xml:space="preserve"> </w:t>
      </w:r>
      <w:r w:rsidR="00D03DEB" w:rsidRPr="00F81C3A">
        <w:t>W</w:t>
      </w:r>
      <w:r w:rsidRPr="00F81C3A">
        <w:t>hen handling mercury, it is important to pay particular attention to the prevention of evaporation and spillage of mercury into the environment. Facilities should develop very specific procedures for handling mercury to minimize the possibility of spillage or excessive evaporation losses.</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rPr>
          <w:i/>
          <w:iCs/>
        </w:rPr>
        <w:t>Packaging:</w:t>
      </w:r>
      <w:r w:rsidRPr="00F81C3A">
        <w:t xml:space="preserve"> </w:t>
      </w:r>
      <w:r w:rsidR="00D03DEB" w:rsidRPr="00F81C3A">
        <w:t>T</w:t>
      </w:r>
      <w:r w:rsidRPr="00F81C3A">
        <w:t xml:space="preserve">he containers in which mercury and mercury compounds are transported provide the most direct barrier to prevent releases. It is therefore necessary to carefully package mercury and mercury compounds in appropriate containers that have been manufactured </w:t>
      </w:r>
      <w:r w:rsidR="00480368" w:rsidRPr="00F81C3A">
        <w:t>in conformity with</w:t>
      </w:r>
      <w:r w:rsidRPr="00F81C3A">
        <w:t xml:space="preserve"> national and international standards and regulations, including U</w:t>
      </w:r>
      <w:r w:rsidR="00494F78" w:rsidRPr="00F81C3A">
        <w:t xml:space="preserve">nited </w:t>
      </w:r>
      <w:r w:rsidRPr="00F81C3A">
        <w:t>N</w:t>
      </w:r>
      <w:r w:rsidR="00494F78" w:rsidRPr="00F81C3A">
        <w:t>ations</w:t>
      </w:r>
      <w:r w:rsidRPr="00F81C3A">
        <w:t xml:space="preserve"> standards for packaging.</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For transport and the transboundary movement of mercury, </w:t>
      </w:r>
      <w:r w:rsidR="00EC5E98" w:rsidRPr="00F81C3A">
        <w:t xml:space="preserve">the latest versions of </w:t>
      </w:r>
      <w:r w:rsidRPr="00F81C3A">
        <w:t>the following documents should be consulted to determine specific requirements:</w:t>
      </w:r>
    </w:p>
    <w:p w:rsidR="00700EED" w:rsidRPr="00F81C3A" w:rsidRDefault="0062250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(a)</w:t>
      </w:r>
      <w:r w:rsidR="00700EED" w:rsidRPr="00F81C3A">
        <w:tab/>
        <w:t>International Maritime Organization</w:t>
      </w:r>
      <w:r w:rsidR="001E78DE" w:rsidRPr="00F81C3A">
        <w:t>,</w:t>
      </w:r>
      <w:r w:rsidR="00700EED" w:rsidRPr="00F81C3A">
        <w:t xml:space="preserve"> </w:t>
      </w:r>
      <w:r w:rsidR="00700EED" w:rsidRPr="00F81C3A">
        <w:rPr>
          <w:i/>
        </w:rPr>
        <w:t>International Maritime Dangerous Goods Code</w:t>
      </w:r>
      <w:r w:rsidR="00EC5E98" w:rsidRPr="00F81C3A">
        <w:rPr>
          <w:i/>
        </w:rPr>
        <w:t xml:space="preserve"> </w:t>
      </w:r>
      <w:r w:rsidR="00EC5E98" w:rsidRPr="003F1FDE">
        <w:t>(updated regularly)</w:t>
      </w:r>
      <w:r w:rsidR="00700EED" w:rsidRPr="00F81C3A">
        <w:t>;</w:t>
      </w:r>
    </w:p>
    <w:p w:rsidR="00700EED" w:rsidRPr="00B94B6A" w:rsidRDefault="0062250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(b)</w:t>
      </w:r>
      <w:r w:rsidR="00700EED" w:rsidRPr="00F81C3A">
        <w:tab/>
        <w:t>International Civil Aviation Organization</w:t>
      </w:r>
      <w:r w:rsidR="001E78DE" w:rsidRPr="00F81C3A">
        <w:t>,</w:t>
      </w:r>
      <w:r w:rsidR="00700EED" w:rsidRPr="00F81C3A">
        <w:t xml:space="preserve"> </w:t>
      </w:r>
      <w:r w:rsidR="00700EED" w:rsidRPr="00F81C3A">
        <w:rPr>
          <w:i/>
        </w:rPr>
        <w:t xml:space="preserve">Technical Instructions for the Safe </w:t>
      </w:r>
      <w:r w:rsidR="00700EED" w:rsidRPr="00B94B6A">
        <w:rPr>
          <w:i/>
        </w:rPr>
        <w:t>Transport of Dangerous Goods by Air</w:t>
      </w:r>
      <w:r w:rsidR="00700EED" w:rsidRPr="00B94B6A">
        <w:t xml:space="preserve">; </w:t>
      </w:r>
    </w:p>
    <w:p w:rsidR="007503C2" w:rsidRDefault="00622506" w:rsidP="00B94B6A">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B94B6A">
        <w:tab/>
      </w:r>
      <w:r w:rsidR="00700EED" w:rsidRPr="00B94B6A">
        <w:t>(c)</w:t>
      </w:r>
      <w:r w:rsidR="00700EED" w:rsidRPr="00B94B6A">
        <w:tab/>
        <w:t xml:space="preserve">International Air Transport Association </w:t>
      </w:r>
      <w:r w:rsidR="00B80AD6" w:rsidRPr="00B94B6A">
        <w:t>(</w:t>
      </w:r>
      <w:r w:rsidR="00700EED" w:rsidRPr="00B94B6A">
        <w:t>2016</w:t>
      </w:r>
      <w:r w:rsidR="00B80AD6" w:rsidRPr="00B94B6A">
        <w:t>)</w:t>
      </w:r>
      <w:r w:rsidR="001E78DE" w:rsidRPr="00B94B6A">
        <w:t>,</w:t>
      </w:r>
      <w:r w:rsidR="00700EED" w:rsidRPr="00B94B6A">
        <w:t xml:space="preserve"> </w:t>
      </w:r>
      <w:r w:rsidR="00700EED" w:rsidRPr="00B94B6A">
        <w:rPr>
          <w:i/>
        </w:rPr>
        <w:t>Dangerous Goods Regulations</w:t>
      </w:r>
      <w:r w:rsidR="00700EED" w:rsidRPr="00B94B6A">
        <w:t>;</w:t>
      </w:r>
    </w:p>
    <w:p w:rsidR="00B94B6A" w:rsidRDefault="00622506" w:rsidP="00B94B6A">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B94B6A">
        <w:tab/>
      </w:r>
      <w:r w:rsidR="00700EED" w:rsidRPr="00B94B6A">
        <w:t>(d)</w:t>
      </w:r>
      <w:r w:rsidR="00700EED" w:rsidRPr="00B94B6A">
        <w:tab/>
        <w:t xml:space="preserve">United Nations </w:t>
      </w:r>
      <w:r w:rsidR="00B80AD6" w:rsidRPr="00B94B6A">
        <w:t>(</w:t>
      </w:r>
      <w:r w:rsidR="00700EED" w:rsidRPr="00B94B6A">
        <w:t>2015</w:t>
      </w:r>
      <w:r w:rsidR="00B80AD6" w:rsidRPr="00B94B6A">
        <w:t>)</w:t>
      </w:r>
      <w:r w:rsidR="001E78DE" w:rsidRPr="00B94B6A">
        <w:t>,</w:t>
      </w:r>
      <w:r w:rsidR="00700EED" w:rsidRPr="00B94B6A">
        <w:t xml:space="preserve"> </w:t>
      </w:r>
      <w:r w:rsidR="00700EED" w:rsidRPr="00B94B6A">
        <w:rPr>
          <w:i/>
        </w:rPr>
        <w:t>United Nations Recommendations on the Transport of Dangerous Goods</w:t>
      </w:r>
      <w:r w:rsidR="00330890" w:rsidRPr="00B94B6A">
        <w:rPr>
          <w:i/>
        </w:rPr>
        <w:t>:</w:t>
      </w:r>
      <w:r w:rsidR="00700EED" w:rsidRPr="00B94B6A">
        <w:rPr>
          <w:i/>
        </w:rPr>
        <w:t xml:space="preserve"> Model Regulations</w:t>
      </w:r>
      <w:r w:rsidR="00700EED" w:rsidRPr="00B94B6A">
        <w:t>.</w:t>
      </w:r>
    </w:p>
    <w:p w:rsidR="00700EED" w:rsidRPr="00B94B6A" w:rsidRDefault="00700EED" w:rsidP="00B94B6A">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B94B6A">
        <w:t xml:space="preserve">Mercury </w:t>
      </w:r>
      <w:r w:rsidR="00D03DEB" w:rsidRPr="00B94B6A">
        <w:t>and</w:t>
      </w:r>
      <w:r w:rsidRPr="00B94B6A">
        <w:t xml:space="preserve"> mercury compounds should be transported in a safe and environmentally sound manner in order to avoid accidental spills; </w:t>
      </w:r>
      <w:r w:rsidR="00D03DEB" w:rsidRPr="00B94B6A">
        <w:t>they</w:t>
      </w:r>
      <w:r w:rsidRPr="00B94B6A">
        <w:t xml:space="preserve"> should also be tracked during transport until </w:t>
      </w:r>
      <w:r w:rsidR="00D03DEB" w:rsidRPr="00B94B6A">
        <w:t>they have</w:t>
      </w:r>
      <w:r w:rsidRPr="00B94B6A">
        <w:t xml:space="preserve"> reached </w:t>
      </w:r>
      <w:r w:rsidR="00D03DEB" w:rsidRPr="00B94B6A">
        <w:t>their</w:t>
      </w:r>
      <w:r w:rsidRPr="00B94B6A">
        <w:t xml:space="preserve"> final destination. Prior to transport, contingency plans should be prepared in order to minimize environmental impacts associated with vehicle accidents, spills, fires and other potential emergencies. During transport, mercury </w:t>
      </w:r>
      <w:r w:rsidR="00D03DEB" w:rsidRPr="00B94B6A">
        <w:t>and</w:t>
      </w:r>
      <w:r w:rsidRPr="00B94B6A">
        <w:t xml:space="preserve"> mercury compounds should be identified, packaged and transported in accordance with </w:t>
      </w:r>
      <w:r w:rsidR="003E53A8" w:rsidRPr="00B94B6A">
        <w:t xml:space="preserve">the relevant </w:t>
      </w:r>
      <w:r w:rsidRPr="00B94B6A">
        <w:t>national</w:t>
      </w:r>
      <w:r w:rsidR="003E53A8" w:rsidRPr="00B94B6A">
        <w:t xml:space="preserve"> regulations</w:t>
      </w:r>
      <w:r w:rsidRPr="00B94B6A">
        <w:t xml:space="preserve"> </w:t>
      </w:r>
      <w:r w:rsidR="003E53A8" w:rsidRPr="00B94B6A">
        <w:t xml:space="preserve">on the </w:t>
      </w:r>
      <w:r w:rsidRPr="00B94B6A">
        <w:t>transport of dangerous goods, which are generally</w:t>
      </w:r>
      <w:r w:rsidRPr="00F81C3A">
        <w:t xml:space="preserve"> based on the </w:t>
      </w:r>
      <w:r w:rsidRPr="00F81C3A">
        <w:rPr>
          <w:i/>
        </w:rPr>
        <w:t>United Nations Recommendations on the Transport of Dangerous Goods: Model Regulations</w:t>
      </w:r>
      <w:r w:rsidRPr="00F81C3A">
        <w:t xml:space="preserve"> (Orange Book).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Companies transporting mercury or mercury compounds within their own countries should </w:t>
      </w:r>
      <w:r w:rsidR="007C629F" w:rsidRPr="00F81C3A">
        <w:t>hold</w:t>
      </w:r>
      <w:r w:rsidR="00B876F7" w:rsidRPr="00F81C3A">
        <w:t xml:space="preserve"> </w:t>
      </w:r>
      <w:r w:rsidRPr="00F81C3A">
        <w:t>authoriz</w:t>
      </w:r>
      <w:r w:rsidR="00B876F7" w:rsidRPr="00F81C3A">
        <w:t>ation</w:t>
      </w:r>
      <w:r w:rsidRPr="00F81C3A">
        <w:t xml:space="preserve"> </w:t>
      </w:r>
      <w:r w:rsidR="007C629F" w:rsidRPr="00F81C3A">
        <w:t>to</w:t>
      </w:r>
      <w:r w:rsidRPr="00F81C3A">
        <w:t xml:space="preserve"> transport</w:t>
      </w:r>
      <w:r w:rsidR="00B876F7" w:rsidRPr="00F81C3A">
        <w:t xml:space="preserve"> </w:t>
      </w:r>
      <w:r w:rsidRPr="00F81C3A">
        <w:t xml:space="preserve">dangerous goods, and their personnel should be qualified or certified to handle dangerous goods in accordance with applicable national and local rules and regulations. Transporters should manage mercury in a way that prevents breakage, environmental releases and exposure to moisture.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To ensure that releases from </w:t>
      </w:r>
      <w:r w:rsidR="00D1614F" w:rsidRPr="00F81C3A">
        <w:t xml:space="preserve">the </w:t>
      </w:r>
      <w:r w:rsidRPr="00F81C3A">
        <w:t xml:space="preserve">handling and transport of mercury or mercury compounds are kept to a minimum, it is important to raise the awareness of the parties concerned (e.g., transporters, recyclers and treatment operators) about the risks of mercury. </w:t>
      </w:r>
      <w:r w:rsidR="00D1614F" w:rsidRPr="00F81C3A">
        <w:t xml:space="preserve">Such awareness-raising </w:t>
      </w:r>
      <w:r w:rsidRPr="00F81C3A">
        <w:t>can be achieved through training activities, such as seminars, that can provide information about new systems and regulations</w:t>
      </w:r>
      <w:r w:rsidR="007C629F" w:rsidRPr="00F81C3A">
        <w:t>,</w:t>
      </w:r>
      <w:r w:rsidRPr="00F81C3A">
        <w:t xml:space="preserve"> </w:t>
      </w:r>
      <w:r w:rsidR="00D1614F" w:rsidRPr="00F81C3A">
        <w:t>as well as</w:t>
      </w:r>
      <w:r w:rsidRPr="00F81C3A">
        <w:t xml:space="preserve"> opportunities for information exchange</w:t>
      </w:r>
      <w:r w:rsidR="007C629F" w:rsidRPr="00F81C3A">
        <w:t>,</w:t>
      </w:r>
      <w:r w:rsidRPr="00F81C3A">
        <w:t xml:space="preserve"> the preparation and distribution of leaflets</w:t>
      </w:r>
      <w:r w:rsidR="007C629F" w:rsidRPr="00F81C3A">
        <w:t>,</w:t>
      </w:r>
      <w:r w:rsidRPr="00F81C3A">
        <w:t xml:space="preserve"> and the dissemination of information via the Internet.</w:t>
      </w:r>
    </w:p>
    <w:p w:rsidR="00700EED" w:rsidRPr="00F81C3A" w:rsidRDefault="00AD48F5" w:rsidP="005D55D9">
      <w:pPr>
        <w:pStyle w:val="CH2"/>
      </w:pPr>
      <w:r w:rsidRPr="00F81C3A">
        <w:tab/>
      </w:r>
      <w:bookmarkStart w:id="29" w:name="_Toc483401117"/>
      <w:r w:rsidRPr="00F81C3A">
        <w:t>A.</w:t>
      </w:r>
      <w:r w:rsidRPr="00F81C3A">
        <w:tab/>
      </w:r>
      <w:r w:rsidR="00700EED" w:rsidRPr="00F81C3A">
        <w:t>Health and safety</w:t>
      </w:r>
      <w:bookmarkEnd w:id="29"/>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Two key aspects of </w:t>
      </w:r>
      <w:r w:rsidR="00D1614F" w:rsidRPr="00F81C3A">
        <w:t>the</w:t>
      </w:r>
      <w:r w:rsidRPr="00F81C3A">
        <w:t xml:space="preserve"> environmentally sound storage of mercury and its compounds are the development and implementation of (</w:t>
      </w:r>
      <w:r w:rsidR="00D1614F" w:rsidRPr="00F81C3A">
        <w:t>a</w:t>
      </w:r>
      <w:r w:rsidRPr="00F81C3A">
        <w:t>) public health and safety activities</w:t>
      </w:r>
      <w:r w:rsidR="00D1614F" w:rsidRPr="00F81C3A">
        <w:t>;</w:t>
      </w:r>
      <w:r w:rsidRPr="00F81C3A">
        <w:t xml:space="preserve"> and (</w:t>
      </w:r>
      <w:r w:rsidR="00D1614F" w:rsidRPr="00F81C3A">
        <w:t>b</w:t>
      </w:r>
      <w:r w:rsidRPr="00F81C3A">
        <w:t xml:space="preserve">) worker health and safety activities </w:t>
      </w:r>
      <w:r w:rsidR="007C629F" w:rsidRPr="00F81C3A">
        <w:t>that</w:t>
      </w:r>
      <w:r w:rsidRPr="00F81C3A">
        <w:t xml:space="preserve"> prevent and minimize exposure to mercury and its compounds.  </w:t>
      </w:r>
    </w:p>
    <w:p w:rsidR="00700EED" w:rsidRPr="00F81C3A" w:rsidRDefault="00AD48F5" w:rsidP="005D55D9">
      <w:pPr>
        <w:pStyle w:val="CH2"/>
      </w:pPr>
      <w:r w:rsidRPr="00F81C3A">
        <w:tab/>
      </w:r>
      <w:bookmarkStart w:id="30" w:name="_Toc483401118"/>
      <w:r w:rsidRPr="00F81C3A">
        <w:t>B.</w:t>
      </w:r>
      <w:r w:rsidRPr="00F81C3A">
        <w:tab/>
      </w:r>
      <w:r w:rsidR="00700EED" w:rsidRPr="00F81C3A">
        <w:t xml:space="preserve">Public </w:t>
      </w:r>
      <w:r w:rsidR="00057280" w:rsidRPr="00F81C3A">
        <w:t>h</w:t>
      </w:r>
      <w:r w:rsidR="00700EED" w:rsidRPr="00F81C3A">
        <w:t xml:space="preserve">ealth and </w:t>
      </w:r>
      <w:r w:rsidR="00057280" w:rsidRPr="00F81C3A">
        <w:t>s</w:t>
      </w:r>
      <w:r w:rsidR="00700EED" w:rsidRPr="00F81C3A">
        <w:t>afety</w:t>
      </w:r>
      <w:bookmarkEnd w:id="30"/>
      <w:r w:rsidR="00700EED" w:rsidRPr="00F81C3A">
        <w:t xml:space="preserve"> </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Addressing </w:t>
      </w:r>
      <w:r w:rsidRPr="002B2A57">
        <w:t>public safety</w:t>
      </w:r>
      <w:r w:rsidRPr="00F81C3A">
        <w:t xml:space="preserve"> </w:t>
      </w:r>
      <w:r w:rsidR="00D1614F" w:rsidRPr="00F81C3A">
        <w:t>is</w:t>
      </w:r>
      <w:r w:rsidRPr="00F81C3A">
        <w:t xml:space="preserve"> dependent on appropriate reporting of both routine and accidental mercury releases by facility operators. T</w:t>
      </w:r>
      <w:r w:rsidR="00D1614F" w:rsidRPr="00F81C3A">
        <w:t>he t</w:t>
      </w:r>
      <w:r w:rsidRPr="00F81C3A">
        <w:t xml:space="preserve">imely reporting of </w:t>
      </w:r>
      <w:r w:rsidR="00D1614F" w:rsidRPr="00F81C3A">
        <w:t xml:space="preserve">such </w:t>
      </w:r>
      <w:r w:rsidRPr="00F81C3A">
        <w:t xml:space="preserve">information to local authorities </w:t>
      </w:r>
      <w:r w:rsidR="00D1614F" w:rsidRPr="00F81C3A">
        <w:t>requir</w:t>
      </w:r>
      <w:r w:rsidR="00F44960" w:rsidRPr="00F81C3A">
        <w:t>es</w:t>
      </w:r>
      <w:r w:rsidR="00D1614F" w:rsidRPr="00F81C3A">
        <w:t xml:space="preserve"> </w:t>
      </w:r>
      <w:r w:rsidRPr="00F81C3A">
        <w:t>both routine and emergency procedures</w:t>
      </w:r>
      <w:r w:rsidR="00F44960" w:rsidRPr="00F81C3A">
        <w:t xml:space="preserve"> for reporting releases</w:t>
      </w:r>
      <w:r w:rsidRPr="00F81C3A">
        <w:t xml:space="preserve">, including </w:t>
      </w:r>
      <w:r w:rsidR="00D1614F" w:rsidRPr="00F81C3A">
        <w:t xml:space="preserve">to </w:t>
      </w:r>
      <w:r w:rsidRPr="00F81C3A">
        <w:t xml:space="preserve">civil authorities and local emergency responders, to be clearly established before </w:t>
      </w:r>
      <w:r w:rsidR="00F44960" w:rsidRPr="00F81C3A">
        <w:t>a</w:t>
      </w:r>
      <w:r w:rsidRPr="00F81C3A">
        <w:t xml:space="preserve"> facility begins operation. People living and working </w:t>
      </w:r>
      <w:r w:rsidR="00F44960" w:rsidRPr="00F81C3A">
        <w:t>near</w:t>
      </w:r>
      <w:r w:rsidRPr="00F81C3A">
        <w:t xml:space="preserve"> storage facilities may also be exposed to environmental health and accident risks. </w:t>
      </w:r>
      <w:r w:rsidR="00D1614F" w:rsidRPr="00F81C3A">
        <w:t xml:space="preserve">Such </w:t>
      </w:r>
      <w:r w:rsidRPr="00F81C3A">
        <w:t xml:space="preserve">risks relate mainly to emissions and releases from the work undertaken at the facility, as well as transport to and from the facility. Adequate measures are necessary to prevent and minimize impacts on human health and the environment. Monitoring programmes may help </w:t>
      </w:r>
      <w:r w:rsidR="00F44960" w:rsidRPr="00F81C3A">
        <w:t>in</w:t>
      </w:r>
      <w:r w:rsidRPr="00F81C3A">
        <w:t xml:space="preserve"> identify</w:t>
      </w:r>
      <w:r w:rsidR="00F44960" w:rsidRPr="00F81C3A">
        <w:t>ing</w:t>
      </w:r>
      <w:r w:rsidRPr="00F81C3A">
        <w:t xml:space="preserve"> problems and tak</w:t>
      </w:r>
      <w:r w:rsidR="00F44960" w:rsidRPr="00F81C3A">
        <w:t>ing</w:t>
      </w:r>
      <w:r w:rsidRPr="00F81C3A">
        <w:t xml:space="preserve"> appropriate measures to remedy them. Such programmes could include </w:t>
      </w:r>
      <w:r w:rsidR="00280FDF" w:rsidRPr="00F81C3A">
        <w:t xml:space="preserve">the </w:t>
      </w:r>
      <w:r w:rsidRPr="00F81C3A">
        <w:t>monitoring of any emissions or releases of mercury from the facility to determine whether the</w:t>
      </w:r>
      <w:r w:rsidR="00F44960" w:rsidRPr="00F81C3A">
        <w:t>se</w:t>
      </w:r>
      <w:r w:rsidRPr="00F81C3A">
        <w:t xml:space="preserve"> </w:t>
      </w:r>
      <w:r w:rsidR="00F44960" w:rsidRPr="00F81C3A">
        <w:t>c</w:t>
      </w:r>
      <w:r w:rsidRPr="00F81C3A">
        <w:t xml:space="preserve">ould </w:t>
      </w:r>
      <w:r w:rsidR="00F44960" w:rsidRPr="00F81C3A">
        <w:t>result in</w:t>
      </w:r>
      <w:r w:rsidRPr="00F81C3A">
        <w:t xml:space="preserve"> any exposure </w:t>
      </w:r>
      <w:r w:rsidR="00280FDF" w:rsidRPr="00F81C3A">
        <w:t xml:space="preserve">of </w:t>
      </w:r>
      <w:r w:rsidRPr="00F81C3A">
        <w:t xml:space="preserve">the local population. Facility operators may wish to host community awareness forums to address questions concerning facility siting, operations and emergency response plans.  </w:t>
      </w:r>
    </w:p>
    <w:p w:rsidR="00700EED" w:rsidRPr="00F81C3A" w:rsidRDefault="00AD48F5" w:rsidP="005D55D9">
      <w:pPr>
        <w:pStyle w:val="CH2"/>
      </w:pPr>
      <w:r w:rsidRPr="00F81C3A">
        <w:tab/>
      </w:r>
      <w:bookmarkStart w:id="31" w:name="_Toc483401119"/>
      <w:r w:rsidRPr="00F81C3A">
        <w:t>C.</w:t>
      </w:r>
      <w:r w:rsidRPr="00F81C3A">
        <w:tab/>
      </w:r>
      <w:r w:rsidR="00700EED" w:rsidRPr="00F81C3A">
        <w:t xml:space="preserve">Worker </w:t>
      </w:r>
      <w:r w:rsidR="00057280" w:rsidRPr="00F81C3A">
        <w:t>h</w:t>
      </w:r>
      <w:r w:rsidR="00700EED" w:rsidRPr="00F81C3A">
        <w:t xml:space="preserve">ealth and </w:t>
      </w:r>
      <w:r w:rsidR="00057280" w:rsidRPr="00F81C3A">
        <w:t>s</w:t>
      </w:r>
      <w:r w:rsidR="00700EED" w:rsidRPr="00F81C3A">
        <w:t>afety</w:t>
      </w:r>
      <w:bookmarkEnd w:id="31"/>
    </w:p>
    <w:p w:rsidR="00700EED" w:rsidRPr="00F81C3A" w:rsidRDefault="00700EED" w:rsidP="003074E6">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Employers should ensure the health and safety of </w:t>
      </w:r>
      <w:r w:rsidR="00B31182" w:rsidRPr="00F81C3A">
        <w:t>all</w:t>
      </w:r>
      <w:r w:rsidRPr="00F81C3A">
        <w:t xml:space="preserve"> employee</w:t>
      </w:r>
      <w:r w:rsidR="00B31182" w:rsidRPr="00F81C3A">
        <w:t>s</w:t>
      </w:r>
      <w:r w:rsidRPr="00F81C3A">
        <w:t xml:space="preserve"> while they are at work. Every employer should obtain and maintain insurance, under an approved policy from an authorized insurer, providing a sufficient level of coverage in case of liability </w:t>
      </w:r>
      <w:r w:rsidRPr="005E432D">
        <w:t>(</w:t>
      </w:r>
      <w:r w:rsidR="003074E6" w:rsidRPr="005E432D">
        <w:t xml:space="preserve">including those </w:t>
      </w:r>
      <w:r w:rsidR="00AA54A5" w:rsidRPr="005E432D">
        <w:t>that</w:t>
      </w:r>
      <w:r w:rsidR="003074E6" w:rsidRPr="005E432D">
        <w:t xml:space="preserve"> may require</w:t>
      </w:r>
      <w:r w:rsidR="00AA54A5" w:rsidRPr="005E432D">
        <w:t xml:space="preserve"> </w:t>
      </w:r>
      <w:r w:rsidRPr="005E432D">
        <w:t>compensation)</w:t>
      </w:r>
      <w:r w:rsidR="005D7993">
        <w:t xml:space="preserve"> </w:t>
      </w:r>
      <w:r w:rsidRPr="00F81C3A">
        <w:t xml:space="preserve">for bodily illness or injury sustained by employees arising out of and in the course of their employment, in accordance with national law. </w:t>
      </w:r>
      <w:r w:rsidR="00B31182" w:rsidRPr="00F81C3A">
        <w:t>Facility-specific h</w:t>
      </w:r>
      <w:r w:rsidRPr="00F81C3A">
        <w:t>ealth and safety plans should be in place at all facilities handl</w:t>
      </w:r>
      <w:r w:rsidR="00B31182" w:rsidRPr="00F81C3A">
        <w:t>ing</w:t>
      </w:r>
      <w:r w:rsidRPr="00F81C3A">
        <w:t xml:space="preserve"> mercury or mercury compounds to ensure the protection of everyone in and around such facilities. Such plans should be developed by trained health and safety professionals with experience in managing health risks associated with mercury.</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The protection of workers </w:t>
      </w:r>
      <w:r w:rsidR="00B31182" w:rsidRPr="00F81C3A">
        <w:t>who</w:t>
      </w:r>
      <w:r w:rsidRPr="00F81C3A">
        <w:t xml:space="preserve"> handl</w:t>
      </w:r>
      <w:r w:rsidR="00B31182" w:rsidRPr="00F81C3A">
        <w:t>e</w:t>
      </w:r>
      <w:r w:rsidRPr="00F81C3A">
        <w:t xml:space="preserve"> mercury or mercury compounds</w:t>
      </w:r>
      <w:r w:rsidR="00B31182" w:rsidRPr="00F81C3A">
        <w:t>,</w:t>
      </w:r>
      <w:r w:rsidRPr="00F81C3A">
        <w:t xml:space="preserve"> and </w:t>
      </w:r>
      <w:r w:rsidR="00B31182" w:rsidRPr="00F81C3A">
        <w:t xml:space="preserve">of </w:t>
      </w:r>
      <w:r w:rsidRPr="00F81C3A">
        <w:t>the general public</w:t>
      </w:r>
      <w:r w:rsidR="00B31182" w:rsidRPr="00F81C3A">
        <w:t>,</w:t>
      </w:r>
      <w:r w:rsidRPr="00F81C3A">
        <w:t xml:space="preserve"> can be achieved </w:t>
      </w:r>
      <w:r w:rsidR="00AF74DE" w:rsidRPr="00F81C3A">
        <w:t>by the following means</w:t>
      </w:r>
      <w:r w:rsidRPr="00F81C3A">
        <w:t>:</w:t>
      </w:r>
    </w:p>
    <w:p w:rsidR="00700EED" w:rsidRPr="00F81C3A" w:rsidRDefault="00AF74DE"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(a)</w:t>
      </w:r>
      <w:r w:rsidR="00700EED" w:rsidRPr="00F81C3A">
        <w:tab/>
      </w:r>
      <w:r w:rsidR="00B31182" w:rsidRPr="00F81C3A">
        <w:t>Restricting</w:t>
      </w:r>
      <w:r w:rsidR="00700EED" w:rsidRPr="00F81C3A">
        <w:t xml:space="preserve"> access to facilities to authorized personnel; </w:t>
      </w:r>
    </w:p>
    <w:p w:rsidR="00700EED" w:rsidRPr="00F81C3A" w:rsidRDefault="00AF74DE"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(b)</w:t>
      </w:r>
      <w:r w:rsidR="00700EED" w:rsidRPr="00F81C3A">
        <w:tab/>
      </w:r>
      <w:r w:rsidRPr="00F81C3A">
        <w:t>E</w:t>
      </w:r>
      <w:r w:rsidR="00700EED" w:rsidRPr="00F81C3A">
        <w:t xml:space="preserve">nsuring that occupational exposure limits for hazardous substances are not exceeded by making sure that all personnel use appropriate protective equipment; </w:t>
      </w:r>
    </w:p>
    <w:p w:rsidR="00700EED" w:rsidRPr="00F81C3A" w:rsidRDefault="00AF74DE"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(c)</w:t>
      </w:r>
      <w:r w:rsidR="00700EED" w:rsidRPr="00F81C3A">
        <w:tab/>
      </w:r>
      <w:r w:rsidRPr="00F81C3A">
        <w:t>E</w:t>
      </w:r>
      <w:r w:rsidR="00700EED" w:rsidRPr="00F81C3A">
        <w:t xml:space="preserve">nsuring appropriate ventilation of facilities to minimize risk from exposure to volatile substances or substances that can become airborne; </w:t>
      </w:r>
    </w:p>
    <w:p w:rsidR="00700EED" w:rsidRPr="00F81C3A" w:rsidRDefault="00AF74DE"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(d)</w:t>
      </w:r>
      <w:r w:rsidR="00700EED" w:rsidRPr="00F81C3A">
        <w:tab/>
      </w:r>
      <w:r w:rsidRPr="00F81C3A">
        <w:t>E</w:t>
      </w:r>
      <w:r w:rsidR="00700EED" w:rsidRPr="00F81C3A">
        <w:t xml:space="preserve">nsuring </w:t>
      </w:r>
      <w:r w:rsidR="00B31182" w:rsidRPr="00F81C3A">
        <w:t xml:space="preserve">that </w:t>
      </w:r>
      <w:r w:rsidR="00700EED" w:rsidRPr="00F81C3A">
        <w:t>facilit</w:t>
      </w:r>
      <w:r w:rsidR="00B31182" w:rsidRPr="00F81C3A">
        <w:t>ies</w:t>
      </w:r>
      <w:r w:rsidR="00700EED" w:rsidRPr="00F81C3A">
        <w:t xml:space="preserve"> compl</w:t>
      </w:r>
      <w:r w:rsidR="00B31182" w:rsidRPr="00F81C3A">
        <w:t>y</w:t>
      </w:r>
      <w:r w:rsidR="00700EED" w:rsidRPr="00F81C3A">
        <w:t xml:space="preserve"> with all national and regional laws on workplace health and safety.</w:t>
      </w:r>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Guideline values for mercury concentrations in drinking water and ambient air established by WHO are 0.006 mg/L for inorganic mercury and 1 μg/m</w:t>
      </w:r>
      <w:r w:rsidRPr="00F81C3A">
        <w:rPr>
          <w:vertAlign w:val="superscript"/>
        </w:rPr>
        <w:t>3</w:t>
      </w:r>
      <w:r w:rsidRPr="00F81C3A">
        <w:t xml:space="preserve"> for inorganic mercury vapour (WHO, </w:t>
      </w:r>
      <w:r w:rsidRPr="0070348A">
        <w:t>2006</w:t>
      </w:r>
      <w:r w:rsidRPr="00F81C3A">
        <w:t>; WHO Regional Office for Europe, 2000). Governments are encouraged to monitor air and water in order to protect human health, especially near sites where activities using mercury take place. Some countries have established permissible levels of mercury in the working environment (e.g., 0.025</w:t>
      </w:r>
      <w:r w:rsidR="00125A6B">
        <w:t> </w:t>
      </w:r>
      <w:r w:rsidRPr="00F81C3A">
        <w:t>mg/m</w:t>
      </w:r>
      <w:r w:rsidRPr="00F81C3A">
        <w:rPr>
          <w:vertAlign w:val="superscript"/>
        </w:rPr>
        <w:t>3</w:t>
      </w:r>
      <w:r w:rsidRPr="00F81C3A">
        <w:t xml:space="preserve"> Hg for inorganic mercury, excluding mercury sulphide, and 0.01</w:t>
      </w:r>
      <w:r w:rsidR="00125A6B">
        <w:t> </w:t>
      </w:r>
      <w:r w:rsidRPr="00F81C3A">
        <w:t>mg/m</w:t>
      </w:r>
      <w:r w:rsidRPr="00F81C3A">
        <w:rPr>
          <w:vertAlign w:val="superscript"/>
        </w:rPr>
        <w:t>3</w:t>
      </w:r>
      <w:r w:rsidRPr="00F81C3A">
        <w:t xml:space="preserve"> Hg for </w:t>
      </w:r>
      <w:proofErr w:type="spellStart"/>
      <w:r w:rsidRPr="00F81C3A">
        <w:t>alkylmercury</w:t>
      </w:r>
      <w:proofErr w:type="spellEnd"/>
      <w:r w:rsidRPr="00F81C3A">
        <w:t xml:space="preserve"> compounds in Japan)</w:t>
      </w:r>
      <w:r w:rsidR="008707B9" w:rsidRPr="00F81C3A">
        <w:t>.</w:t>
      </w:r>
      <w:r w:rsidRPr="00F81C3A">
        <w:t xml:space="preserve"> </w:t>
      </w:r>
      <w:r w:rsidR="008707B9" w:rsidRPr="00F81C3A">
        <w:t>M</w:t>
      </w:r>
      <w:r w:rsidRPr="00F81C3A">
        <w:t>anagement operations should be conducted so as to satisfy any applicable requirements regarding permissible levels of mercury in the working environment</w:t>
      </w:r>
      <w:r w:rsidR="00B31182" w:rsidRPr="00F81C3A">
        <w:t>,</w:t>
      </w:r>
      <w:r w:rsidRPr="00F81C3A">
        <w:t xml:space="preserve"> and facilities where such operations are conducted should be designed and operated so as to minimize mercury releases to the environment as far as is technically possible. </w:t>
      </w:r>
    </w:p>
    <w:p w:rsidR="00700EED" w:rsidRPr="00F81C3A" w:rsidRDefault="00AD48F5" w:rsidP="00335BF4">
      <w:pPr>
        <w:pStyle w:val="CH2"/>
      </w:pPr>
      <w:r w:rsidRPr="00F81C3A">
        <w:tab/>
      </w:r>
      <w:bookmarkStart w:id="32" w:name="_Toc483401120"/>
      <w:r w:rsidRPr="00F81C3A">
        <w:t>D.</w:t>
      </w:r>
      <w:r w:rsidRPr="00F81C3A">
        <w:tab/>
      </w:r>
      <w:r w:rsidR="00700EED" w:rsidRPr="00F81C3A">
        <w:t>Standards for the identification of stocks</w:t>
      </w:r>
      <w:bookmarkEnd w:id="32"/>
    </w:p>
    <w:p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Guidance on the identification of stocks of mercury and mercury compounds w</w:t>
      </w:r>
      <w:r w:rsidR="00B31182" w:rsidRPr="00F81C3A">
        <w:t>as</w:t>
      </w:r>
      <w:r w:rsidRPr="00F81C3A">
        <w:t xml:space="preserve"> adopted on a provisional basis </w:t>
      </w:r>
      <w:r w:rsidR="008707B9" w:rsidRPr="00F81C3A">
        <w:t xml:space="preserve">by the intergovernmental negotiating committee </w:t>
      </w:r>
      <w:r w:rsidRPr="00F81C3A">
        <w:t xml:space="preserve">at </w:t>
      </w:r>
      <w:r w:rsidR="008707B9" w:rsidRPr="00F81C3A">
        <w:t>its seventh session</w:t>
      </w:r>
      <w:r w:rsidRPr="00F81C3A">
        <w:t>. Following formal adoption</w:t>
      </w:r>
      <w:r w:rsidR="008707B9" w:rsidRPr="00F81C3A">
        <w:t xml:space="preserve"> by the Conference of the Parties</w:t>
      </w:r>
      <w:r w:rsidRPr="00F81C3A">
        <w:t>,</w:t>
      </w:r>
      <w:r w:rsidR="008707B9" w:rsidRPr="00F81C3A">
        <w:t xml:space="preserve"> </w:t>
      </w:r>
      <w:r w:rsidRPr="00F81C3A">
        <w:t xml:space="preserve">the final version </w:t>
      </w:r>
      <w:r w:rsidR="008707B9" w:rsidRPr="00F81C3A">
        <w:t xml:space="preserve">of that guidance </w:t>
      </w:r>
      <w:r w:rsidRPr="00F81C3A">
        <w:t xml:space="preserve">will be referenced </w:t>
      </w:r>
      <w:r w:rsidR="008707B9" w:rsidRPr="00F81C3A">
        <w:t>in the present draft guidelines</w:t>
      </w:r>
      <w:r w:rsidRPr="00F81C3A">
        <w:t xml:space="preserve">. </w:t>
      </w:r>
    </w:p>
    <w:p w:rsidR="00AD48F5" w:rsidRPr="00F81C3A" w:rsidRDefault="00AD48F5">
      <w:pPr>
        <w:tabs>
          <w:tab w:val="clear" w:pos="1247"/>
          <w:tab w:val="clear" w:pos="1814"/>
          <w:tab w:val="clear" w:pos="2381"/>
          <w:tab w:val="clear" w:pos="2948"/>
          <w:tab w:val="clear" w:pos="3515"/>
        </w:tabs>
        <w:rPr>
          <w:b/>
          <w:bCs/>
        </w:rPr>
      </w:pPr>
      <w:r w:rsidRPr="00F81C3A">
        <w:rPr>
          <w:b/>
          <w:bCs/>
        </w:rPr>
        <w:br w:type="page"/>
      </w:r>
    </w:p>
    <w:p w:rsidR="00700EED" w:rsidRPr="00F81C3A" w:rsidRDefault="00F204CF" w:rsidP="00335BF4">
      <w:pPr>
        <w:pStyle w:val="CH1"/>
      </w:pPr>
      <w:r w:rsidRPr="00F81C3A">
        <w:tab/>
      </w:r>
      <w:r w:rsidRPr="00F81C3A">
        <w:tab/>
      </w:r>
      <w:bookmarkStart w:id="33" w:name="_Toc483401121"/>
      <w:r w:rsidR="00700EED" w:rsidRPr="00F81C3A">
        <w:t>References</w:t>
      </w:r>
      <w:r w:rsidR="007322BD" w:rsidRPr="00F81C3A">
        <w:t xml:space="preserve"> and other resources</w:t>
      </w:r>
      <w:bookmarkEnd w:id="33"/>
    </w:p>
    <w:p w:rsidR="00700EED" w:rsidRDefault="00700EED" w:rsidP="00E42377">
      <w:pPr>
        <w:pStyle w:val="Normal-pool"/>
        <w:tabs>
          <w:tab w:val="clear" w:pos="1247"/>
          <w:tab w:val="clear" w:pos="1814"/>
          <w:tab w:val="clear" w:pos="2381"/>
          <w:tab w:val="clear" w:pos="2948"/>
          <w:tab w:val="clear" w:pos="3515"/>
          <w:tab w:val="clear" w:pos="4082"/>
        </w:tabs>
        <w:spacing w:after="120"/>
        <w:ind w:left="1247"/>
      </w:pPr>
      <w:r w:rsidRPr="00F81C3A">
        <w:t xml:space="preserve">Canadian Centre for Occupational </w:t>
      </w:r>
      <w:r w:rsidRPr="0044080E">
        <w:t>Health and</w:t>
      </w:r>
      <w:r w:rsidRPr="00F81C3A">
        <w:t xml:space="preserve"> Safety, undated</w:t>
      </w:r>
      <w:r w:rsidR="00C21846" w:rsidRPr="00F81C3A">
        <w:t>.</w:t>
      </w:r>
      <w:r w:rsidRPr="00F81C3A">
        <w:t xml:space="preserve"> </w:t>
      </w:r>
      <w:r w:rsidRPr="00F81C3A">
        <w:rPr>
          <w:i/>
        </w:rPr>
        <w:t>OHS Fact Sheets: Mercury</w:t>
      </w:r>
      <w:r w:rsidRPr="00F81C3A">
        <w:t xml:space="preserve">. Available from: </w:t>
      </w:r>
      <w:hyperlink r:id="rId19" w:history="1">
        <w:r w:rsidR="00D52BE6" w:rsidRPr="00C85410">
          <w:rPr>
            <w:rStyle w:val="Hyperlink"/>
            <w:lang w:val="en-GB"/>
          </w:rPr>
          <w:t>http://www.ccohs.ca/oshanswers/chemicals/chem_profiles/mercury.html</w:t>
        </w:r>
      </w:hyperlink>
      <w:r w:rsidR="00181EE1" w:rsidRPr="00F81C3A">
        <w:t>.</w:t>
      </w:r>
    </w:p>
    <w:p w:rsidR="00700EED" w:rsidRPr="00F81C3A" w:rsidRDefault="00AF0E01" w:rsidP="00E42377">
      <w:pPr>
        <w:pStyle w:val="Normal-pool"/>
        <w:tabs>
          <w:tab w:val="clear" w:pos="1247"/>
          <w:tab w:val="clear" w:pos="1814"/>
          <w:tab w:val="clear" w:pos="2381"/>
          <w:tab w:val="clear" w:pos="2948"/>
          <w:tab w:val="clear" w:pos="3515"/>
          <w:tab w:val="clear" w:pos="4082"/>
        </w:tabs>
        <w:spacing w:after="120"/>
        <w:ind w:left="1247"/>
      </w:pPr>
      <w:hyperlink w:history="1"/>
      <w:r w:rsidR="00C21846" w:rsidRPr="00F81C3A">
        <w:t>European Union (</w:t>
      </w:r>
      <w:r w:rsidR="00700EED" w:rsidRPr="00F81C3A">
        <w:t>EU</w:t>
      </w:r>
      <w:r w:rsidR="00C21846" w:rsidRPr="00F81C3A">
        <w:t>)</w:t>
      </w:r>
      <w:r w:rsidR="00700EED" w:rsidRPr="00F81C3A">
        <w:t xml:space="preserve"> </w:t>
      </w:r>
      <w:r w:rsidR="002E19AD" w:rsidRPr="00F81C3A">
        <w:t>(</w:t>
      </w:r>
      <w:r w:rsidR="00700EED" w:rsidRPr="00F81C3A">
        <w:t>2011</w:t>
      </w:r>
      <w:r w:rsidR="002E19AD" w:rsidRPr="00F81C3A">
        <w:t>)</w:t>
      </w:r>
      <w:r w:rsidR="00C21846" w:rsidRPr="00F81C3A">
        <w:t>.</w:t>
      </w:r>
      <w:r w:rsidR="00700EED" w:rsidRPr="00F81C3A">
        <w:t xml:space="preserve"> C</w:t>
      </w:r>
      <w:r w:rsidR="00181EE1" w:rsidRPr="00F81C3A">
        <w:t>ouncil Directive</w:t>
      </w:r>
      <w:r w:rsidR="00700EED" w:rsidRPr="00F81C3A">
        <w:t xml:space="preserve"> 2011/97/EU of 5 December 2011 amending Directive 1999/31/EC as regards specific criteria for the storage of metallic mercury considered as waste</w:t>
      </w:r>
      <w:r w:rsidR="00181EE1" w:rsidRPr="00F81C3A">
        <w:t>. Available from</w:t>
      </w:r>
      <w:r w:rsidR="00700EED" w:rsidRPr="00F81C3A">
        <w:t xml:space="preserve"> </w:t>
      </w:r>
      <w:hyperlink r:id="rId20" w:history="1">
        <w:r w:rsidR="00991398" w:rsidRPr="00F81C3A">
          <w:rPr>
            <w:rStyle w:val="Hyperlink"/>
            <w:lang w:val="en-GB"/>
          </w:rPr>
          <w:t>http://eur-lex.europa.eu/LexUriServ/LexUriServ.do?uri=OJ:L:2011:328:0049:0052:EN:PDF</w:t>
        </w:r>
      </w:hyperlink>
      <w:r w:rsidR="00181EE1" w:rsidRPr="00F81C3A">
        <w:t>.</w:t>
      </w:r>
    </w:p>
    <w:p w:rsidR="00B2001C" w:rsidRPr="00F81C3A" w:rsidRDefault="00B2001C" w:rsidP="00E42377">
      <w:pPr>
        <w:pStyle w:val="Normal-pool"/>
        <w:tabs>
          <w:tab w:val="clear" w:pos="1247"/>
          <w:tab w:val="clear" w:pos="1814"/>
          <w:tab w:val="clear" w:pos="2381"/>
          <w:tab w:val="clear" w:pos="2948"/>
          <w:tab w:val="clear" w:pos="3515"/>
          <w:tab w:val="clear" w:pos="4082"/>
        </w:tabs>
        <w:spacing w:after="120"/>
        <w:ind w:left="1247"/>
      </w:pPr>
      <w:r w:rsidRPr="00F81C3A">
        <w:t xml:space="preserve">International Air Transport Association (2016), </w:t>
      </w:r>
      <w:r w:rsidRPr="00F81C3A">
        <w:rPr>
          <w:i/>
        </w:rPr>
        <w:t>Da</w:t>
      </w:r>
      <w:r w:rsidR="00EC5E98" w:rsidRPr="00F81C3A">
        <w:rPr>
          <w:i/>
        </w:rPr>
        <w:t>ngerous Goods Regulations</w:t>
      </w:r>
      <w:r w:rsidR="00EC5E98" w:rsidRPr="00F81C3A">
        <w:t>.</w:t>
      </w:r>
      <w:r w:rsidRPr="00F81C3A">
        <w:t xml:space="preserve"> </w:t>
      </w:r>
    </w:p>
    <w:p w:rsidR="00700EED" w:rsidRPr="00F81C3A" w:rsidRDefault="00E60C49" w:rsidP="00E42377">
      <w:pPr>
        <w:pStyle w:val="Normal-pool"/>
        <w:tabs>
          <w:tab w:val="clear" w:pos="1247"/>
          <w:tab w:val="clear" w:pos="1814"/>
          <w:tab w:val="clear" w:pos="2381"/>
          <w:tab w:val="clear" w:pos="2948"/>
          <w:tab w:val="clear" w:pos="3515"/>
          <w:tab w:val="clear" w:pos="4082"/>
        </w:tabs>
        <w:spacing w:after="120"/>
        <w:ind w:left="1247"/>
      </w:pPr>
      <w:r w:rsidRPr="00F81C3A">
        <w:t>International Civil Aviation Organization</w:t>
      </w:r>
      <w:r w:rsidR="00B80AD6" w:rsidRPr="00F81C3A">
        <w:t>.</w:t>
      </w:r>
      <w:r w:rsidRPr="00F81C3A" w:rsidDel="00E60C49">
        <w:t xml:space="preserve"> </w:t>
      </w:r>
      <w:r w:rsidR="00700EED" w:rsidRPr="00F81C3A">
        <w:rPr>
          <w:i/>
        </w:rPr>
        <w:t>Technical Instructions for the Safe Transport of Dangerous Goods by Air</w:t>
      </w:r>
      <w:r w:rsidR="00B80AD6" w:rsidRPr="00F81C3A">
        <w:t xml:space="preserve">. </w:t>
      </w:r>
      <w:proofErr w:type="gramStart"/>
      <w:r w:rsidR="00B80AD6" w:rsidRPr="00F81C3A">
        <w:t xml:space="preserve">Latest version available from </w:t>
      </w:r>
      <w:hyperlink r:id="rId21" w:history="1">
        <w:r w:rsidR="007503C2" w:rsidRPr="00435149">
          <w:rPr>
            <w:rStyle w:val="Hyperlink"/>
            <w:lang w:val="en-GB"/>
          </w:rPr>
          <w:t>https://www.icao.int/safety/DangerousGoods/Pages/technical-instructions.aspx</w:t>
        </w:r>
      </w:hyperlink>
      <w:r w:rsidR="00B80AD6" w:rsidRPr="00F81C3A">
        <w:t>.</w:t>
      </w:r>
      <w:proofErr w:type="gramEnd"/>
    </w:p>
    <w:p w:rsidR="00700EED" w:rsidRPr="00F81C3A" w:rsidRDefault="00C21846" w:rsidP="00E42377">
      <w:pPr>
        <w:pStyle w:val="Normal-pool"/>
        <w:tabs>
          <w:tab w:val="clear" w:pos="1247"/>
          <w:tab w:val="clear" w:pos="1814"/>
          <w:tab w:val="clear" w:pos="2381"/>
          <w:tab w:val="clear" w:pos="2948"/>
          <w:tab w:val="clear" w:pos="3515"/>
          <w:tab w:val="clear" w:pos="4082"/>
        </w:tabs>
        <w:spacing w:after="120"/>
        <w:ind w:left="1247"/>
      </w:pPr>
      <w:r w:rsidRPr="00F81C3A">
        <w:t>International Labour Organization</w:t>
      </w:r>
      <w:r w:rsidR="00700EED" w:rsidRPr="00F81C3A">
        <w:t xml:space="preserve"> </w:t>
      </w:r>
      <w:r w:rsidR="002E19AD" w:rsidRPr="00F81C3A">
        <w:t>(</w:t>
      </w:r>
      <w:r w:rsidR="00700EED" w:rsidRPr="00F81C3A">
        <w:t>2001</w:t>
      </w:r>
      <w:r w:rsidR="002E19AD" w:rsidRPr="00F81C3A">
        <w:t>)</w:t>
      </w:r>
      <w:r w:rsidRPr="00F81C3A">
        <w:t>.</w:t>
      </w:r>
      <w:r w:rsidR="00700EED" w:rsidRPr="00F81C3A">
        <w:t xml:space="preserve"> </w:t>
      </w:r>
      <w:proofErr w:type="gramStart"/>
      <w:r w:rsidR="00700EED" w:rsidRPr="00F81C3A">
        <w:rPr>
          <w:i/>
        </w:rPr>
        <w:t>Mercuric Oxide</w:t>
      </w:r>
      <w:r w:rsidR="00700EED" w:rsidRPr="00F81C3A">
        <w:t>, International Occupational Safety and Health Information Centre.</w:t>
      </w:r>
      <w:proofErr w:type="gramEnd"/>
      <w:r w:rsidR="008169B2">
        <w:t xml:space="preserve"> </w:t>
      </w:r>
    </w:p>
    <w:p w:rsidR="00B80AD6" w:rsidRPr="00F81C3A" w:rsidRDefault="00B80AD6" w:rsidP="00E42377">
      <w:pPr>
        <w:pStyle w:val="Normal-pool"/>
        <w:tabs>
          <w:tab w:val="clear" w:pos="1247"/>
          <w:tab w:val="clear" w:pos="1814"/>
          <w:tab w:val="clear" w:pos="2381"/>
          <w:tab w:val="clear" w:pos="2948"/>
          <w:tab w:val="clear" w:pos="3515"/>
          <w:tab w:val="clear" w:pos="4082"/>
        </w:tabs>
        <w:spacing w:after="120"/>
        <w:ind w:left="1247"/>
      </w:pPr>
      <w:r w:rsidRPr="00F81C3A">
        <w:t xml:space="preserve">International Maritime Organization. </w:t>
      </w:r>
      <w:r w:rsidRPr="00F81C3A">
        <w:rPr>
          <w:i/>
        </w:rPr>
        <w:t>International Maritime Dangerous Goods Code</w:t>
      </w:r>
      <w:r w:rsidRPr="00F81C3A">
        <w:t xml:space="preserve">. </w:t>
      </w:r>
      <w:proofErr w:type="gramStart"/>
      <w:r w:rsidRPr="00F81C3A">
        <w:t xml:space="preserve">Latest version available from </w:t>
      </w:r>
      <w:hyperlink r:id="rId22" w:history="1">
        <w:r w:rsidR="007503C2" w:rsidRPr="00435149">
          <w:rPr>
            <w:rStyle w:val="Hyperlink"/>
            <w:lang w:val="en-GB"/>
          </w:rPr>
          <w:t>http://www.imo.org/en/Publications/IMDGCode/Pages/Default.aspx</w:t>
        </w:r>
      </w:hyperlink>
      <w:r w:rsidRPr="00F81C3A">
        <w:t>.</w:t>
      </w:r>
      <w:proofErr w:type="gramEnd"/>
    </w:p>
    <w:p w:rsidR="007322BD" w:rsidRPr="00F81C3A" w:rsidRDefault="007322BD" w:rsidP="00E42377">
      <w:pPr>
        <w:pStyle w:val="Normal-pool"/>
        <w:tabs>
          <w:tab w:val="clear" w:pos="1247"/>
          <w:tab w:val="clear" w:pos="1814"/>
          <w:tab w:val="clear" w:pos="2381"/>
          <w:tab w:val="clear" w:pos="2948"/>
          <w:tab w:val="clear" w:pos="3515"/>
          <w:tab w:val="clear" w:pos="4082"/>
        </w:tabs>
        <w:spacing w:after="120"/>
        <w:ind w:left="1247"/>
      </w:pPr>
      <w:r w:rsidRPr="00F81C3A">
        <w:t xml:space="preserve">Organization for Economic Cooperation and Development (2001). </w:t>
      </w:r>
      <w:r w:rsidRPr="00F81C3A">
        <w:rPr>
          <w:i/>
        </w:rPr>
        <w:t>Harmonised Integrated Classification System for Human Health and Environmental Hazards of Chemical Substances and Mixtures</w:t>
      </w:r>
      <w:r w:rsidRPr="00F81C3A">
        <w:t>.</w:t>
      </w:r>
    </w:p>
    <w:p w:rsidR="00692E69" w:rsidRPr="00F81C3A" w:rsidRDefault="00692E69" w:rsidP="00E42377">
      <w:pPr>
        <w:pStyle w:val="Normal-pool"/>
        <w:tabs>
          <w:tab w:val="clear" w:pos="1247"/>
          <w:tab w:val="clear" w:pos="1814"/>
          <w:tab w:val="clear" w:pos="2381"/>
          <w:tab w:val="clear" w:pos="2948"/>
          <w:tab w:val="clear" w:pos="3515"/>
          <w:tab w:val="clear" w:pos="4082"/>
        </w:tabs>
        <w:spacing w:after="120"/>
        <w:ind w:left="1247"/>
      </w:pPr>
      <w:r w:rsidRPr="00F81C3A">
        <w:t>Quicksilver Caucus</w:t>
      </w:r>
      <w:r w:rsidR="00F61A1B" w:rsidRPr="00F81C3A">
        <w:t xml:space="preserve"> (QSC) </w:t>
      </w:r>
      <w:r w:rsidR="002E19AD" w:rsidRPr="00F81C3A">
        <w:t>(</w:t>
      </w:r>
      <w:r w:rsidR="00F61A1B" w:rsidRPr="00F81C3A">
        <w:t>2003</w:t>
      </w:r>
      <w:r w:rsidR="002E19AD" w:rsidRPr="00F81C3A">
        <w:t>)</w:t>
      </w:r>
      <w:r w:rsidR="00F61A1B" w:rsidRPr="00F81C3A">
        <w:t>.</w:t>
      </w:r>
      <w:r w:rsidRPr="00F81C3A">
        <w:t xml:space="preserve"> </w:t>
      </w:r>
      <w:r w:rsidRPr="00F81C3A">
        <w:rPr>
          <w:i/>
        </w:rPr>
        <w:t>Mercury Stewardship Best Management Practices</w:t>
      </w:r>
      <w:r w:rsidRPr="00F81C3A">
        <w:t>, October (available on request)</w:t>
      </w:r>
      <w:r w:rsidR="00201E7F" w:rsidRPr="00F81C3A">
        <w:t>.</w:t>
      </w:r>
    </w:p>
    <w:p w:rsidR="00700EED" w:rsidRPr="00F81C3A" w:rsidRDefault="00181EE1" w:rsidP="00E42377">
      <w:pPr>
        <w:pStyle w:val="Normal-pool"/>
        <w:tabs>
          <w:tab w:val="clear" w:pos="1247"/>
          <w:tab w:val="clear" w:pos="1814"/>
          <w:tab w:val="clear" w:pos="2381"/>
          <w:tab w:val="clear" w:pos="2948"/>
          <w:tab w:val="clear" w:pos="3515"/>
          <w:tab w:val="clear" w:pos="4082"/>
        </w:tabs>
        <w:spacing w:after="120"/>
        <w:ind w:left="1247"/>
      </w:pPr>
      <w:proofErr w:type="gramStart"/>
      <w:r w:rsidRPr="00F81C3A">
        <w:t xml:space="preserve">United Nations </w:t>
      </w:r>
      <w:r w:rsidR="002E19AD" w:rsidRPr="00F81C3A">
        <w:t>(</w:t>
      </w:r>
      <w:r w:rsidRPr="00F81C3A">
        <w:t>2015</w:t>
      </w:r>
      <w:r w:rsidR="0070348A">
        <w:t>a</w:t>
      </w:r>
      <w:r w:rsidR="002E19AD" w:rsidRPr="00F81C3A">
        <w:t>)</w:t>
      </w:r>
      <w:r w:rsidR="00C21846" w:rsidRPr="00F81C3A">
        <w:t>.</w:t>
      </w:r>
      <w:proofErr w:type="gramEnd"/>
      <w:r w:rsidRPr="00F81C3A">
        <w:t xml:space="preserve"> </w:t>
      </w:r>
      <w:r w:rsidR="00700EED" w:rsidRPr="00F81C3A">
        <w:rPr>
          <w:i/>
        </w:rPr>
        <w:t>United Nations Recommendations on the Transport of Dangerous Good</w:t>
      </w:r>
      <w:r w:rsidR="00EC0425" w:rsidRPr="00F81C3A">
        <w:rPr>
          <w:i/>
        </w:rPr>
        <w:t>s:</w:t>
      </w:r>
      <w:r w:rsidR="00700EED" w:rsidRPr="00F81C3A">
        <w:rPr>
          <w:i/>
        </w:rPr>
        <w:t xml:space="preserve"> Model Regulations</w:t>
      </w:r>
      <w:r w:rsidR="00700EED" w:rsidRPr="00F81C3A">
        <w:t xml:space="preserve"> (19th revised edition)</w:t>
      </w:r>
      <w:r w:rsidR="00201E7F" w:rsidRPr="00F81C3A">
        <w:t>.</w:t>
      </w:r>
    </w:p>
    <w:p w:rsidR="007322BD" w:rsidRPr="00F81C3A" w:rsidRDefault="007322BD" w:rsidP="00E42377">
      <w:pPr>
        <w:pStyle w:val="Normal-pool"/>
        <w:tabs>
          <w:tab w:val="clear" w:pos="1247"/>
          <w:tab w:val="clear" w:pos="1814"/>
          <w:tab w:val="clear" w:pos="2381"/>
          <w:tab w:val="clear" w:pos="2948"/>
          <w:tab w:val="clear" w:pos="3515"/>
          <w:tab w:val="clear" w:pos="4082"/>
        </w:tabs>
        <w:spacing w:after="120"/>
        <w:ind w:left="1247"/>
      </w:pPr>
      <w:proofErr w:type="gramStart"/>
      <w:r w:rsidRPr="00F81C3A">
        <w:t>United Nations (2015</w:t>
      </w:r>
      <w:r w:rsidR="0070348A">
        <w:t>b</w:t>
      </w:r>
      <w:r w:rsidRPr="00F81C3A">
        <w:t>).</w:t>
      </w:r>
      <w:proofErr w:type="gramEnd"/>
      <w:r w:rsidRPr="00F81C3A">
        <w:t xml:space="preserve"> </w:t>
      </w:r>
      <w:r w:rsidRPr="00F81C3A">
        <w:rPr>
          <w:i/>
        </w:rPr>
        <w:t>Globally Harmonized System of Classification and Labelling of Chemicals</w:t>
      </w:r>
      <w:r w:rsidRPr="00F81C3A">
        <w:t>, sixth revised edition. Available from https://www.unece.org/fileadmin/DAM/trans/danger/publi/ghs/ghs_rev06/English/ST-SG-AC10-30-Rev6e.pdf.</w:t>
      </w:r>
    </w:p>
    <w:p w:rsidR="00410406" w:rsidRPr="00F81C3A" w:rsidRDefault="00086E57" w:rsidP="00970835">
      <w:pPr>
        <w:pStyle w:val="Normal-pool"/>
        <w:tabs>
          <w:tab w:val="clear" w:pos="1247"/>
          <w:tab w:val="clear" w:pos="1814"/>
          <w:tab w:val="clear" w:pos="2381"/>
          <w:tab w:val="clear" w:pos="2948"/>
          <w:tab w:val="clear" w:pos="3515"/>
          <w:tab w:val="clear" w:pos="4082"/>
        </w:tabs>
        <w:spacing w:after="120"/>
        <w:ind w:left="1247"/>
        <w:rPr>
          <w:lang w:eastAsia="ja-JP"/>
        </w:rPr>
      </w:pPr>
      <w:r w:rsidRPr="00F81C3A">
        <w:rPr>
          <w:lang w:eastAsia="ja-JP"/>
        </w:rPr>
        <w:t xml:space="preserve">United </w:t>
      </w:r>
      <w:r w:rsidRPr="00F81C3A">
        <w:t>Nations</w:t>
      </w:r>
      <w:r w:rsidRPr="00F81C3A">
        <w:rPr>
          <w:lang w:eastAsia="ja-JP"/>
        </w:rPr>
        <w:t xml:space="preserve"> Development Programme (</w:t>
      </w:r>
      <w:r w:rsidR="00410406" w:rsidRPr="00F81C3A">
        <w:rPr>
          <w:lang w:eastAsia="ja-JP"/>
        </w:rPr>
        <w:t>UNDP</w:t>
      </w:r>
      <w:r w:rsidRPr="00F81C3A">
        <w:rPr>
          <w:lang w:eastAsia="ja-JP"/>
        </w:rPr>
        <w:t>)</w:t>
      </w:r>
      <w:r w:rsidR="00410406" w:rsidRPr="00F81C3A">
        <w:rPr>
          <w:lang w:eastAsia="ja-JP"/>
        </w:rPr>
        <w:t xml:space="preserve"> </w:t>
      </w:r>
      <w:r w:rsidR="0015136E" w:rsidRPr="0015136E">
        <w:rPr>
          <w:lang w:eastAsia="ja-JP"/>
        </w:rPr>
        <w:t>“</w:t>
      </w:r>
      <w:r w:rsidR="00410406" w:rsidRPr="003F1FDE">
        <w:t xml:space="preserve">Guidance on the </w:t>
      </w:r>
      <w:proofErr w:type="spellStart"/>
      <w:r w:rsidR="00410406" w:rsidRPr="003F1FDE">
        <w:t>Cleanup</w:t>
      </w:r>
      <w:proofErr w:type="spellEnd"/>
      <w:r w:rsidR="00410406" w:rsidRPr="003F1FDE">
        <w:t>, Temporary or Intermediate Storage, and Transport of Mercury Waste from Health Care Facilities</w:t>
      </w:r>
      <w:r w:rsidR="00410406" w:rsidRPr="0015136E">
        <w:rPr>
          <w:lang w:eastAsia="ja-JP"/>
        </w:rPr>
        <w:t>.</w:t>
      </w:r>
      <w:r w:rsidR="0015136E" w:rsidRPr="0015136E">
        <w:rPr>
          <w:lang w:eastAsia="ja-JP"/>
        </w:rPr>
        <w:t>”</w:t>
      </w:r>
      <w:r w:rsidR="00410406" w:rsidRPr="00F81C3A">
        <w:rPr>
          <w:lang w:eastAsia="ja-JP"/>
        </w:rPr>
        <w:t xml:space="preserve"> Available at: </w:t>
      </w:r>
      <w:hyperlink r:id="rId23" w:history="1">
        <w:r w:rsidR="0015136E" w:rsidRPr="003038EE">
          <w:rPr>
            <w:rStyle w:val="Hyperlink"/>
            <w:lang w:val="en-GB"/>
          </w:rPr>
          <w:t>https://noharm-global.org/sites/default/files/documents-files/1030/GEF_Guidance_Cleanup_Storage_Transport_Mercury.pdf</w:t>
        </w:r>
      </w:hyperlink>
      <w:r w:rsidR="0015136E" w:rsidRPr="003038EE">
        <w:rPr>
          <w:lang w:eastAsia="ja-JP"/>
        </w:rPr>
        <w:t>.</w:t>
      </w:r>
      <w:r w:rsidR="0015136E">
        <w:rPr>
          <w:b/>
          <w:lang w:eastAsia="ja-JP"/>
        </w:rPr>
        <w:t xml:space="preserve"> </w:t>
      </w:r>
    </w:p>
    <w:p w:rsidR="00086E57" w:rsidRPr="00F81C3A" w:rsidRDefault="00086E57" w:rsidP="00F81C3A">
      <w:pPr>
        <w:pStyle w:val="Normal-pool"/>
        <w:tabs>
          <w:tab w:val="clear" w:pos="1247"/>
          <w:tab w:val="clear" w:pos="1814"/>
          <w:tab w:val="clear" w:pos="2381"/>
          <w:tab w:val="clear" w:pos="2948"/>
          <w:tab w:val="clear" w:pos="3515"/>
          <w:tab w:val="clear" w:pos="4082"/>
        </w:tabs>
        <w:spacing w:after="120"/>
        <w:ind w:left="1247"/>
      </w:pPr>
      <w:r w:rsidRPr="00F81C3A">
        <w:t xml:space="preserve">United Nations Food and Agriculture Organization (FAO) (1985). </w:t>
      </w:r>
      <w:proofErr w:type="gramStart"/>
      <w:r w:rsidR="006532D2">
        <w:t>“</w:t>
      </w:r>
      <w:r w:rsidRPr="003F1FDE">
        <w:t>Guidelines for the Packaging and Storage of Pesticides</w:t>
      </w:r>
      <w:r w:rsidR="006532D2">
        <w:t>”</w:t>
      </w:r>
      <w:r w:rsidRPr="00F81C3A">
        <w:t>.</w:t>
      </w:r>
      <w:proofErr w:type="gramEnd"/>
      <w:r w:rsidRPr="00F81C3A">
        <w:t xml:space="preserve"> Available at: </w:t>
      </w:r>
      <w:hyperlink r:id="rId24" w:history="1">
        <w:r w:rsidR="006532D2" w:rsidRPr="00435149">
          <w:rPr>
            <w:rStyle w:val="Hyperlink"/>
            <w:lang w:val="en-GB"/>
          </w:rPr>
          <w:t>http://www.bvsde.paho.org/bvstox/i/fulltext/fao12/fao12.pdf</w:t>
        </w:r>
      </w:hyperlink>
      <w:r w:rsidRPr="00F81C3A">
        <w:t>.</w:t>
      </w:r>
      <w:r w:rsidR="006532D2">
        <w:t xml:space="preserve"> </w:t>
      </w:r>
    </w:p>
    <w:p w:rsidR="00410406" w:rsidRPr="00F81C3A" w:rsidRDefault="00F700C3" w:rsidP="00970835">
      <w:pPr>
        <w:pStyle w:val="Normal-pool"/>
        <w:tabs>
          <w:tab w:val="clear" w:pos="1247"/>
          <w:tab w:val="clear" w:pos="1814"/>
          <w:tab w:val="clear" w:pos="2381"/>
          <w:tab w:val="clear" w:pos="2948"/>
          <w:tab w:val="clear" w:pos="3515"/>
          <w:tab w:val="clear" w:pos="4082"/>
        </w:tabs>
        <w:spacing w:after="120"/>
        <w:ind w:left="1247"/>
        <w:rPr>
          <w:lang w:eastAsia="ja-JP"/>
        </w:rPr>
      </w:pPr>
      <w:r w:rsidRPr="00F81C3A">
        <w:rPr>
          <w:lang w:eastAsia="ja-JP"/>
        </w:rPr>
        <w:t xml:space="preserve">United </w:t>
      </w:r>
      <w:r w:rsidRPr="00F81C3A">
        <w:t>States</w:t>
      </w:r>
      <w:r w:rsidR="00410406" w:rsidRPr="00F81C3A">
        <w:rPr>
          <w:lang w:eastAsia="ja-JP"/>
        </w:rPr>
        <w:t xml:space="preserve"> Department of Energy</w:t>
      </w:r>
      <w:r w:rsidRPr="00F81C3A">
        <w:rPr>
          <w:lang w:eastAsia="ja-JP"/>
        </w:rPr>
        <w:t xml:space="preserve"> (US DOE)</w:t>
      </w:r>
      <w:r w:rsidR="00410406" w:rsidRPr="00F81C3A">
        <w:rPr>
          <w:lang w:eastAsia="ja-JP"/>
        </w:rPr>
        <w:t xml:space="preserve"> </w:t>
      </w:r>
      <w:r w:rsidRPr="00F81C3A">
        <w:rPr>
          <w:lang w:eastAsia="ja-JP"/>
        </w:rPr>
        <w:t>(</w:t>
      </w:r>
      <w:r w:rsidR="00410406" w:rsidRPr="00F81C3A">
        <w:rPr>
          <w:lang w:eastAsia="ja-JP"/>
        </w:rPr>
        <w:t>2009</w:t>
      </w:r>
      <w:r w:rsidRPr="00F81C3A">
        <w:rPr>
          <w:lang w:eastAsia="ja-JP"/>
        </w:rPr>
        <w:t>)</w:t>
      </w:r>
      <w:r w:rsidR="00410406" w:rsidRPr="00F81C3A">
        <w:rPr>
          <w:lang w:eastAsia="ja-JP"/>
        </w:rPr>
        <w:t xml:space="preserve">. </w:t>
      </w:r>
      <w:r w:rsidR="00410406" w:rsidRPr="00F81C3A">
        <w:rPr>
          <w:i/>
          <w:lang w:eastAsia="ja-JP"/>
        </w:rPr>
        <w:t>US Department of Energy Interim Guidance on Packaging, Transportation, Receipt, Management, and Long-Term Storage of Elemental Mercury</w:t>
      </w:r>
      <w:r w:rsidR="00410406" w:rsidRPr="00F81C3A">
        <w:rPr>
          <w:lang w:eastAsia="ja-JP"/>
        </w:rPr>
        <w:t xml:space="preserve">. Available at: </w:t>
      </w:r>
      <w:hyperlink r:id="rId25" w:history="1">
        <w:r w:rsidR="004E54DA" w:rsidRPr="003038EE">
          <w:rPr>
            <w:rStyle w:val="Hyperlink"/>
            <w:lang w:val="en-GB"/>
          </w:rPr>
          <w:t>https://energy.gov/sites/prod/files/2014/05/f15/Elementalmercurystorage%20Interim%20Guidance%20%28dated%202009-11-13%29.pdf</w:t>
        </w:r>
      </w:hyperlink>
      <w:r w:rsidR="004E54DA" w:rsidRPr="003038EE">
        <w:rPr>
          <w:b/>
          <w:lang w:eastAsia="ja-JP"/>
        </w:rPr>
        <w:t>.</w:t>
      </w:r>
      <w:r w:rsidR="00970835">
        <w:rPr>
          <w:b/>
          <w:lang w:eastAsia="ja-JP"/>
        </w:rPr>
        <w:t xml:space="preserve"> </w:t>
      </w:r>
    </w:p>
    <w:p w:rsidR="00700EED" w:rsidRPr="00F81C3A" w:rsidRDefault="00F700C3" w:rsidP="00E42377">
      <w:pPr>
        <w:pStyle w:val="Normal-pool"/>
        <w:tabs>
          <w:tab w:val="clear" w:pos="1247"/>
          <w:tab w:val="clear" w:pos="1814"/>
          <w:tab w:val="clear" w:pos="2381"/>
          <w:tab w:val="clear" w:pos="2948"/>
          <w:tab w:val="clear" w:pos="3515"/>
          <w:tab w:val="clear" w:pos="4082"/>
        </w:tabs>
        <w:spacing w:after="120"/>
        <w:ind w:left="1247"/>
      </w:pPr>
      <w:proofErr w:type="gramStart"/>
      <w:r w:rsidRPr="00F81C3A">
        <w:t>United States</w:t>
      </w:r>
      <w:r w:rsidR="001273A3" w:rsidRPr="00F81C3A">
        <w:t xml:space="preserve"> </w:t>
      </w:r>
      <w:r w:rsidR="00700EED" w:rsidRPr="00F81C3A">
        <w:t>Department of Transportation, Transport Canada</w:t>
      </w:r>
      <w:r w:rsidR="00B80AD6" w:rsidRPr="00F81C3A">
        <w:t xml:space="preserve"> and</w:t>
      </w:r>
      <w:r w:rsidR="00700EED" w:rsidRPr="00F81C3A">
        <w:t xml:space="preserve"> Secretariat of Communications and Transportation of Mexico</w:t>
      </w:r>
      <w:r w:rsidR="007F08D1">
        <w:t xml:space="preserve"> (2016).</w:t>
      </w:r>
      <w:proofErr w:type="gramEnd"/>
      <w:r w:rsidR="00700EED" w:rsidRPr="00F81C3A">
        <w:t xml:space="preserve"> </w:t>
      </w:r>
      <w:proofErr w:type="gramStart"/>
      <w:r w:rsidR="007F08D1">
        <w:t>“</w:t>
      </w:r>
      <w:r w:rsidR="00700EED" w:rsidRPr="00F81C3A">
        <w:t>Emergency Response Guidebook</w:t>
      </w:r>
      <w:r w:rsidR="007F08D1">
        <w:t>”</w:t>
      </w:r>
      <w:r w:rsidR="00700EED" w:rsidRPr="00F81C3A">
        <w:t>.</w:t>
      </w:r>
      <w:proofErr w:type="gramEnd"/>
      <w:r w:rsidR="00700EED" w:rsidRPr="00F81C3A">
        <w:t xml:space="preserve"> </w:t>
      </w:r>
      <w:r w:rsidR="00B80AD6" w:rsidRPr="00F81C3A">
        <w:t>2016 edition a</w:t>
      </w:r>
      <w:r w:rsidR="00700EED" w:rsidRPr="00F81C3A">
        <w:t xml:space="preserve">vailable from </w:t>
      </w:r>
      <w:hyperlink r:id="rId26" w:history="1">
        <w:r w:rsidR="002E19AD" w:rsidRPr="00F81C3A">
          <w:t>https://www.tc.gc.ca/eng/canutec/guide-menu-227.htm</w:t>
        </w:r>
      </w:hyperlink>
      <w:r w:rsidR="00700EED" w:rsidRPr="00F81C3A">
        <w:t>.</w:t>
      </w:r>
    </w:p>
    <w:p w:rsidR="00410406" w:rsidRPr="003F1FDE" w:rsidRDefault="00410406" w:rsidP="00970835">
      <w:pPr>
        <w:pStyle w:val="Normal-pool"/>
        <w:tabs>
          <w:tab w:val="clear" w:pos="1247"/>
          <w:tab w:val="clear" w:pos="1814"/>
          <w:tab w:val="clear" w:pos="2381"/>
          <w:tab w:val="clear" w:pos="2948"/>
          <w:tab w:val="clear" w:pos="3515"/>
          <w:tab w:val="clear" w:pos="4082"/>
        </w:tabs>
        <w:spacing w:after="120"/>
        <w:ind w:left="1247"/>
        <w:rPr>
          <w:b/>
        </w:rPr>
      </w:pPr>
      <w:r w:rsidRPr="00F81C3A">
        <w:t>U</w:t>
      </w:r>
      <w:r w:rsidR="00F700C3" w:rsidRPr="00F81C3A">
        <w:t>nited States</w:t>
      </w:r>
      <w:r w:rsidRPr="00F81C3A">
        <w:t xml:space="preserve"> Environmental Protection Agency (US EPA) (1997). </w:t>
      </w:r>
      <w:proofErr w:type="gramStart"/>
      <w:r w:rsidRPr="00F81C3A">
        <w:rPr>
          <w:i/>
        </w:rPr>
        <w:t>Sensitive Environments and the Siting of Hazardous Waste Management Facilities</w:t>
      </w:r>
      <w:r w:rsidRPr="00F81C3A">
        <w:t>.</w:t>
      </w:r>
      <w:proofErr w:type="gramEnd"/>
      <w:r w:rsidRPr="00F81C3A">
        <w:t xml:space="preserve"> </w:t>
      </w:r>
    </w:p>
    <w:p w:rsidR="00700EED" w:rsidRPr="00F81C3A" w:rsidRDefault="003D21E1" w:rsidP="00E42377">
      <w:pPr>
        <w:pStyle w:val="Normal-pool"/>
        <w:tabs>
          <w:tab w:val="clear" w:pos="1247"/>
          <w:tab w:val="clear" w:pos="1814"/>
          <w:tab w:val="clear" w:pos="2381"/>
          <w:tab w:val="clear" w:pos="2948"/>
          <w:tab w:val="clear" w:pos="3515"/>
          <w:tab w:val="clear" w:pos="4082"/>
        </w:tabs>
        <w:spacing w:after="120"/>
        <w:ind w:left="1247"/>
      </w:pPr>
      <w:r w:rsidRPr="00F81C3A">
        <w:t>World Chlorine Council guidance available at</w:t>
      </w:r>
      <w:r w:rsidR="0015136E">
        <w:t xml:space="preserve"> the following three webpages</w:t>
      </w:r>
      <w:r w:rsidRPr="00F81C3A">
        <w:t xml:space="preserve">: </w:t>
      </w:r>
      <w:r w:rsidR="00700EED" w:rsidRPr="00F81C3A">
        <w:t>http://www.worldchlorine.org/publications/unep-chlor-alkali-mercury-partnership/mercury-handling-during-normal-plant-operations/</w:t>
      </w:r>
      <w:r w:rsidR="00067D69" w:rsidRPr="00F81C3A">
        <w:t>;</w:t>
      </w:r>
    </w:p>
    <w:p w:rsidR="00700EED" w:rsidRPr="00F81C3A" w:rsidRDefault="00700EED" w:rsidP="00E42377">
      <w:pPr>
        <w:pStyle w:val="Normal-pool"/>
        <w:tabs>
          <w:tab w:val="clear" w:pos="1247"/>
          <w:tab w:val="clear" w:pos="1814"/>
          <w:tab w:val="clear" w:pos="2381"/>
          <w:tab w:val="clear" w:pos="2948"/>
          <w:tab w:val="clear" w:pos="3515"/>
          <w:tab w:val="clear" w:pos="4082"/>
        </w:tabs>
        <w:spacing w:after="120"/>
        <w:ind w:left="1247"/>
      </w:pPr>
      <w:r w:rsidRPr="00F81C3A">
        <w:t>http://www.worldchlorine.org/wp-content/uploads/2015/08/Env-Prot-19-Edition-1.pdf</w:t>
      </w:r>
      <w:r w:rsidR="00067D69" w:rsidRPr="00F81C3A">
        <w:t>;</w:t>
      </w:r>
    </w:p>
    <w:p w:rsidR="00700EED" w:rsidRPr="00F81C3A" w:rsidRDefault="00AF0E01" w:rsidP="00E42377">
      <w:pPr>
        <w:pStyle w:val="Normal-pool"/>
        <w:tabs>
          <w:tab w:val="clear" w:pos="1247"/>
          <w:tab w:val="clear" w:pos="1814"/>
          <w:tab w:val="clear" w:pos="2381"/>
          <w:tab w:val="clear" w:pos="2948"/>
          <w:tab w:val="clear" w:pos="3515"/>
          <w:tab w:val="clear" w:pos="4082"/>
        </w:tabs>
        <w:spacing w:after="120"/>
        <w:ind w:left="1247"/>
      </w:pPr>
      <w:hyperlink r:id="rId27" w:history="1">
        <w:r w:rsidR="00F204CF" w:rsidRPr="00F81C3A">
          <w:t>http://www.worldchlorine.org/publications/unep-chlor-alkali-mercury-partnership/reporting-on-mercury-use/</w:t>
        </w:r>
      </w:hyperlink>
      <w:r w:rsidR="00201E7F" w:rsidRPr="00F81C3A">
        <w:t>.</w:t>
      </w:r>
    </w:p>
    <w:p w:rsidR="00335BF4" w:rsidRPr="00F81C3A" w:rsidRDefault="00067D69" w:rsidP="003F1FDE">
      <w:pPr>
        <w:pStyle w:val="Normal-pool"/>
        <w:keepNext/>
        <w:keepLines/>
        <w:tabs>
          <w:tab w:val="clear" w:pos="1247"/>
          <w:tab w:val="clear" w:pos="1814"/>
          <w:tab w:val="clear" w:pos="2381"/>
          <w:tab w:val="clear" w:pos="2948"/>
          <w:tab w:val="clear" w:pos="3515"/>
          <w:tab w:val="clear" w:pos="4082"/>
        </w:tabs>
        <w:spacing w:after="120"/>
        <w:ind w:left="1247"/>
        <w:rPr>
          <w:lang w:eastAsia="ja-JP"/>
        </w:rPr>
      </w:pPr>
      <w:r w:rsidRPr="00F81C3A">
        <w:rPr>
          <w:lang w:eastAsia="ja-JP"/>
        </w:rPr>
        <w:t xml:space="preserve">World Health </w:t>
      </w:r>
      <w:r w:rsidRPr="00F81C3A">
        <w:t>Organization</w:t>
      </w:r>
      <w:r w:rsidRPr="00F81C3A">
        <w:rPr>
          <w:lang w:eastAsia="ja-JP"/>
        </w:rPr>
        <w:t xml:space="preserve"> (</w:t>
      </w:r>
      <w:r w:rsidR="00335BF4" w:rsidRPr="00F81C3A">
        <w:rPr>
          <w:lang w:eastAsia="ja-JP"/>
        </w:rPr>
        <w:t>WHO</w:t>
      </w:r>
      <w:r w:rsidRPr="00F81C3A">
        <w:rPr>
          <w:lang w:eastAsia="ja-JP"/>
        </w:rPr>
        <w:t>)</w:t>
      </w:r>
      <w:r w:rsidR="00335BF4" w:rsidRPr="00F81C3A">
        <w:rPr>
          <w:lang w:eastAsia="ja-JP"/>
        </w:rPr>
        <w:t xml:space="preserve"> Regional Office for Europe </w:t>
      </w:r>
      <w:r w:rsidRPr="00F81C3A">
        <w:rPr>
          <w:lang w:eastAsia="ja-JP"/>
        </w:rPr>
        <w:t>(</w:t>
      </w:r>
      <w:r w:rsidR="00335BF4" w:rsidRPr="00F81C3A">
        <w:rPr>
          <w:lang w:eastAsia="ja-JP"/>
        </w:rPr>
        <w:t>2000</w:t>
      </w:r>
      <w:r w:rsidRPr="00F81C3A">
        <w:rPr>
          <w:lang w:eastAsia="ja-JP"/>
        </w:rPr>
        <w:t>)</w:t>
      </w:r>
      <w:r w:rsidR="00335BF4" w:rsidRPr="00F81C3A">
        <w:rPr>
          <w:lang w:eastAsia="ja-JP"/>
        </w:rPr>
        <w:t xml:space="preserve">. </w:t>
      </w:r>
      <w:r w:rsidR="00335BF4" w:rsidRPr="00F81C3A">
        <w:rPr>
          <w:i/>
          <w:lang w:eastAsia="ja-JP"/>
        </w:rPr>
        <w:t>Air Quality Guidelines</w:t>
      </w:r>
      <w:r w:rsidRPr="00F81C3A">
        <w:rPr>
          <w:lang w:eastAsia="ja-JP"/>
        </w:rPr>
        <w:t>.</w:t>
      </w:r>
      <w:r w:rsidR="00335BF4" w:rsidRPr="00F81C3A">
        <w:rPr>
          <w:i/>
          <w:lang w:eastAsia="ja-JP"/>
        </w:rPr>
        <w:t xml:space="preserve"> </w:t>
      </w:r>
      <w:r w:rsidRPr="00F81C3A">
        <w:rPr>
          <w:i/>
          <w:lang w:eastAsia="ja-JP"/>
        </w:rPr>
        <w:t>2nd ed</w:t>
      </w:r>
      <w:r w:rsidR="00335BF4" w:rsidRPr="00F81C3A">
        <w:rPr>
          <w:lang w:eastAsia="ja-JP"/>
        </w:rPr>
        <w:t>. Available at: http://www.euro.who.int/__data/assets/pdf_file/0004/123079/AQG2ndEd_6_9Mercury.PDF.</w:t>
      </w:r>
    </w:p>
    <w:p w:rsidR="00335BF4" w:rsidRPr="00F81C3A" w:rsidRDefault="00F700C3" w:rsidP="003F1FDE">
      <w:pPr>
        <w:pStyle w:val="Normal-pool"/>
        <w:keepNext/>
        <w:keepLines/>
        <w:tabs>
          <w:tab w:val="clear" w:pos="1247"/>
          <w:tab w:val="clear" w:pos="1814"/>
          <w:tab w:val="clear" w:pos="2381"/>
          <w:tab w:val="clear" w:pos="2948"/>
          <w:tab w:val="clear" w:pos="3515"/>
          <w:tab w:val="clear" w:pos="4082"/>
        </w:tabs>
        <w:spacing w:after="120"/>
        <w:ind w:left="1247"/>
        <w:rPr>
          <w:lang w:eastAsia="ja-JP"/>
        </w:rPr>
      </w:pPr>
      <w:r w:rsidRPr="00F81C3A">
        <w:rPr>
          <w:lang w:eastAsia="ja-JP"/>
        </w:rPr>
        <w:t xml:space="preserve">World </w:t>
      </w:r>
      <w:r w:rsidRPr="00F81C3A">
        <w:t>Health</w:t>
      </w:r>
      <w:r w:rsidRPr="00F81C3A">
        <w:rPr>
          <w:lang w:eastAsia="ja-JP"/>
        </w:rPr>
        <w:t xml:space="preserve"> Organization</w:t>
      </w:r>
      <w:r w:rsidR="00335BF4" w:rsidRPr="00F81C3A">
        <w:rPr>
          <w:lang w:eastAsia="ja-JP"/>
        </w:rPr>
        <w:t xml:space="preserve"> </w:t>
      </w:r>
      <w:r w:rsidR="00067D69" w:rsidRPr="00F81C3A">
        <w:rPr>
          <w:lang w:eastAsia="ja-JP"/>
        </w:rPr>
        <w:t>(</w:t>
      </w:r>
      <w:r w:rsidR="00335BF4" w:rsidRPr="0015136E">
        <w:rPr>
          <w:lang w:eastAsia="ja-JP"/>
        </w:rPr>
        <w:t>2006</w:t>
      </w:r>
      <w:r w:rsidR="00067D69" w:rsidRPr="00F81C3A">
        <w:rPr>
          <w:lang w:eastAsia="ja-JP"/>
        </w:rPr>
        <w:t>)</w:t>
      </w:r>
      <w:r w:rsidR="00335BF4" w:rsidRPr="00F81C3A">
        <w:rPr>
          <w:lang w:eastAsia="ja-JP"/>
        </w:rPr>
        <w:t xml:space="preserve">. </w:t>
      </w:r>
      <w:proofErr w:type="gramStart"/>
      <w:r w:rsidR="00335BF4" w:rsidRPr="00F81C3A">
        <w:rPr>
          <w:i/>
          <w:lang w:eastAsia="ja-JP"/>
        </w:rPr>
        <w:t xml:space="preserve">Guidelines for </w:t>
      </w:r>
      <w:r w:rsidR="00067D69" w:rsidRPr="00F81C3A">
        <w:rPr>
          <w:i/>
          <w:lang w:eastAsia="ja-JP"/>
        </w:rPr>
        <w:t>D</w:t>
      </w:r>
      <w:r w:rsidR="00335BF4" w:rsidRPr="00F81C3A">
        <w:rPr>
          <w:i/>
          <w:lang w:eastAsia="ja-JP"/>
        </w:rPr>
        <w:t>rinking-</w:t>
      </w:r>
      <w:r w:rsidR="0063308E">
        <w:rPr>
          <w:i/>
          <w:lang w:eastAsia="ja-JP"/>
        </w:rPr>
        <w:t>w</w:t>
      </w:r>
      <w:r w:rsidR="00335BF4" w:rsidRPr="00F81C3A">
        <w:rPr>
          <w:i/>
          <w:lang w:eastAsia="ja-JP"/>
        </w:rPr>
        <w:t xml:space="preserve">ater </w:t>
      </w:r>
      <w:r w:rsidR="00067D69" w:rsidRPr="00F81C3A">
        <w:rPr>
          <w:i/>
          <w:lang w:eastAsia="ja-JP"/>
        </w:rPr>
        <w:t>Q</w:t>
      </w:r>
      <w:r w:rsidR="00335BF4" w:rsidRPr="00F81C3A">
        <w:rPr>
          <w:i/>
          <w:lang w:eastAsia="ja-JP"/>
        </w:rPr>
        <w:t>uality</w:t>
      </w:r>
      <w:r w:rsidR="00067D69" w:rsidRPr="00F81C3A">
        <w:rPr>
          <w:i/>
          <w:lang w:eastAsia="ja-JP"/>
        </w:rPr>
        <w:t>.</w:t>
      </w:r>
      <w:proofErr w:type="gramEnd"/>
      <w:r w:rsidR="00335BF4" w:rsidRPr="00F81C3A">
        <w:rPr>
          <w:i/>
          <w:lang w:eastAsia="ja-JP"/>
        </w:rPr>
        <w:t xml:space="preserve"> </w:t>
      </w:r>
      <w:r w:rsidR="00067D69" w:rsidRPr="00F81C3A">
        <w:rPr>
          <w:i/>
          <w:lang w:eastAsia="ja-JP"/>
        </w:rPr>
        <w:t>3rd</w:t>
      </w:r>
      <w:r w:rsidR="00335BF4" w:rsidRPr="00F81C3A">
        <w:rPr>
          <w:i/>
          <w:lang w:eastAsia="ja-JP"/>
        </w:rPr>
        <w:t xml:space="preserve"> edition, incorporating first and second addenda</w:t>
      </w:r>
      <w:r w:rsidR="00335BF4" w:rsidRPr="00F81C3A">
        <w:rPr>
          <w:lang w:eastAsia="ja-JP"/>
        </w:rPr>
        <w:t xml:space="preserve">. Available from: </w:t>
      </w:r>
      <w:r w:rsidR="000C66A5" w:rsidRPr="000C66A5">
        <w:rPr>
          <w:lang w:eastAsia="ja-JP"/>
        </w:rPr>
        <w:t>http://www.who.int/water_sanitation_health/en/</w:t>
      </w:r>
      <w:r w:rsidR="0015136E">
        <w:rPr>
          <w:lang w:eastAsia="ja-JP"/>
        </w:rPr>
        <w:t>.</w:t>
      </w:r>
      <w:r w:rsidR="00970835">
        <w:rPr>
          <w:b/>
          <w:lang w:eastAsia="ja-JP"/>
        </w:rPr>
        <w:t xml:space="preserve"> </w:t>
      </w:r>
    </w:p>
    <w:tbl>
      <w:tblPr>
        <w:tblW w:w="0" w:type="auto"/>
        <w:tblLook w:val="04A0" w:firstRow="1" w:lastRow="0" w:firstColumn="1" w:lastColumn="0" w:noHBand="0" w:noVBand="1"/>
      </w:tblPr>
      <w:tblGrid>
        <w:gridCol w:w="1942"/>
        <w:gridCol w:w="1942"/>
        <w:gridCol w:w="1942"/>
        <w:gridCol w:w="1943"/>
        <w:gridCol w:w="1943"/>
      </w:tblGrid>
      <w:tr w:rsidR="00F204CF" w:rsidRPr="00F81C3A" w:rsidTr="00F204CF">
        <w:tc>
          <w:tcPr>
            <w:tcW w:w="1942" w:type="dxa"/>
            <w:shd w:val="clear" w:color="auto" w:fill="auto"/>
          </w:tcPr>
          <w:p w:rsidR="00F204CF" w:rsidRPr="00F81C3A" w:rsidRDefault="00F204CF" w:rsidP="00F204CF">
            <w:pPr>
              <w:pStyle w:val="Normal-pool"/>
              <w:spacing w:before="520"/>
            </w:pPr>
          </w:p>
        </w:tc>
        <w:tc>
          <w:tcPr>
            <w:tcW w:w="1942" w:type="dxa"/>
            <w:shd w:val="clear" w:color="auto" w:fill="auto"/>
          </w:tcPr>
          <w:p w:rsidR="00F204CF" w:rsidRPr="00F81C3A" w:rsidRDefault="00F204CF" w:rsidP="00F204CF">
            <w:pPr>
              <w:pStyle w:val="Normal-pool"/>
              <w:spacing w:before="520"/>
            </w:pPr>
          </w:p>
        </w:tc>
        <w:tc>
          <w:tcPr>
            <w:tcW w:w="1942" w:type="dxa"/>
            <w:tcBorders>
              <w:bottom w:val="single" w:sz="4" w:space="0" w:color="auto"/>
            </w:tcBorders>
            <w:shd w:val="clear" w:color="auto" w:fill="auto"/>
          </w:tcPr>
          <w:p w:rsidR="00F204CF" w:rsidRPr="00F81C3A" w:rsidRDefault="00F204CF" w:rsidP="00F204CF">
            <w:pPr>
              <w:pStyle w:val="Normal-pool"/>
              <w:spacing w:before="520"/>
            </w:pPr>
          </w:p>
        </w:tc>
        <w:tc>
          <w:tcPr>
            <w:tcW w:w="1943" w:type="dxa"/>
            <w:shd w:val="clear" w:color="auto" w:fill="auto"/>
          </w:tcPr>
          <w:p w:rsidR="00F204CF" w:rsidRPr="00F81C3A" w:rsidRDefault="00F204CF" w:rsidP="00F204CF">
            <w:pPr>
              <w:pStyle w:val="Normal-pool"/>
              <w:spacing w:before="520"/>
            </w:pPr>
          </w:p>
        </w:tc>
        <w:tc>
          <w:tcPr>
            <w:tcW w:w="1943" w:type="dxa"/>
            <w:shd w:val="clear" w:color="auto" w:fill="auto"/>
          </w:tcPr>
          <w:p w:rsidR="00F204CF" w:rsidRPr="00F81C3A" w:rsidRDefault="00F204CF" w:rsidP="00F204CF">
            <w:pPr>
              <w:pStyle w:val="Normal-pool"/>
              <w:spacing w:before="520"/>
            </w:pPr>
          </w:p>
        </w:tc>
      </w:tr>
    </w:tbl>
    <w:p w:rsidR="00F204CF" w:rsidRPr="00F81C3A" w:rsidRDefault="00F204CF" w:rsidP="00F204CF">
      <w:pPr>
        <w:pStyle w:val="Normal-pool"/>
      </w:pPr>
    </w:p>
    <w:sectPr w:rsidR="00F204CF" w:rsidRPr="00F81C3A" w:rsidSect="003F1FDE">
      <w:headerReference w:type="even" r:id="rId28"/>
      <w:headerReference w:type="default" r:id="rId29"/>
      <w:headerReference w:type="first" r:id="rId30"/>
      <w:footerReference w:type="first" r:id="rId31"/>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EFD" w:rsidRDefault="00201EFD">
      <w:r>
        <w:separator/>
      </w:r>
    </w:p>
  </w:endnote>
  <w:endnote w:type="continuationSeparator" w:id="0">
    <w:p w:rsidR="00201EFD" w:rsidRDefault="00201EFD">
      <w:r>
        <w:continuationSeparator/>
      </w:r>
    </w:p>
  </w:endnote>
  <w:endnote w:type="continuationNotice" w:id="1">
    <w:p w:rsidR="00201EFD" w:rsidRDefault="00201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A5" w:rsidRDefault="000C66A5">
    <w:pPr>
      <w:pStyle w:val="Footer"/>
    </w:pPr>
    <w:r>
      <w:rPr>
        <w:rStyle w:val="PageNumber"/>
      </w:rPr>
      <w:fldChar w:fldCharType="begin"/>
    </w:r>
    <w:r>
      <w:rPr>
        <w:rStyle w:val="PageNumber"/>
      </w:rPr>
      <w:instrText xml:space="preserve"> PAGE </w:instrText>
    </w:r>
    <w:r>
      <w:rPr>
        <w:rStyle w:val="PageNumber"/>
      </w:rPr>
      <w:fldChar w:fldCharType="separate"/>
    </w:r>
    <w:r w:rsidR="00AF0E01">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A5" w:rsidRDefault="000C66A5"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AF0E01">
      <w:rPr>
        <w:rStyle w:val="PageNumber"/>
        <w:noProof/>
      </w:rPr>
      <w:t>17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A5" w:rsidRPr="006C044C" w:rsidRDefault="000C66A5">
    <w:pPr>
      <w:pStyle w:val="Footer"/>
      <w:rPr>
        <w:sz w:val="20"/>
      </w:rPr>
    </w:pPr>
    <w:r w:rsidRPr="006C044C">
      <w:rPr>
        <w:sz w:val="20"/>
      </w:rPr>
      <w:t>K1703807</w:t>
    </w:r>
    <w:r w:rsidRPr="006C044C">
      <w:rPr>
        <w:sz w:val="20"/>
      </w:rPr>
      <w:tab/>
    </w:r>
    <w:r w:rsidR="00A0565E" w:rsidRPr="006C044C">
      <w:rPr>
        <w:sz w:val="20"/>
      </w:rPr>
      <w:t>11</w:t>
    </w:r>
    <w:r w:rsidR="00525218">
      <w:rPr>
        <w:sz w:val="20"/>
      </w:rPr>
      <w:t>07</w:t>
    </w:r>
    <w:r w:rsidRPr="006C044C">
      <w:rPr>
        <w:sz w:val="20"/>
      </w:rPr>
      <w:t>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A5" w:rsidRPr="003F1FDE" w:rsidRDefault="00A0565E" w:rsidP="00A0565E">
    <w:pPr>
      <w:pStyle w:val="Footer"/>
      <w:rPr>
        <w:b/>
      </w:rPr>
    </w:pPr>
    <w:r w:rsidRPr="00A0565E">
      <w:rPr>
        <w:b/>
      </w:rPr>
      <w:fldChar w:fldCharType="begin"/>
    </w:r>
    <w:r w:rsidRPr="00A0565E">
      <w:rPr>
        <w:b/>
      </w:rPr>
      <w:instrText xml:space="preserve"> PAGE   \* MERGEFORMAT </w:instrText>
    </w:r>
    <w:r w:rsidRPr="00A0565E">
      <w:rPr>
        <w:b/>
      </w:rPr>
      <w:fldChar w:fldCharType="separate"/>
    </w:r>
    <w:r w:rsidR="00AF0E01">
      <w:rPr>
        <w:b/>
        <w:noProof/>
      </w:rPr>
      <w:t>4</w:t>
    </w:r>
    <w:r w:rsidRPr="00A0565E">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EFD" w:rsidRDefault="00201EFD" w:rsidP="003F1FDE">
      <w:pPr>
        <w:spacing w:before="60"/>
        <w:ind w:left="624"/>
      </w:pPr>
      <w:r>
        <w:separator/>
      </w:r>
    </w:p>
  </w:footnote>
  <w:footnote w:type="continuationSeparator" w:id="0">
    <w:p w:rsidR="00201EFD" w:rsidRDefault="00201EFD">
      <w:r>
        <w:continuationSeparator/>
      </w:r>
    </w:p>
  </w:footnote>
  <w:footnote w:type="continuationNotice" w:id="1">
    <w:p w:rsidR="00201EFD" w:rsidRDefault="00201EFD"/>
  </w:footnote>
  <w:footnote w:id="2">
    <w:p w:rsidR="000C66A5" w:rsidRPr="00067B00" w:rsidRDefault="000C66A5" w:rsidP="003F1FDE">
      <w:pPr>
        <w:tabs>
          <w:tab w:val="left" w:pos="624"/>
        </w:tabs>
        <w:spacing w:before="20" w:after="40"/>
        <w:ind w:left="1247"/>
        <w:rPr>
          <w:sz w:val="18"/>
          <w:szCs w:val="18"/>
        </w:rPr>
      </w:pPr>
      <w:proofErr w:type="gramStart"/>
      <w:r w:rsidRPr="00036ACD">
        <w:rPr>
          <w:sz w:val="18"/>
          <w:szCs w:val="18"/>
        </w:rPr>
        <w:t>* UNEP</w:t>
      </w:r>
      <w:r>
        <w:rPr>
          <w:sz w:val="18"/>
          <w:szCs w:val="18"/>
        </w:rPr>
        <w:t>/MC</w:t>
      </w:r>
      <w:r w:rsidRPr="00036ACD">
        <w:rPr>
          <w:sz w:val="18"/>
          <w:szCs w:val="18"/>
        </w:rPr>
        <w:t>/</w:t>
      </w:r>
      <w:r>
        <w:rPr>
          <w:sz w:val="18"/>
          <w:szCs w:val="18"/>
        </w:rPr>
        <w:t>COP</w:t>
      </w:r>
      <w:r w:rsidRPr="00036ACD">
        <w:rPr>
          <w:sz w:val="18"/>
          <w:szCs w:val="18"/>
        </w:rPr>
        <w:t>.</w:t>
      </w:r>
      <w:r>
        <w:rPr>
          <w:sz w:val="18"/>
          <w:szCs w:val="18"/>
        </w:rPr>
        <w:t>1</w:t>
      </w:r>
      <w:r w:rsidRPr="00036ACD">
        <w:rPr>
          <w:sz w:val="18"/>
          <w:szCs w:val="18"/>
        </w:rPr>
        <w:t>/</w:t>
      </w:r>
      <w:r>
        <w:rPr>
          <w:sz w:val="18"/>
          <w:szCs w:val="18"/>
        </w:rPr>
        <w:t>1</w:t>
      </w:r>
      <w:r w:rsidRPr="00036ACD">
        <w:rPr>
          <w:sz w:val="18"/>
          <w:szCs w:val="18"/>
        </w:rPr>
        <w:t>.</w:t>
      </w:r>
      <w:proofErr w:type="gramEnd"/>
    </w:p>
  </w:footnote>
  <w:footnote w:id="3">
    <w:p w:rsidR="000C66A5" w:rsidRPr="003038EE" w:rsidRDefault="000C66A5" w:rsidP="003F1FDE">
      <w:pPr>
        <w:pStyle w:val="FootnoteText"/>
        <w:tabs>
          <w:tab w:val="left" w:pos="624"/>
        </w:tabs>
        <w:rPr>
          <w:lang w:val="en-GB"/>
        </w:rPr>
      </w:pPr>
      <w:r>
        <w:rPr>
          <w:rStyle w:val="FootnoteReference"/>
        </w:rPr>
        <w:footnoteRef/>
      </w:r>
      <w:r w:rsidRPr="003038EE">
        <w:rPr>
          <w:lang w:val="en-GB"/>
        </w:rPr>
        <w:t xml:space="preserve"> </w:t>
      </w:r>
      <w:r w:rsidR="006C5068" w:rsidRPr="003038EE">
        <w:rPr>
          <w:lang w:val="en-GB"/>
        </w:rPr>
        <w:t>Available at</w:t>
      </w:r>
      <w:r w:rsidR="009A0278">
        <w:rPr>
          <w:lang w:val="en-GB"/>
        </w:rPr>
        <w:t>:</w:t>
      </w:r>
      <w:r w:rsidR="006C5068" w:rsidRPr="003038EE">
        <w:rPr>
          <w:lang w:val="en-GB"/>
        </w:rPr>
        <w:t xml:space="preserve"> </w:t>
      </w:r>
      <w:r w:rsidRPr="003038EE">
        <w:rPr>
          <w:lang w:val="en-GB"/>
        </w:rPr>
        <w:t>https://wedocs.unep.org/bitstream/handle/20.500.11822/14777/Hg-Toolkit-Guideline-IL1-January2017.pdf?sequence=1&amp;isAllowed=y</w:t>
      </w:r>
      <w:r w:rsidR="006C5068">
        <w:rPr>
          <w:lang w:val="en-GB"/>
        </w:rPr>
        <w:t>.</w:t>
      </w:r>
    </w:p>
  </w:footnote>
  <w:footnote w:id="4">
    <w:p w:rsidR="000C66A5" w:rsidRPr="003038EE" w:rsidRDefault="000C66A5" w:rsidP="003F1FDE">
      <w:pPr>
        <w:pStyle w:val="FootnoteText"/>
        <w:tabs>
          <w:tab w:val="left" w:pos="624"/>
        </w:tabs>
        <w:rPr>
          <w:lang w:val="en-GB"/>
        </w:rPr>
      </w:pPr>
      <w:r>
        <w:rPr>
          <w:rStyle w:val="FootnoteReference"/>
        </w:rPr>
        <w:footnoteRef/>
      </w:r>
      <w:r w:rsidRPr="003038EE">
        <w:rPr>
          <w:lang w:val="en-GB"/>
        </w:rPr>
        <w:t xml:space="preserve"> </w:t>
      </w:r>
      <w:r w:rsidR="0070348A" w:rsidRPr="003038EE">
        <w:rPr>
          <w:lang w:val="en-GB"/>
        </w:rPr>
        <w:t>Available at</w:t>
      </w:r>
      <w:r w:rsidR="0070348A">
        <w:rPr>
          <w:lang w:val="en-GB"/>
        </w:rPr>
        <w:t>:</w:t>
      </w:r>
      <w:r w:rsidR="0070348A" w:rsidRPr="003038EE">
        <w:rPr>
          <w:lang w:val="en-GB"/>
        </w:rPr>
        <w:t xml:space="preserve"> </w:t>
      </w:r>
      <w:r w:rsidRPr="003038EE">
        <w:rPr>
          <w:lang w:val="en-GB"/>
        </w:rPr>
        <w:t>https://www.ec.gc.ca/mercure-mercury/default.asp?lang=En&amp;n=D2B2AD47-1</w:t>
      </w:r>
      <w:r w:rsidR="0070348A">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A5" w:rsidRPr="00CA5CA9" w:rsidRDefault="000C66A5" w:rsidP="009A26F6">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A5" w:rsidRPr="00CA5CA9" w:rsidRDefault="000C66A5" w:rsidP="009A26F6">
    <w:pPr>
      <w:pStyle w:val="Header"/>
      <w:jc w:val="right"/>
      <w:rPr>
        <w:szCs w:val="18"/>
      </w:rPr>
    </w:pPr>
    <w:r>
      <w:rPr>
        <w:bCs/>
        <w:szCs w:val="18"/>
      </w:rPr>
      <w:t>UNEP/MC/COP.1/25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A5" w:rsidRDefault="000C66A5" w:rsidP="00032E4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A5" w:rsidRPr="00A0565E" w:rsidRDefault="00A0565E">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A5" w:rsidRPr="00A0565E" w:rsidRDefault="00A0565E" w:rsidP="003F1FDE">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A5" w:rsidRPr="00A0565E" w:rsidRDefault="00A0565E">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1075"/>
    <w:multiLevelType w:val="hybridMultilevel"/>
    <w:tmpl w:val="0F06DE2C"/>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52A66A9D"/>
    <w:multiLevelType w:val="multilevel"/>
    <w:tmpl w:val="DC74C9B6"/>
    <w:styleLink w:val="Normallist"/>
    <w:lvl w:ilvl="0">
      <w:start w:val="1"/>
      <w:numFmt w:val="decimal"/>
      <w:pStyle w:val="Normalnumber"/>
      <w:lvlText w:val="%1."/>
      <w:lvlJc w:val="left"/>
      <w:pPr>
        <w:tabs>
          <w:tab w:val="num" w:pos="1305"/>
        </w:tabs>
        <w:ind w:left="1418"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3"/>
  </w:num>
  <w:num w:numId="2">
    <w:abstractNumId w:val="1"/>
  </w:num>
  <w:num w:numId="3">
    <w:abstractNumId w:val="2"/>
  </w:num>
  <w:num w:numId="4">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4"/>
  </w:num>
  <w:num w:numId="6">
    <w:abstractNumId w:val="3"/>
    <w:lvlOverride w:ilvl="0">
      <w:startOverride w:val="1"/>
      <w:lvl w:ilvl="0">
        <w:start w:val="1"/>
        <w:numFmt w:val="decimal"/>
        <w:pStyle w:val="Normalnumber"/>
        <w:lvlText w:val="%1."/>
        <w:lvlJc w:val="left"/>
        <w:pPr>
          <w:tabs>
            <w:tab w:val="num" w:pos="1305"/>
          </w:tabs>
          <w:ind w:left="1418"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
    <w:abstractNumId w:val="0"/>
  </w:num>
  <w:num w:numId="13">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4">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7">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9">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0">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1">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4">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5">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0">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2">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3"/>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t Forbes">
    <w15:presenceInfo w15:providerId="None" w15:userId="Janet Forb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H" w:vendorID="64" w:dllVersion="0" w:nlCheck="1" w:checkStyle="1"/>
  <w:activeWritingStyle w:appName="MSWord" w:lang="en-GB"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2058"/>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149E6"/>
    <w:rsid w:val="00023DA9"/>
    <w:rsid w:val="000247B0"/>
    <w:rsid w:val="00025487"/>
    <w:rsid w:val="00026997"/>
    <w:rsid w:val="00026A08"/>
    <w:rsid w:val="000321E1"/>
    <w:rsid w:val="00032E4E"/>
    <w:rsid w:val="00033E0B"/>
    <w:rsid w:val="00035EDE"/>
    <w:rsid w:val="000509B4"/>
    <w:rsid w:val="0005483E"/>
    <w:rsid w:val="00057280"/>
    <w:rsid w:val="00057EF8"/>
    <w:rsid w:val="0006035B"/>
    <w:rsid w:val="0006096F"/>
    <w:rsid w:val="0006108A"/>
    <w:rsid w:val="000649C5"/>
    <w:rsid w:val="00067D69"/>
    <w:rsid w:val="00071172"/>
    <w:rsid w:val="00071886"/>
    <w:rsid w:val="000742BC"/>
    <w:rsid w:val="00076CC6"/>
    <w:rsid w:val="000823F9"/>
    <w:rsid w:val="00082A0C"/>
    <w:rsid w:val="00083504"/>
    <w:rsid w:val="00086BD4"/>
    <w:rsid w:val="00086E57"/>
    <w:rsid w:val="0009640C"/>
    <w:rsid w:val="000A2CCE"/>
    <w:rsid w:val="000B22A2"/>
    <w:rsid w:val="000B73F9"/>
    <w:rsid w:val="000C1298"/>
    <w:rsid w:val="000C2A52"/>
    <w:rsid w:val="000C66A5"/>
    <w:rsid w:val="000C67AE"/>
    <w:rsid w:val="000C7F08"/>
    <w:rsid w:val="000D0B57"/>
    <w:rsid w:val="000D15B9"/>
    <w:rsid w:val="000D33C0"/>
    <w:rsid w:val="000D4CF6"/>
    <w:rsid w:val="000D6941"/>
    <w:rsid w:val="000E03C0"/>
    <w:rsid w:val="000F3C8B"/>
    <w:rsid w:val="000F4829"/>
    <w:rsid w:val="00102FA0"/>
    <w:rsid w:val="001110A6"/>
    <w:rsid w:val="00112A35"/>
    <w:rsid w:val="001202E3"/>
    <w:rsid w:val="001221DF"/>
    <w:rsid w:val="00123699"/>
    <w:rsid w:val="001241FB"/>
    <w:rsid w:val="00125A6B"/>
    <w:rsid w:val="001273A3"/>
    <w:rsid w:val="0013059D"/>
    <w:rsid w:val="00131DD4"/>
    <w:rsid w:val="00136187"/>
    <w:rsid w:val="00141A55"/>
    <w:rsid w:val="0014293F"/>
    <w:rsid w:val="0014397D"/>
    <w:rsid w:val="001446A3"/>
    <w:rsid w:val="0015136E"/>
    <w:rsid w:val="00152B6B"/>
    <w:rsid w:val="00155395"/>
    <w:rsid w:val="00156B6B"/>
    <w:rsid w:val="0015717E"/>
    <w:rsid w:val="00160D74"/>
    <w:rsid w:val="001646EA"/>
    <w:rsid w:val="00167D02"/>
    <w:rsid w:val="001759D8"/>
    <w:rsid w:val="00177D7F"/>
    <w:rsid w:val="00180149"/>
    <w:rsid w:val="00180603"/>
    <w:rsid w:val="00180C3F"/>
    <w:rsid w:val="00181EC8"/>
    <w:rsid w:val="00181EE1"/>
    <w:rsid w:val="00184349"/>
    <w:rsid w:val="00191F1D"/>
    <w:rsid w:val="00195F33"/>
    <w:rsid w:val="001B1617"/>
    <w:rsid w:val="001B504B"/>
    <w:rsid w:val="001B508C"/>
    <w:rsid w:val="001B6F98"/>
    <w:rsid w:val="001C191A"/>
    <w:rsid w:val="001D3874"/>
    <w:rsid w:val="001D7E75"/>
    <w:rsid w:val="001E0D73"/>
    <w:rsid w:val="001E33F3"/>
    <w:rsid w:val="001E45BD"/>
    <w:rsid w:val="001E56D2"/>
    <w:rsid w:val="001E78DE"/>
    <w:rsid w:val="001E7D56"/>
    <w:rsid w:val="001F1B48"/>
    <w:rsid w:val="001F53D6"/>
    <w:rsid w:val="001F63F5"/>
    <w:rsid w:val="001F6740"/>
    <w:rsid w:val="001F75DE"/>
    <w:rsid w:val="00200D58"/>
    <w:rsid w:val="002011C1"/>
    <w:rsid w:val="002013BE"/>
    <w:rsid w:val="00201E7F"/>
    <w:rsid w:val="00201EDC"/>
    <w:rsid w:val="00201EFD"/>
    <w:rsid w:val="002063A4"/>
    <w:rsid w:val="0021145B"/>
    <w:rsid w:val="00212ECE"/>
    <w:rsid w:val="00220C23"/>
    <w:rsid w:val="002224ED"/>
    <w:rsid w:val="002247F6"/>
    <w:rsid w:val="00225E21"/>
    <w:rsid w:val="00232071"/>
    <w:rsid w:val="00234E78"/>
    <w:rsid w:val="00234F45"/>
    <w:rsid w:val="0023673D"/>
    <w:rsid w:val="002429BE"/>
    <w:rsid w:val="00243D36"/>
    <w:rsid w:val="002450E4"/>
    <w:rsid w:val="00246151"/>
    <w:rsid w:val="00247707"/>
    <w:rsid w:val="002505CE"/>
    <w:rsid w:val="00252602"/>
    <w:rsid w:val="002544E7"/>
    <w:rsid w:val="00256B75"/>
    <w:rsid w:val="00257C3C"/>
    <w:rsid w:val="0026018E"/>
    <w:rsid w:val="002712CD"/>
    <w:rsid w:val="00280FDF"/>
    <w:rsid w:val="0028630B"/>
    <w:rsid w:val="00286740"/>
    <w:rsid w:val="00286B6C"/>
    <w:rsid w:val="00291EAE"/>
    <w:rsid w:val="002923B8"/>
    <w:rsid w:val="002929D8"/>
    <w:rsid w:val="0029570E"/>
    <w:rsid w:val="002A237D"/>
    <w:rsid w:val="002A4C53"/>
    <w:rsid w:val="002A69EE"/>
    <w:rsid w:val="002B04B9"/>
    <w:rsid w:val="002B0672"/>
    <w:rsid w:val="002B247F"/>
    <w:rsid w:val="002B2A57"/>
    <w:rsid w:val="002B50D4"/>
    <w:rsid w:val="002C145D"/>
    <w:rsid w:val="002C2C3E"/>
    <w:rsid w:val="002C38D4"/>
    <w:rsid w:val="002C533E"/>
    <w:rsid w:val="002D027F"/>
    <w:rsid w:val="002D3E15"/>
    <w:rsid w:val="002D5B89"/>
    <w:rsid w:val="002D7A85"/>
    <w:rsid w:val="002D7B60"/>
    <w:rsid w:val="002E19AD"/>
    <w:rsid w:val="002E27AE"/>
    <w:rsid w:val="002E71C8"/>
    <w:rsid w:val="002F41D8"/>
    <w:rsid w:val="002F4761"/>
    <w:rsid w:val="002F5C79"/>
    <w:rsid w:val="002F68EE"/>
    <w:rsid w:val="0030123B"/>
    <w:rsid w:val="003019E2"/>
    <w:rsid w:val="003038EE"/>
    <w:rsid w:val="003074E6"/>
    <w:rsid w:val="00310BEB"/>
    <w:rsid w:val="00312543"/>
    <w:rsid w:val="0031413F"/>
    <w:rsid w:val="00314854"/>
    <w:rsid w:val="003148BB"/>
    <w:rsid w:val="00317976"/>
    <w:rsid w:val="00320F2F"/>
    <w:rsid w:val="00327E06"/>
    <w:rsid w:val="00330890"/>
    <w:rsid w:val="00332962"/>
    <w:rsid w:val="00335BF4"/>
    <w:rsid w:val="00355EA9"/>
    <w:rsid w:val="003578DE"/>
    <w:rsid w:val="00360A5E"/>
    <w:rsid w:val="00361688"/>
    <w:rsid w:val="00363356"/>
    <w:rsid w:val="00374838"/>
    <w:rsid w:val="003877D5"/>
    <w:rsid w:val="003929B8"/>
    <w:rsid w:val="00396257"/>
    <w:rsid w:val="00397EB8"/>
    <w:rsid w:val="003A1911"/>
    <w:rsid w:val="003A4FD0"/>
    <w:rsid w:val="003A69D1"/>
    <w:rsid w:val="003A7705"/>
    <w:rsid w:val="003A77F1"/>
    <w:rsid w:val="003B1545"/>
    <w:rsid w:val="003B6549"/>
    <w:rsid w:val="003C3219"/>
    <w:rsid w:val="003C409D"/>
    <w:rsid w:val="003C5583"/>
    <w:rsid w:val="003C5BA6"/>
    <w:rsid w:val="003C74CF"/>
    <w:rsid w:val="003D0300"/>
    <w:rsid w:val="003D21E1"/>
    <w:rsid w:val="003D3752"/>
    <w:rsid w:val="003D5785"/>
    <w:rsid w:val="003E35DA"/>
    <w:rsid w:val="003E455D"/>
    <w:rsid w:val="003E53A8"/>
    <w:rsid w:val="003F0E85"/>
    <w:rsid w:val="003F1FDE"/>
    <w:rsid w:val="003F3618"/>
    <w:rsid w:val="00400C37"/>
    <w:rsid w:val="00410406"/>
    <w:rsid w:val="00410C55"/>
    <w:rsid w:val="00410C59"/>
    <w:rsid w:val="00416854"/>
    <w:rsid w:val="00417725"/>
    <w:rsid w:val="00432A16"/>
    <w:rsid w:val="00432D3C"/>
    <w:rsid w:val="00437F26"/>
    <w:rsid w:val="0044080E"/>
    <w:rsid w:val="00442142"/>
    <w:rsid w:val="00444097"/>
    <w:rsid w:val="00445487"/>
    <w:rsid w:val="00447E0D"/>
    <w:rsid w:val="00454769"/>
    <w:rsid w:val="00455BA9"/>
    <w:rsid w:val="0046072B"/>
    <w:rsid w:val="00465D27"/>
    <w:rsid w:val="00466991"/>
    <w:rsid w:val="0047064C"/>
    <w:rsid w:val="0047695B"/>
    <w:rsid w:val="00480368"/>
    <w:rsid w:val="004822B7"/>
    <w:rsid w:val="0049469E"/>
    <w:rsid w:val="00494F78"/>
    <w:rsid w:val="004A2217"/>
    <w:rsid w:val="004A24F9"/>
    <w:rsid w:val="004A42E1"/>
    <w:rsid w:val="004B162C"/>
    <w:rsid w:val="004B2ABE"/>
    <w:rsid w:val="004C01FA"/>
    <w:rsid w:val="004C2260"/>
    <w:rsid w:val="004C3DBE"/>
    <w:rsid w:val="004C3F93"/>
    <w:rsid w:val="004C56C2"/>
    <w:rsid w:val="004C5C96"/>
    <w:rsid w:val="004C6EA2"/>
    <w:rsid w:val="004D06A4"/>
    <w:rsid w:val="004E30CC"/>
    <w:rsid w:val="004E54DA"/>
    <w:rsid w:val="004F1A00"/>
    <w:rsid w:val="004F1A81"/>
    <w:rsid w:val="005050D2"/>
    <w:rsid w:val="0052030C"/>
    <w:rsid w:val="005209B7"/>
    <w:rsid w:val="005218D9"/>
    <w:rsid w:val="00523A24"/>
    <w:rsid w:val="00525218"/>
    <w:rsid w:val="00536186"/>
    <w:rsid w:val="005438BA"/>
    <w:rsid w:val="00544CBB"/>
    <w:rsid w:val="00546FFF"/>
    <w:rsid w:val="00550AFB"/>
    <w:rsid w:val="00552A54"/>
    <w:rsid w:val="0056021F"/>
    <w:rsid w:val="00560365"/>
    <w:rsid w:val="00561F56"/>
    <w:rsid w:val="005656D7"/>
    <w:rsid w:val="00572E50"/>
    <w:rsid w:val="0057315F"/>
    <w:rsid w:val="00576104"/>
    <w:rsid w:val="005837D3"/>
    <w:rsid w:val="00592B21"/>
    <w:rsid w:val="005B44BF"/>
    <w:rsid w:val="005C14D7"/>
    <w:rsid w:val="005C4275"/>
    <w:rsid w:val="005C67C8"/>
    <w:rsid w:val="005C714F"/>
    <w:rsid w:val="005D0249"/>
    <w:rsid w:val="005D0CE9"/>
    <w:rsid w:val="005D18FA"/>
    <w:rsid w:val="005D4FD4"/>
    <w:rsid w:val="005D55D9"/>
    <w:rsid w:val="005D6E8C"/>
    <w:rsid w:val="005D7993"/>
    <w:rsid w:val="005E1028"/>
    <w:rsid w:val="005E3004"/>
    <w:rsid w:val="005E432D"/>
    <w:rsid w:val="005F100C"/>
    <w:rsid w:val="005F68DA"/>
    <w:rsid w:val="005F71EF"/>
    <w:rsid w:val="00601BC9"/>
    <w:rsid w:val="006063C7"/>
    <w:rsid w:val="0060773B"/>
    <w:rsid w:val="00613FD6"/>
    <w:rsid w:val="006157B5"/>
    <w:rsid w:val="00617224"/>
    <w:rsid w:val="00621522"/>
    <w:rsid w:val="00622506"/>
    <w:rsid w:val="00623D2A"/>
    <w:rsid w:val="00626FC6"/>
    <w:rsid w:val="006303B4"/>
    <w:rsid w:val="00630ADC"/>
    <w:rsid w:val="0063308E"/>
    <w:rsid w:val="00633D3D"/>
    <w:rsid w:val="00641703"/>
    <w:rsid w:val="006431A6"/>
    <w:rsid w:val="00643E3A"/>
    <w:rsid w:val="006459F6"/>
    <w:rsid w:val="006501AD"/>
    <w:rsid w:val="00651BFA"/>
    <w:rsid w:val="00652A7A"/>
    <w:rsid w:val="006532D2"/>
    <w:rsid w:val="00654475"/>
    <w:rsid w:val="00656DF0"/>
    <w:rsid w:val="006578B5"/>
    <w:rsid w:val="00665A4B"/>
    <w:rsid w:val="00671B3C"/>
    <w:rsid w:val="00677252"/>
    <w:rsid w:val="00680135"/>
    <w:rsid w:val="00684970"/>
    <w:rsid w:val="00684E35"/>
    <w:rsid w:val="00692E2A"/>
    <w:rsid w:val="00692E69"/>
    <w:rsid w:val="00693583"/>
    <w:rsid w:val="006946EE"/>
    <w:rsid w:val="006A1555"/>
    <w:rsid w:val="006A3A89"/>
    <w:rsid w:val="006A76F2"/>
    <w:rsid w:val="006C044C"/>
    <w:rsid w:val="006C42F7"/>
    <w:rsid w:val="006C5068"/>
    <w:rsid w:val="006D1570"/>
    <w:rsid w:val="006D19D4"/>
    <w:rsid w:val="006D7EFB"/>
    <w:rsid w:val="006E6672"/>
    <w:rsid w:val="006E6722"/>
    <w:rsid w:val="006E6E8A"/>
    <w:rsid w:val="006F0945"/>
    <w:rsid w:val="006F1D0C"/>
    <w:rsid w:val="006F47BD"/>
    <w:rsid w:val="006F7AFF"/>
    <w:rsid w:val="00700EED"/>
    <w:rsid w:val="007027B9"/>
    <w:rsid w:val="0070348A"/>
    <w:rsid w:val="007066B5"/>
    <w:rsid w:val="007136FC"/>
    <w:rsid w:val="007145DA"/>
    <w:rsid w:val="00715E88"/>
    <w:rsid w:val="00717A89"/>
    <w:rsid w:val="007201B9"/>
    <w:rsid w:val="00721DE7"/>
    <w:rsid w:val="00731C00"/>
    <w:rsid w:val="007322BD"/>
    <w:rsid w:val="00734CAA"/>
    <w:rsid w:val="00735A24"/>
    <w:rsid w:val="00741552"/>
    <w:rsid w:val="00742680"/>
    <w:rsid w:val="00743A9C"/>
    <w:rsid w:val="007503C2"/>
    <w:rsid w:val="007531FC"/>
    <w:rsid w:val="007542DB"/>
    <w:rsid w:val="0075533C"/>
    <w:rsid w:val="00756461"/>
    <w:rsid w:val="00757581"/>
    <w:rsid w:val="007602F5"/>
    <w:rsid w:val="00760D36"/>
    <w:rsid w:val="007611A0"/>
    <w:rsid w:val="007664E9"/>
    <w:rsid w:val="00773E54"/>
    <w:rsid w:val="00787403"/>
    <w:rsid w:val="00787688"/>
    <w:rsid w:val="00787865"/>
    <w:rsid w:val="00790FA2"/>
    <w:rsid w:val="00791B78"/>
    <w:rsid w:val="007935E6"/>
    <w:rsid w:val="00796D3F"/>
    <w:rsid w:val="007A0CEE"/>
    <w:rsid w:val="007A1683"/>
    <w:rsid w:val="007A17D8"/>
    <w:rsid w:val="007A5C12"/>
    <w:rsid w:val="007A7CB0"/>
    <w:rsid w:val="007B68A3"/>
    <w:rsid w:val="007C1541"/>
    <w:rsid w:val="007C2541"/>
    <w:rsid w:val="007C629F"/>
    <w:rsid w:val="007D3B60"/>
    <w:rsid w:val="007D66A8"/>
    <w:rsid w:val="007E003F"/>
    <w:rsid w:val="007E4BA2"/>
    <w:rsid w:val="007E5041"/>
    <w:rsid w:val="007E7720"/>
    <w:rsid w:val="007F08D1"/>
    <w:rsid w:val="007F0CF8"/>
    <w:rsid w:val="007F2793"/>
    <w:rsid w:val="007F62CB"/>
    <w:rsid w:val="007F6D55"/>
    <w:rsid w:val="008008C4"/>
    <w:rsid w:val="00803576"/>
    <w:rsid w:val="00806562"/>
    <w:rsid w:val="008142EC"/>
    <w:rsid w:val="008164F2"/>
    <w:rsid w:val="008169B2"/>
    <w:rsid w:val="00821395"/>
    <w:rsid w:val="00821D46"/>
    <w:rsid w:val="00830E26"/>
    <w:rsid w:val="0084112B"/>
    <w:rsid w:val="00843576"/>
    <w:rsid w:val="00843B64"/>
    <w:rsid w:val="00844DC3"/>
    <w:rsid w:val="008478FC"/>
    <w:rsid w:val="00851C51"/>
    <w:rsid w:val="00856CDB"/>
    <w:rsid w:val="00861890"/>
    <w:rsid w:val="00867BFF"/>
    <w:rsid w:val="008707B9"/>
    <w:rsid w:val="00871542"/>
    <w:rsid w:val="008727E5"/>
    <w:rsid w:val="00872BF6"/>
    <w:rsid w:val="0088480A"/>
    <w:rsid w:val="0088757A"/>
    <w:rsid w:val="0089431B"/>
    <w:rsid w:val="00894479"/>
    <w:rsid w:val="00895668"/>
    <w:rsid w:val="008957DD"/>
    <w:rsid w:val="00897875"/>
    <w:rsid w:val="00897D98"/>
    <w:rsid w:val="008A3336"/>
    <w:rsid w:val="008A6DF2"/>
    <w:rsid w:val="008A7807"/>
    <w:rsid w:val="008B0414"/>
    <w:rsid w:val="008B4CC9"/>
    <w:rsid w:val="008C0BE1"/>
    <w:rsid w:val="008D2A77"/>
    <w:rsid w:val="008D75E4"/>
    <w:rsid w:val="008D7C99"/>
    <w:rsid w:val="008E0FCB"/>
    <w:rsid w:val="008E1454"/>
    <w:rsid w:val="008E411F"/>
    <w:rsid w:val="008E759F"/>
    <w:rsid w:val="008F30A7"/>
    <w:rsid w:val="008F6DFE"/>
    <w:rsid w:val="00903D14"/>
    <w:rsid w:val="0090529F"/>
    <w:rsid w:val="00906C8B"/>
    <w:rsid w:val="00913076"/>
    <w:rsid w:val="0092178C"/>
    <w:rsid w:val="00927D9C"/>
    <w:rsid w:val="00930B88"/>
    <w:rsid w:val="00935E43"/>
    <w:rsid w:val="00937D0A"/>
    <w:rsid w:val="00940DCC"/>
    <w:rsid w:val="0094179A"/>
    <w:rsid w:val="0094459E"/>
    <w:rsid w:val="00944DBC"/>
    <w:rsid w:val="00950977"/>
    <w:rsid w:val="00950CF4"/>
    <w:rsid w:val="00951A7B"/>
    <w:rsid w:val="009564A6"/>
    <w:rsid w:val="009603B5"/>
    <w:rsid w:val="009630A3"/>
    <w:rsid w:val="009650A3"/>
    <w:rsid w:val="00966A53"/>
    <w:rsid w:val="00967621"/>
    <w:rsid w:val="00967E6A"/>
    <w:rsid w:val="00970835"/>
    <w:rsid w:val="00980A94"/>
    <w:rsid w:val="00982659"/>
    <w:rsid w:val="00986C26"/>
    <w:rsid w:val="009903CA"/>
    <w:rsid w:val="009907B9"/>
    <w:rsid w:val="00990918"/>
    <w:rsid w:val="00991241"/>
    <w:rsid w:val="00991398"/>
    <w:rsid w:val="00996592"/>
    <w:rsid w:val="009A0278"/>
    <w:rsid w:val="009A26F6"/>
    <w:rsid w:val="009A3A83"/>
    <w:rsid w:val="009B04B4"/>
    <w:rsid w:val="009B4A0F"/>
    <w:rsid w:val="009C11D2"/>
    <w:rsid w:val="009C3C66"/>
    <w:rsid w:val="009C6C70"/>
    <w:rsid w:val="009C7B0A"/>
    <w:rsid w:val="009D0B63"/>
    <w:rsid w:val="009D5CB8"/>
    <w:rsid w:val="009E227E"/>
    <w:rsid w:val="009E2415"/>
    <w:rsid w:val="009E307E"/>
    <w:rsid w:val="009E310F"/>
    <w:rsid w:val="00A0565E"/>
    <w:rsid w:val="00A07870"/>
    <w:rsid w:val="00A07C54"/>
    <w:rsid w:val="00A07F19"/>
    <w:rsid w:val="00A12D58"/>
    <w:rsid w:val="00A1348D"/>
    <w:rsid w:val="00A13C99"/>
    <w:rsid w:val="00A17537"/>
    <w:rsid w:val="00A232EE"/>
    <w:rsid w:val="00A239B1"/>
    <w:rsid w:val="00A345C2"/>
    <w:rsid w:val="00A4060A"/>
    <w:rsid w:val="00A41276"/>
    <w:rsid w:val="00A414F6"/>
    <w:rsid w:val="00A4175F"/>
    <w:rsid w:val="00A44411"/>
    <w:rsid w:val="00A469FA"/>
    <w:rsid w:val="00A50E5D"/>
    <w:rsid w:val="00A53662"/>
    <w:rsid w:val="00A53875"/>
    <w:rsid w:val="00A55B01"/>
    <w:rsid w:val="00A56B5B"/>
    <w:rsid w:val="00A603FF"/>
    <w:rsid w:val="00A619B6"/>
    <w:rsid w:val="00A648CA"/>
    <w:rsid w:val="00A657DD"/>
    <w:rsid w:val="00A666A6"/>
    <w:rsid w:val="00A675FD"/>
    <w:rsid w:val="00A72437"/>
    <w:rsid w:val="00A7643A"/>
    <w:rsid w:val="00A76811"/>
    <w:rsid w:val="00A76F44"/>
    <w:rsid w:val="00A8048B"/>
    <w:rsid w:val="00A80611"/>
    <w:rsid w:val="00A909D8"/>
    <w:rsid w:val="00A93A2B"/>
    <w:rsid w:val="00AA54A5"/>
    <w:rsid w:val="00AA5BF4"/>
    <w:rsid w:val="00AB5340"/>
    <w:rsid w:val="00AC0A89"/>
    <w:rsid w:val="00AC7C96"/>
    <w:rsid w:val="00AD48F5"/>
    <w:rsid w:val="00AE0EA7"/>
    <w:rsid w:val="00AE237D"/>
    <w:rsid w:val="00AE3231"/>
    <w:rsid w:val="00AE502A"/>
    <w:rsid w:val="00AF0010"/>
    <w:rsid w:val="00AF0E01"/>
    <w:rsid w:val="00AF2C1F"/>
    <w:rsid w:val="00AF5FB6"/>
    <w:rsid w:val="00AF6F2D"/>
    <w:rsid w:val="00AF74DE"/>
    <w:rsid w:val="00AF7C07"/>
    <w:rsid w:val="00B01DB8"/>
    <w:rsid w:val="00B02696"/>
    <w:rsid w:val="00B06C64"/>
    <w:rsid w:val="00B11CAC"/>
    <w:rsid w:val="00B120F2"/>
    <w:rsid w:val="00B15A29"/>
    <w:rsid w:val="00B16199"/>
    <w:rsid w:val="00B2001C"/>
    <w:rsid w:val="00B20249"/>
    <w:rsid w:val="00B205CD"/>
    <w:rsid w:val="00B22C93"/>
    <w:rsid w:val="00B2466B"/>
    <w:rsid w:val="00B27589"/>
    <w:rsid w:val="00B30FE1"/>
    <w:rsid w:val="00B31182"/>
    <w:rsid w:val="00B405B7"/>
    <w:rsid w:val="00B52222"/>
    <w:rsid w:val="00B531DA"/>
    <w:rsid w:val="00B54895"/>
    <w:rsid w:val="00B54FE7"/>
    <w:rsid w:val="00B625A0"/>
    <w:rsid w:val="00B6338C"/>
    <w:rsid w:val="00B647C6"/>
    <w:rsid w:val="00B655F9"/>
    <w:rsid w:val="00B66901"/>
    <w:rsid w:val="00B71E6D"/>
    <w:rsid w:val="00B72070"/>
    <w:rsid w:val="00B7211B"/>
    <w:rsid w:val="00B74732"/>
    <w:rsid w:val="00B779BB"/>
    <w:rsid w:val="00B779E1"/>
    <w:rsid w:val="00B80AD6"/>
    <w:rsid w:val="00B81E3A"/>
    <w:rsid w:val="00B85CFB"/>
    <w:rsid w:val="00B876F7"/>
    <w:rsid w:val="00B91EE1"/>
    <w:rsid w:val="00B942A8"/>
    <w:rsid w:val="00B943CC"/>
    <w:rsid w:val="00B94602"/>
    <w:rsid w:val="00B94B6A"/>
    <w:rsid w:val="00BA0090"/>
    <w:rsid w:val="00BA1A67"/>
    <w:rsid w:val="00BA4EE4"/>
    <w:rsid w:val="00BA55B2"/>
    <w:rsid w:val="00BA6A80"/>
    <w:rsid w:val="00BA789B"/>
    <w:rsid w:val="00BB11A0"/>
    <w:rsid w:val="00BB224B"/>
    <w:rsid w:val="00BB4ABB"/>
    <w:rsid w:val="00BC1F1D"/>
    <w:rsid w:val="00BC602A"/>
    <w:rsid w:val="00BD3D2F"/>
    <w:rsid w:val="00BD5830"/>
    <w:rsid w:val="00BE5B5F"/>
    <w:rsid w:val="00BE7993"/>
    <w:rsid w:val="00BF50C2"/>
    <w:rsid w:val="00C07999"/>
    <w:rsid w:val="00C13CAB"/>
    <w:rsid w:val="00C13FF2"/>
    <w:rsid w:val="00C21846"/>
    <w:rsid w:val="00C21C81"/>
    <w:rsid w:val="00C26F55"/>
    <w:rsid w:val="00C30C63"/>
    <w:rsid w:val="00C30FF3"/>
    <w:rsid w:val="00C36B8B"/>
    <w:rsid w:val="00C415C1"/>
    <w:rsid w:val="00C47DBF"/>
    <w:rsid w:val="00C5415D"/>
    <w:rsid w:val="00C552FF"/>
    <w:rsid w:val="00C5577C"/>
    <w:rsid w:val="00C558DA"/>
    <w:rsid w:val="00C55AF3"/>
    <w:rsid w:val="00C708E3"/>
    <w:rsid w:val="00C71261"/>
    <w:rsid w:val="00C714E5"/>
    <w:rsid w:val="00C71ADA"/>
    <w:rsid w:val="00C73A86"/>
    <w:rsid w:val="00C771A9"/>
    <w:rsid w:val="00C84759"/>
    <w:rsid w:val="00C84A89"/>
    <w:rsid w:val="00C929FB"/>
    <w:rsid w:val="00C9409F"/>
    <w:rsid w:val="00C96912"/>
    <w:rsid w:val="00CA5CA9"/>
    <w:rsid w:val="00CA6C7F"/>
    <w:rsid w:val="00CB6215"/>
    <w:rsid w:val="00CB6B35"/>
    <w:rsid w:val="00CC0FC7"/>
    <w:rsid w:val="00CC0FE6"/>
    <w:rsid w:val="00CC10A6"/>
    <w:rsid w:val="00CC340A"/>
    <w:rsid w:val="00CD5EB8"/>
    <w:rsid w:val="00CD7044"/>
    <w:rsid w:val="00CE08B9"/>
    <w:rsid w:val="00CE524C"/>
    <w:rsid w:val="00CF141F"/>
    <w:rsid w:val="00CF4777"/>
    <w:rsid w:val="00CF65C8"/>
    <w:rsid w:val="00D013F5"/>
    <w:rsid w:val="00D02EB6"/>
    <w:rsid w:val="00D02F39"/>
    <w:rsid w:val="00D03DEB"/>
    <w:rsid w:val="00D05E3F"/>
    <w:rsid w:val="00D067BB"/>
    <w:rsid w:val="00D1352A"/>
    <w:rsid w:val="00D1614F"/>
    <w:rsid w:val="00D169AF"/>
    <w:rsid w:val="00D25249"/>
    <w:rsid w:val="00D44172"/>
    <w:rsid w:val="00D47BE3"/>
    <w:rsid w:val="00D52BE6"/>
    <w:rsid w:val="00D567AB"/>
    <w:rsid w:val="00D6198D"/>
    <w:rsid w:val="00D63025"/>
    <w:rsid w:val="00D63B8C"/>
    <w:rsid w:val="00D7234B"/>
    <w:rsid w:val="00D739CC"/>
    <w:rsid w:val="00D8093D"/>
    <w:rsid w:val="00D8108C"/>
    <w:rsid w:val="00D842AE"/>
    <w:rsid w:val="00D9211C"/>
    <w:rsid w:val="00D92DE0"/>
    <w:rsid w:val="00D92FEF"/>
    <w:rsid w:val="00D93A0F"/>
    <w:rsid w:val="00DA1BCA"/>
    <w:rsid w:val="00DB5D56"/>
    <w:rsid w:val="00DB69B7"/>
    <w:rsid w:val="00DC06E2"/>
    <w:rsid w:val="00DC3977"/>
    <w:rsid w:val="00DC46FF"/>
    <w:rsid w:val="00DC4B22"/>
    <w:rsid w:val="00DC5254"/>
    <w:rsid w:val="00DC569D"/>
    <w:rsid w:val="00DD1A4F"/>
    <w:rsid w:val="00DD1D38"/>
    <w:rsid w:val="00DD3107"/>
    <w:rsid w:val="00DD7C2C"/>
    <w:rsid w:val="00DE2C7F"/>
    <w:rsid w:val="00DE5BDA"/>
    <w:rsid w:val="00DF433C"/>
    <w:rsid w:val="00E0035A"/>
    <w:rsid w:val="00E024B3"/>
    <w:rsid w:val="00E02ED0"/>
    <w:rsid w:val="00E04F7A"/>
    <w:rsid w:val="00E054B7"/>
    <w:rsid w:val="00E06797"/>
    <w:rsid w:val="00E1265B"/>
    <w:rsid w:val="00E13B48"/>
    <w:rsid w:val="00E1404F"/>
    <w:rsid w:val="00E21C83"/>
    <w:rsid w:val="00E24ADA"/>
    <w:rsid w:val="00E279E8"/>
    <w:rsid w:val="00E32F59"/>
    <w:rsid w:val="00E37364"/>
    <w:rsid w:val="00E41908"/>
    <w:rsid w:val="00E42377"/>
    <w:rsid w:val="00E42E22"/>
    <w:rsid w:val="00E43833"/>
    <w:rsid w:val="00E46B08"/>
    <w:rsid w:val="00E46B4B"/>
    <w:rsid w:val="00E46D9A"/>
    <w:rsid w:val="00E565FF"/>
    <w:rsid w:val="00E60C49"/>
    <w:rsid w:val="00E65388"/>
    <w:rsid w:val="00E76BBD"/>
    <w:rsid w:val="00E7741D"/>
    <w:rsid w:val="00E808CD"/>
    <w:rsid w:val="00E8348F"/>
    <w:rsid w:val="00E85B7D"/>
    <w:rsid w:val="00E9121B"/>
    <w:rsid w:val="00E9302E"/>
    <w:rsid w:val="00E9338F"/>
    <w:rsid w:val="00E976AB"/>
    <w:rsid w:val="00EA0AE2"/>
    <w:rsid w:val="00EA1CC2"/>
    <w:rsid w:val="00EA39E5"/>
    <w:rsid w:val="00EA4A6C"/>
    <w:rsid w:val="00EA57A3"/>
    <w:rsid w:val="00EB1024"/>
    <w:rsid w:val="00EC0425"/>
    <w:rsid w:val="00EC2813"/>
    <w:rsid w:val="00EC5A46"/>
    <w:rsid w:val="00EC5E98"/>
    <w:rsid w:val="00EC63E2"/>
    <w:rsid w:val="00ED01A9"/>
    <w:rsid w:val="00ED366A"/>
    <w:rsid w:val="00ED4831"/>
    <w:rsid w:val="00ED6BB7"/>
    <w:rsid w:val="00EE1723"/>
    <w:rsid w:val="00EE30A1"/>
    <w:rsid w:val="00EE3999"/>
    <w:rsid w:val="00EF22B3"/>
    <w:rsid w:val="00F031D6"/>
    <w:rsid w:val="00F03B69"/>
    <w:rsid w:val="00F05F9F"/>
    <w:rsid w:val="00F07A50"/>
    <w:rsid w:val="00F113DA"/>
    <w:rsid w:val="00F204CF"/>
    <w:rsid w:val="00F21FE8"/>
    <w:rsid w:val="00F233F8"/>
    <w:rsid w:val="00F25036"/>
    <w:rsid w:val="00F266FC"/>
    <w:rsid w:val="00F3037A"/>
    <w:rsid w:val="00F3465A"/>
    <w:rsid w:val="00F37DC8"/>
    <w:rsid w:val="00F439B3"/>
    <w:rsid w:val="00F44960"/>
    <w:rsid w:val="00F51B89"/>
    <w:rsid w:val="00F61A1B"/>
    <w:rsid w:val="00F650C3"/>
    <w:rsid w:val="00F65D85"/>
    <w:rsid w:val="00F6700B"/>
    <w:rsid w:val="00F700C3"/>
    <w:rsid w:val="00F8091E"/>
    <w:rsid w:val="00F81C3A"/>
    <w:rsid w:val="00F8615C"/>
    <w:rsid w:val="00F969E5"/>
    <w:rsid w:val="00FA1F10"/>
    <w:rsid w:val="00FA4972"/>
    <w:rsid w:val="00FA6BB0"/>
    <w:rsid w:val="00FA7BC0"/>
    <w:rsid w:val="00FB2DBD"/>
    <w:rsid w:val="00FB53D9"/>
    <w:rsid w:val="00FB6540"/>
    <w:rsid w:val="00FC1C5D"/>
    <w:rsid w:val="00FD48DF"/>
    <w:rsid w:val="00FD5860"/>
    <w:rsid w:val="00FE352D"/>
    <w:rsid w:val="00FE40EB"/>
    <w:rsid w:val="00FE4D02"/>
    <w:rsid w:val="00FE7D62"/>
    <w:rsid w:val="00FF0017"/>
    <w:rsid w:val="00FF19D4"/>
    <w:rsid w:val="00FF31C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Inget">
    <w:name w:val="Inget"/>
    <w:rsid w:val="00A41276"/>
  </w:style>
  <w:style w:type="character" w:customStyle="1" w:styleId="Hyperlink0">
    <w:name w:val="Hyperlink.0"/>
    <w:rsid w:val="00693583"/>
    <w:rPr>
      <w:rFonts w:cs="Times New Roman"/>
      <w:lang w:val="en-US" w:eastAsia="x-none"/>
    </w:rPr>
  </w:style>
  <w:style w:type="character" w:customStyle="1" w:styleId="Normal-poolChar">
    <w:name w:val="Normal-pool Char"/>
    <w:link w:val="Normal-pool"/>
    <w:rsid w:val="00410C59"/>
    <w:rPr>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styleId="Emphasis">
    <w:name w:val="Emphasis"/>
    <w:basedOn w:val="DefaultParagraphFont"/>
    <w:uiPriority w:val="20"/>
    <w:qFormat/>
    <w:rsid w:val="00684970"/>
    <w:rPr>
      <w:i/>
      <w:iCs/>
    </w:rPr>
  </w:style>
  <w:style w:type="character" w:customStyle="1" w:styleId="apple-converted-space">
    <w:name w:val="apple-converted-space"/>
    <w:basedOn w:val="DefaultParagraphFont"/>
    <w:rsid w:val="00684970"/>
  </w:style>
  <w:style w:type="paragraph" w:styleId="Revision">
    <w:name w:val="Revision"/>
    <w:hidden/>
    <w:uiPriority w:val="99"/>
    <w:semiHidden/>
    <w:rsid w:val="00C2184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Inget">
    <w:name w:val="Inget"/>
    <w:rsid w:val="00A41276"/>
  </w:style>
  <w:style w:type="character" w:customStyle="1" w:styleId="Hyperlink0">
    <w:name w:val="Hyperlink.0"/>
    <w:rsid w:val="00693583"/>
    <w:rPr>
      <w:rFonts w:cs="Times New Roman"/>
      <w:lang w:val="en-US" w:eastAsia="x-none"/>
    </w:rPr>
  </w:style>
  <w:style w:type="character" w:customStyle="1" w:styleId="Normal-poolChar">
    <w:name w:val="Normal-pool Char"/>
    <w:link w:val="Normal-pool"/>
    <w:rsid w:val="00410C59"/>
    <w:rPr>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styleId="Emphasis">
    <w:name w:val="Emphasis"/>
    <w:basedOn w:val="DefaultParagraphFont"/>
    <w:uiPriority w:val="20"/>
    <w:qFormat/>
    <w:rsid w:val="00684970"/>
    <w:rPr>
      <w:i/>
      <w:iCs/>
    </w:rPr>
  </w:style>
  <w:style w:type="character" w:customStyle="1" w:styleId="apple-converted-space">
    <w:name w:val="apple-converted-space"/>
    <w:basedOn w:val="DefaultParagraphFont"/>
    <w:rsid w:val="00684970"/>
  </w:style>
  <w:style w:type="paragraph" w:styleId="Revision">
    <w:name w:val="Revision"/>
    <w:hidden/>
    <w:uiPriority w:val="99"/>
    <w:semiHidden/>
    <w:rsid w:val="00C2184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3238">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2359389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tc.gc.ca/eng/canutec/guide-menu-227.htm" TargetMode="External"/><Relationship Id="rId3" Type="http://schemas.openxmlformats.org/officeDocument/2006/relationships/numbering" Target="numbering.xml"/><Relationship Id="rId21" Type="http://schemas.openxmlformats.org/officeDocument/2006/relationships/hyperlink" Target="https://www.icao.int/safety/DangerousGoods/Pages/technical-instructions.aspx" TargetMode="Externa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energy.gov/sites/prod/files/2014/05/f15/Elementalmercurystorage%20Interim%20Guidance%20%28dated%202009-11-13%29.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ur-lex.europa.eu/LexUriServ/LexUriServ.do?uri=OJ:L:2011:328:0049:0052:EN: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www.bvsde.paho.org/bvstox/i/fulltext/fao12/fao12.pdf"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https://noharm-global.org/sites/default/files/documents-files/1030/GEF_Guidance_Cleanup_Storage_Transport_Mercury.pdf" TargetMode="External"/><Relationship Id="rId28" Type="http://schemas.openxmlformats.org/officeDocument/2006/relationships/header" Target="header4.xml"/><Relationship Id="rId10" Type="http://schemas.openxmlformats.org/officeDocument/2006/relationships/image" Target="media/image1.wmf"/><Relationship Id="rId19" Type="http://schemas.openxmlformats.org/officeDocument/2006/relationships/hyperlink" Target="http://www.ccohs.ca/oshanswers/chemicals/chem_profiles/mercury.html"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imo.org/en/Publications/IMDGCode/Pages/Default.aspx" TargetMode="External"/><Relationship Id="rId27" Type="http://schemas.openxmlformats.org/officeDocument/2006/relationships/hyperlink" Target="http://www.worldchlorine.org/publications/unep-chlor-alkali-mercury-partnership/reporting-on-mercury-use/" TargetMode="Externa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6B32-C026-4BDE-BCFB-23D9C07F43B6}">
  <ds:schemaRefs>
    <ds:schemaRef ds:uri="http://schemas.openxmlformats.org/officeDocument/2006/bibliography"/>
  </ds:schemaRefs>
</ds:datastoreItem>
</file>

<file path=customXml/itemProps2.xml><?xml version="1.0" encoding="utf-8"?>
<ds:datastoreItem xmlns:ds="http://schemas.openxmlformats.org/officeDocument/2006/customXml" ds:itemID="{77867FFE-6509-4AD2-BBCF-352D2137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16CB0165.dotm</Template>
  <TotalTime>10</TotalTime>
  <Pages>17</Pages>
  <Words>9021</Words>
  <Characters>54326</Characters>
  <Application>Microsoft Office Word</Application>
  <DocSecurity>0</DocSecurity>
  <Lines>452</Lines>
  <Paragraphs>126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Cynthia Mwanza</cp:lastModifiedBy>
  <cp:revision>6</cp:revision>
  <cp:lastPrinted>2017-07-11T12:31:00Z</cp:lastPrinted>
  <dcterms:created xsi:type="dcterms:W3CDTF">2017-07-11T12:03:00Z</dcterms:created>
  <dcterms:modified xsi:type="dcterms:W3CDTF">2017-07-11T12:31:00Z</dcterms:modified>
</cp:coreProperties>
</file>