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C6062B" w14:paraId="2623362B" w14:textId="77777777" w:rsidTr="00E976AB">
        <w:trPr>
          <w:cantSplit/>
          <w:trHeight w:val="850"/>
          <w:jc w:val="right"/>
        </w:trPr>
        <w:tc>
          <w:tcPr>
            <w:tcW w:w="1560" w:type="dxa"/>
          </w:tcPr>
          <w:p w14:paraId="1537DD56" w14:textId="77777777" w:rsidR="00032E4E" w:rsidRPr="00C6062B" w:rsidRDefault="00032E4E" w:rsidP="00023DA9">
            <w:pPr>
              <w:rPr>
                <w:rFonts w:ascii="Univers" w:hAnsi="Univers"/>
                <w:b/>
                <w:noProof/>
                <w:sz w:val="27"/>
                <w:szCs w:val="27"/>
              </w:rPr>
            </w:pPr>
            <w:r w:rsidRPr="00C6062B">
              <w:rPr>
                <w:rFonts w:ascii="Arial" w:hAnsi="Arial" w:cs="Arial"/>
                <w:b/>
                <w:noProof/>
                <w:sz w:val="27"/>
                <w:szCs w:val="27"/>
              </w:rPr>
              <w:t>UNITED</w:t>
            </w:r>
            <w:r w:rsidRPr="00C6062B">
              <w:rPr>
                <w:rFonts w:ascii="Arial" w:hAnsi="Arial" w:cs="Arial"/>
                <w:b/>
                <w:noProof/>
                <w:sz w:val="27"/>
                <w:szCs w:val="27"/>
              </w:rPr>
              <w:br/>
              <w:t>NATIONS</w:t>
            </w:r>
          </w:p>
        </w:tc>
        <w:tc>
          <w:tcPr>
            <w:tcW w:w="4785" w:type="dxa"/>
          </w:tcPr>
          <w:p w14:paraId="1B32F467" w14:textId="77777777" w:rsidR="00032E4E" w:rsidRPr="00C6062B" w:rsidRDefault="00032E4E" w:rsidP="00023DA9">
            <w:pPr>
              <w:rPr>
                <w:rFonts w:ascii="Univers" w:hAnsi="Univers"/>
                <w:b/>
                <w:sz w:val="27"/>
                <w:szCs w:val="27"/>
              </w:rPr>
            </w:pPr>
          </w:p>
        </w:tc>
        <w:tc>
          <w:tcPr>
            <w:tcW w:w="3435" w:type="dxa"/>
          </w:tcPr>
          <w:p w14:paraId="0CD6C3D3" w14:textId="77777777" w:rsidR="00032E4E" w:rsidRPr="00C6062B" w:rsidRDefault="00787688" w:rsidP="00023DA9">
            <w:pPr>
              <w:jc w:val="right"/>
              <w:rPr>
                <w:rFonts w:ascii="Arial" w:hAnsi="Arial" w:cs="Arial"/>
                <w:b/>
                <w:sz w:val="64"/>
                <w:szCs w:val="64"/>
              </w:rPr>
            </w:pPr>
            <w:r w:rsidRPr="00C6062B">
              <w:rPr>
                <w:rFonts w:ascii="Arial" w:hAnsi="Arial" w:cs="Arial"/>
                <w:b/>
                <w:sz w:val="64"/>
                <w:szCs w:val="64"/>
              </w:rPr>
              <w:t>MC</w:t>
            </w:r>
          </w:p>
        </w:tc>
      </w:tr>
      <w:tr w:rsidR="00032E4E" w:rsidRPr="00C6062B" w14:paraId="36878BD8" w14:textId="77777777" w:rsidTr="00E976AB">
        <w:trPr>
          <w:cantSplit/>
          <w:trHeight w:val="281"/>
          <w:jc w:val="right"/>
        </w:trPr>
        <w:tc>
          <w:tcPr>
            <w:tcW w:w="1560" w:type="dxa"/>
            <w:tcBorders>
              <w:bottom w:val="single" w:sz="4" w:space="0" w:color="auto"/>
            </w:tcBorders>
          </w:tcPr>
          <w:p w14:paraId="2FE1D229" w14:textId="77777777" w:rsidR="00032E4E" w:rsidRPr="00C6062B" w:rsidRDefault="00032E4E" w:rsidP="00023DA9">
            <w:pPr>
              <w:rPr>
                <w:noProof/>
                <w:sz w:val="18"/>
                <w:szCs w:val="18"/>
              </w:rPr>
            </w:pPr>
          </w:p>
        </w:tc>
        <w:tc>
          <w:tcPr>
            <w:tcW w:w="4785" w:type="dxa"/>
            <w:tcBorders>
              <w:bottom w:val="single" w:sz="4" w:space="0" w:color="auto"/>
            </w:tcBorders>
          </w:tcPr>
          <w:p w14:paraId="05482DC3" w14:textId="77777777" w:rsidR="00032E4E" w:rsidRPr="00C6062B" w:rsidRDefault="00032E4E" w:rsidP="00023DA9">
            <w:pPr>
              <w:rPr>
                <w:rFonts w:ascii="Univers" w:hAnsi="Univers"/>
                <w:b/>
                <w:sz w:val="18"/>
                <w:szCs w:val="18"/>
              </w:rPr>
            </w:pPr>
          </w:p>
        </w:tc>
        <w:tc>
          <w:tcPr>
            <w:tcW w:w="3435" w:type="dxa"/>
            <w:tcBorders>
              <w:bottom w:val="single" w:sz="4" w:space="0" w:color="auto"/>
            </w:tcBorders>
          </w:tcPr>
          <w:p w14:paraId="3D105487" w14:textId="04E45AF2" w:rsidR="00032E4E" w:rsidRPr="00C6062B" w:rsidRDefault="00032E4E" w:rsidP="001A04AA">
            <w:pPr>
              <w:rPr>
                <w:noProof/>
                <w:sz w:val="18"/>
                <w:szCs w:val="18"/>
              </w:rPr>
            </w:pPr>
            <w:r w:rsidRPr="00C6062B">
              <w:rPr>
                <w:b/>
                <w:bCs/>
                <w:sz w:val="28"/>
              </w:rPr>
              <w:t>UNEP</w:t>
            </w:r>
            <w:bookmarkStart w:id="0" w:name="OLE_LINK1"/>
            <w:bookmarkStart w:id="1" w:name="OLE_LINK2"/>
            <w:r w:rsidR="00787688" w:rsidRPr="00C6062B">
              <w:t>/MC</w:t>
            </w:r>
            <w:r w:rsidRPr="00C6062B">
              <w:t>/</w:t>
            </w:r>
            <w:bookmarkEnd w:id="0"/>
            <w:bookmarkEnd w:id="1"/>
            <w:r w:rsidR="00787688" w:rsidRPr="00C6062B">
              <w:t>COP.1</w:t>
            </w:r>
            <w:r w:rsidRPr="00C6062B">
              <w:t>/</w:t>
            </w:r>
            <w:r w:rsidR="00775D8D">
              <w:t>2</w:t>
            </w:r>
            <w:r w:rsidR="007C36CE">
              <w:t>2</w:t>
            </w:r>
          </w:p>
        </w:tc>
      </w:tr>
      <w:tr w:rsidR="00032E4E" w:rsidRPr="00C6062B" w14:paraId="0344FC84" w14:textId="77777777" w:rsidTr="00E976AB">
        <w:trPr>
          <w:cantSplit/>
          <w:trHeight w:val="2549"/>
          <w:jc w:val="right"/>
        </w:trPr>
        <w:tc>
          <w:tcPr>
            <w:tcW w:w="1560" w:type="dxa"/>
            <w:tcBorders>
              <w:top w:val="single" w:sz="4" w:space="0" w:color="auto"/>
              <w:bottom w:val="single" w:sz="24" w:space="0" w:color="auto"/>
            </w:tcBorders>
          </w:tcPr>
          <w:p w14:paraId="090CBE48" w14:textId="1B27FCCF" w:rsidR="00032E4E" w:rsidRPr="00C6062B" w:rsidRDefault="006534F9" w:rsidP="00023DA9">
            <w:pPr>
              <w:rPr>
                <w:noProof/>
              </w:rPr>
            </w:pPr>
            <w:bookmarkStart w:id="2" w:name="_MON_1021710510"/>
            <w:bookmarkStart w:id="3" w:name="_MON_1021710482"/>
            <w:bookmarkEnd w:id="2"/>
            <w:bookmarkEnd w:id="3"/>
            <w:r>
              <w:rPr>
                <w:noProof/>
                <w:lang w:val="en-US"/>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US"/>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48EC7758" w14:textId="77777777" w:rsidR="00032E4E" w:rsidRPr="00C6062B" w:rsidRDefault="00032E4E" w:rsidP="00023DA9">
            <w:pPr>
              <w:spacing w:before="1200"/>
              <w:rPr>
                <w:rFonts w:ascii="Arial" w:hAnsi="Arial" w:cs="Arial"/>
                <w:b/>
                <w:sz w:val="28"/>
              </w:rPr>
            </w:pPr>
            <w:r w:rsidRPr="00C6062B">
              <w:rPr>
                <w:rFonts w:ascii="Arial" w:hAnsi="Arial" w:cs="Arial"/>
                <w:b/>
                <w:sz w:val="32"/>
                <w:szCs w:val="32"/>
              </w:rPr>
              <w:t>United Nations</w:t>
            </w:r>
            <w:r w:rsidRPr="00C6062B">
              <w:rPr>
                <w:rFonts w:ascii="Arial" w:hAnsi="Arial" w:cs="Arial"/>
                <w:b/>
                <w:sz w:val="32"/>
                <w:szCs w:val="32"/>
              </w:rPr>
              <w:br w:type="textWrapping" w:clear="all"/>
              <w:t>Environment</w:t>
            </w:r>
            <w:r w:rsidRPr="00C6062B">
              <w:rPr>
                <w:rFonts w:ascii="Arial" w:hAnsi="Arial" w:cs="Arial"/>
                <w:b/>
                <w:sz w:val="32"/>
                <w:szCs w:val="32"/>
              </w:rPr>
              <w:br w:type="textWrapping" w:clear="all"/>
              <w:t>Programme</w:t>
            </w:r>
          </w:p>
        </w:tc>
        <w:tc>
          <w:tcPr>
            <w:tcW w:w="3435" w:type="dxa"/>
            <w:tcBorders>
              <w:top w:val="single" w:sz="4" w:space="0" w:color="auto"/>
              <w:bottom w:val="single" w:sz="24" w:space="0" w:color="auto"/>
            </w:tcBorders>
          </w:tcPr>
          <w:p w14:paraId="32AB44BC" w14:textId="7CA8E9AB" w:rsidR="00032E4E" w:rsidRPr="00C6062B" w:rsidRDefault="00032E4E" w:rsidP="009C3362">
            <w:pPr>
              <w:tabs>
                <w:tab w:val="clear" w:pos="1247"/>
                <w:tab w:val="clear" w:pos="1814"/>
                <w:tab w:val="clear" w:pos="2381"/>
                <w:tab w:val="clear" w:pos="2948"/>
                <w:tab w:val="clear" w:pos="3515"/>
              </w:tabs>
              <w:spacing w:before="120"/>
            </w:pPr>
            <w:r w:rsidRPr="00C6062B">
              <w:t>Distr.: General</w:t>
            </w:r>
            <w:r w:rsidRPr="00C6062B">
              <w:br w:type="textWrapping" w:clear="all"/>
            </w:r>
            <w:r w:rsidR="00775D8D">
              <w:t>2</w:t>
            </w:r>
            <w:r w:rsidR="007C36CE">
              <w:t>1 April</w:t>
            </w:r>
            <w:r w:rsidR="000832C7" w:rsidRPr="00C6062B">
              <w:t xml:space="preserve"> 2017</w:t>
            </w:r>
          </w:p>
          <w:p w14:paraId="6F78AAFF" w14:textId="77777777" w:rsidR="00032E4E" w:rsidRPr="00C6062B" w:rsidRDefault="00032E4E" w:rsidP="000832C7">
            <w:pPr>
              <w:spacing w:before="120"/>
            </w:pPr>
            <w:r w:rsidRPr="00C6062B">
              <w:t>Original: English</w:t>
            </w:r>
          </w:p>
        </w:tc>
      </w:tr>
    </w:tbl>
    <w:p w14:paraId="0897FB72" w14:textId="26F26553" w:rsidR="00E976AB" w:rsidRPr="00FA6617" w:rsidRDefault="00C543FE" w:rsidP="00E976AB">
      <w:pPr>
        <w:pStyle w:val="AATitle"/>
        <w:keepNext w:val="0"/>
        <w:keepLines w:val="0"/>
      </w:pPr>
      <w:r w:rsidRPr="00FA6617">
        <w:t xml:space="preserve">Conference of the Parties to the </w:t>
      </w:r>
      <w:r w:rsidR="00EB0578">
        <w:br/>
      </w:r>
      <w:proofErr w:type="spellStart"/>
      <w:r w:rsidR="00787688" w:rsidRPr="00FA6617">
        <w:t>Minamata</w:t>
      </w:r>
      <w:proofErr w:type="spellEnd"/>
      <w:r w:rsidR="00787688" w:rsidRPr="00FA6617">
        <w:t xml:space="preserve"> Convention on Mercury</w:t>
      </w:r>
      <w:r w:rsidR="00E74122">
        <w:t xml:space="preserve"> </w:t>
      </w:r>
    </w:p>
    <w:p w14:paraId="17BE80BB" w14:textId="77777777" w:rsidR="00E976AB" w:rsidRDefault="00787688" w:rsidP="00E976AB">
      <w:pPr>
        <w:pStyle w:val="AATitle"/>
        <w:keepNext w:val="0"/>
        <w:keepLines w:val="0"/>
      </w:pPr>
      <w:r w:rsidRPr="00C6062B">
        <w:t>First meeting</w:t>
      </w:r>
    </w:p>
    <w:p w14:paraId="025D4C98" w14:textId="77777777" w:rsidR="00E976AB" w:rsidRPr="00C6062B" w:rsidRDefault="00787688" w:rsidP="00465D27">
      <w:pPr>
        <w:pStyle w:val="AATitle"/>
        <w:rPr>
          <w:b w:val="0"/>
        </w:rPr>
      </w:pPr>
      <w:r w:rsidRPr="00C6062B">
        <w:rPr>
          <w:b w:val="0"/>
        </w:rPr>
        <w:t>Geneva</w:t>
      </w:r>
      <w:r w:rsidR="00E976AB" w:rsidRPr="00C6062B">
        <w:rPr>
          <w:b w:val="0"/>
        </w:rPr>
        <w:t xml:space="preserve">, </w:t>
      </w:r>
      <w:r w:rsidR="00465D27" w:rsidRPr="00C6062B">
        <w:rPr>
          <w:b w:val="0"/>
        </w:rPr>
        <w:t>24–29 September</w:t>
      </w:r>
      <w:r w:rsidRPr="00C6062B">
        <w:rPr>
          <w:b w:val="0"/>
        </w:rPr>
        <w:t xml:space="preserve"> 2017</w:t>
      </w:r>
    </w:p>
    <w:p w14:paraId="505021B5" w14:textId="2AE7037A" w:rsidR="00775D8D" w:rsidRPr="00A018C0" w:rsidRDefault="00775D8D" w:rsidP="00775D8D">
      <w:pPr>
        <w:pStyle w:val="AATitle"/>
        <w:keepNext w:val="0"/>
        <w:keepLines w:val="0"/>
        <w:rPr>
          <w:b w:val="0"/>
        </w:rPr>
      </w:pPr>
      <w:r>
        <w:rPr>
          <w:b w:val="0"/>
        </w:rPr>
        <w:t xml:space="preserve">Item </w:t>
      </w:r>
      <w:r w:rsidR="007C36CE">
        <w:rPr>
          <w:b w:val="0"/>
        </w:rPr>
        <w:t>6</w:t>
      </w:r>
      <w:r w:rsidRPr="00A018C0">
        <w:rPr>
          <w:b w:val="0"/>
        </w:rPr>
        <w:t xml:space="preserve"> of the provisional agenda</w:t>
      </w:r>
      <w:r w:rsidRPr="00A018C0">
        <w:rPr>
          <w:b w:val="0"/>
        </w:rPr>
        <w:footnoteReference w:customMarkFollows="1" w:id="2"/>
        <w:t>*</w:t>
      </w:r>
    </w:p>
    <w:p w14:paraId="434DBCD0" w14:textId="77777777" w:rsidR="007C36CE" w:rsidRPr="00C30FF3" w:rsidRDefault="007C36CE" w:rsidP="007C36CE">
      <w:pPr>
        <w:pStyle w:val="AATitle2"/>
        <w:spacing w:before="60"/>
      </w:pPr>
      <w:r w:rsidRPr="00D909FE">
        <w:t xml:space="preserve">Matters </w:t>
      </w:r>
      <w:r w:rsidRPr="00E96CF3">
        <w:t>stipulated by the Convention for action by the Conference of the Parties</w:t>
      </w:r>
    </w:p>
    <w:p w14:paraId="185159A5" w14:textId="1CD651BC" w:rsidR="007C36CE" w:rsidRPr="007C36CE" w:rsidRDefault="007C36CE" w:rsidP="007C36CE">
      <w:pPr>
        <w:pStyle w:val="BBTitle"/>
      </w:pPr>
      <w:r w:rsidRPr="007C36CE">
        <w:t xml:space="preserve">Matters for action </w:t>
      </w:r>
      <w:r w:rsidR="00160940">
        <w:t>by</w:t>
      </w:r>
      <w:r w:rsidRPr="007C36CE">
        <w:t xml:space="preserve"> the Conference of the Parties under </w:t>
      </w:r>
      <w:r w:rsidR="00160940">
        <w:t>a</w:t>
      </w:r>
      <w:r w:rsidRPr="007C36CE">
        <w:t xml:space="preserve">rticles 3, 4, 5, 14 and 16 of the </w:t>
      </w:r>
      <w:proofErr w:type="spellStart"/>
      <w:r w:rsidRPr="007C36CE">
        <w:t>Minamata</w:t>
      </w:r>
      <w:proofErr w:type="spellEnd"/>
      <w:r w:rsidRPr="007C36CE">
        <w:t xml:space="preserve"> Convention on Mercury</w:t>
      </w:r>
    </w:p>
    <w:p w14:paraId="03E8DFDE" w14:textId="77777777" w:rsidR="007C36CE" w:rsidRPr="007C36CE" w:rsidRDefault="007C36CE" w:rsidP="007C36CE">
      <w:pPr>
        <w:pStyle w:val="CH2"/>
      </w:pPr>
      <w:r w:rsidRPr="007C36CE">
        <w:tab/>
      </w:r>
      <w:r w:rsidRPr="007C36CE">
        <w:tab/>
        <w:t>Note by the secretariat</w:t>
      </w:r>
    </w:p>
    <w:p w14:paraId="454AFCD0" w14:textId="650A663F" w:rsidR="007C36CE" w:rsidRPr="007C36CE" w:rsidRDefault="007C36CE" w:rsidP="007C36CE">
      <w:pPr>
        <w:pStyle w:val="Normalnumber"/>
        <w:ind w:left="1247" w:firstLine="0"/>
      </w:pPr>
      <w:r w:rsidRPr="007C36CE">
        <w:t xml:space="preserve">The </w:t>
      </w:r>
      <w:proofErr w:type="spellStart"/>
      <w:r w:rsidRPr="007C36CE">
        <w:t>Minamata</w:t>
      </w:r>
      <w:proofErr w:type="spellEnd"/>
      <w:r w:rsidRPr="007C36CE">
        <w:t xml:space="preserve"> Convention on Mercury provides that the Conference of the Parties shall take action on specific issues under article 3 (mercury supply sources and trade), article 4 (mercury-added products), article 5 (manufacturing processes in which mercury or mercury compounds are used), article 14 (</w:t>
      </w:r>
      <w:r w:rsidR="00DC6C76" w:rsidRPr="007C36CE">
        <w:t>capacity</w:t>
      </w:r>
      <w:r w:rsidR="00DC6C76">
        <w:t>-</w:t>
      </w:r>
      <w:r w:rsidRPr="007C36CE">
        <w:t xml:space="preserve">building, technical assistance and technology transfer) and article 16 (health </w:t>
      </w:r>
      <w:proofErr w:type="gramStart"/>
      <w:r w:rsidRPr="007C36CE">
        <w:t>aspects</w:t>
      </w:r>
      <w:proofErr w:type="gramEnd"/>
      <w:r w:rsidRPr="007C36CE">
        <w:t xml:space="preserve">). </w:t>
      </w:r>
    </w:p>
    <w:p w14:paraId="17E101B8" w14:textId="60D7A529" w:rsidR="007C36CE" w:rsidRDefault="007C36CE" w:rsidP="000D7CCE">
      <w:pPr>
        <w:pStyle w:val="CH1"/>
      </w:pPr>
      <w:r>
        <w:tab/>
        <w:t>I</w:t>
      </w:r>
      <w:r w:rsidRPr="00131DD4">
        <w:t>.</w:t>
      </w:r>
      <w:r>
        <w:tab/>
      </w:r>
      <w:r w:rsidRPr="00131DD4">
        <w:t>Article 3: Mercury supply sources and trade</w:t>
      </w:r>
    </w:p>
    <w:p w14:paraId="2E0BC0EB" w14:textId="30835036" w:rsidR="007C36CE" w:rsidRDefault="00DC6C76" w:rsidP="007C36CE">
      <w:pPr>
        <w:pStyle w:val="Normalnumber"/>
        <w:tabs>
          <w:tab w:val="num" w:pos="993"/>
        </w:tabs>
        <w:ind w:left="1247" w:firstLine="0"/>
      </w:pPr>
      <w:r>
        <w:t>Paragraph 13 of a</w:t>
      </w:r>
      <w:r w:rsidR="007C36CE">
        <w:t>rticle 3 of the Convention provides</w:t>
      </w:r>
      <w:r>
        <w:t xml:space="preserve"> </w:t>
      </w:r>
      <w:r w:rsidR="007C36CE">
        <w:t xml:space="preserve">that the </w:t>
      </w:r>
      <w:r>
        <w:t xml:space="preserve">Conference </w:t>
      </w:r>
      <w:r w:rsidR="007C36CE">
        <w:t>of the Parties shall evaluate whether the trade in specific mercury compounds compromises the objective of the Convention</w:t>
      </w:r>
      <w:r w:rsidR="0049682D">
        <w:t>,</w:t>
      </w:r>
      <w:r w:rsidR="007C36CE">
        <w:t xml:space="preserve"> and consider whether specific mercury compounds should, by their listing in an additional annex to the convention, be made subject to paragraphs 6 and 8 of article 3. </w:t>
      </w:r>
    </w:p>
    <w:p w14:paraId="39D508E4" w14:textId="32425525" w:rsidR="007C36CE" w:rsidRPr="000D7CCE" w:rsidRDefault="007C36CE" w:rsidP="007C36CE">
      <w:pPr>
        <w:pStyle w:val="Normalnumber"/>
        <w:tabs>
          <w:tab w:val="num" w:pos="993"/>
        </w:tabs>
        <w:ind w:left="1247" w:firstLine="0"/>
        <w:rPr>
          <w:b/>
          <w:bCs/>
        </w:rPr>
      </w:pPr>
      <w:r w:rsidRPr="008238BF">
        <w:t>A report</w:t>
      </w:r>
      <w:r>
        <w:t xml:space="preserve"> on trade in mercury and mercury compounds was developed in 2006 and provided to the Governing Council of the United Nations Environment Programme. A new report </w:t>
      </w:r>
      <w:r w:rsidR="002C36FB">
        <w:t>has been under preparation since</w:t>
      </w:r>
      <w:r>
        <w:t xml:space="preserve"> 2016 to assess current levels of trade. The report will provide an indication of whether there is significant trade in specific mercury compounds</w:t>
      </w:r>
      <w:r w:rsidR="00144453">
        <w:t>.</w:t>
      </w:r>
    </w:p>
    <w:p w14:paraId="13F4BF61" w14:textId="11E50F41" w:rsidR="007C36CE" w:rsidRDefault="007C36CE" w:rsidP="000D7CCE">
      <w:pPr>
        <w:pStyle w:val="CH1"/>
      </w:pPr>
      <w:r>
        <w:tab/>
        <w:t>II</w:t>
      </w:r>
      <w:r w:rsidRPr="00131DD4">
        <w:t>.</w:t>
      </w:r>
      <w:r>
        <w:tab/>
      </w:r>
      <w:r w:rsidRPr="00131DD4">
        <w:t>Article 4: Mercury-added products</w:t>
      </w:r>
      <w:r>
        <w:t xml:space="preserve"> </w:t>
      </w:r>
    </w:p>
    <w:p w14:paraId="7FFD72FD" w14:textId="04F114BD" w:rsidR="007C36CE" w:rsidRDefault="00DC6C76" w:rsidP="007C36CE">
      <w:pPr>
        <w:pStyle w:val="Normalnumber"/>
        <w:tabs>
          <w:tab w:val="num" w:pos="1276"/>
          <w:tab w:val="num" w:pos="1305"/>
        </w:tabs>
        <w:ind w:left="1247" w:firstLine="0"/>
      </w:pPr>
      <w:r>
        <w:t>Paragraph 8 of a</w:t>
      </w:r>
      <w:r w:rsidR="007C36CE">
        <w:t>rticle 4 of the Convention provides</w:t>
      </w:r>
      <w:r>
        <w:t xml:space="preserve"> </w:t>
      </w:r>
      <w:r w:rsidR="007C36CE">
        <w:t>that</w:t>
      </w:r>
      <w:r w:rsidR="0049682D">
        <w:t>,</w:t>
      </w:r>
      <w:r w:rsidR="007C36CE">
        <w:t xml:space="preserve"> no later than five years after the date of entry into force of the Convention, the Conference of the Parties shall review Annex A and may consider amendments to that </w:t>
      </w:r>
      <w:r w:rsidR="0049682D">
        <w:t>a</w:t>
      </w:r>
      <w:r w:rsidR="007C36CE">
        <w:t xml:space="preserve">nnex. Paragraph 4 of article 4 provides that the secretariat shall, on the basis of information provided by </w:t>
      </w:r>
      <w:r w:rsidR="00D64EB7">
        <w:t>parties</w:t>
      </w:r>
      <w:r w:rsidR="007C36CE">
        <w:t>, c</w:t>
      </w:r>
      <w:bookmarkStart w:id="4" w:name="_GoBack"/>
      <w:bookmarkEnd w:id="4"/>
      <w:r w:rsidR="007C36CE">
        <w:t xml:space="preserve">ollect and maintain information on mercury-added products and their alternatives and make such information publicly available. </w:t>
      </w:r>
    </w:p>
    <w:p w14:paraId="36AA7355" w14:textId="5EEBE951" w:rsidR="001A7043" w:rsidRDefault="001A7043" w:rsidP="00960F65">
      <w:pPr>
        <w:pStyle w:val="Normalnumber"/>
        <w:keepNext/>
        <w:keepLines/>
        <w:tabs>
          <w:tab w:val="num" w:pos="1276"/>
          <w:tab w:val="num" w:pos="1305"/>
        </w:tabs>
        <w:ind w:left="1247" w:firstLine="0"/>
      </w:pPr>
      <w:r>
        <w:t xml:space="preserve">Paragraph 2 of article 4 of the Convention provides that no later than five years after the date of entry into force of the Convention, the Conference of the Parties, as part of the review process </w:t>
      </w:r>
      <w:r>
        <w:lastRenderedPageBreak/>
        <w:t>under paragraph 8</w:t>
      </w:r>
      <w:r w:rsidRPr="00EC562D">
        <w:t xml:space="preserve">, </w:t>
      </w:r>
      <w:r>
        <w:t xml:space="preserve">shall </w:t>
      </w:r>
      <w:r w:rsidRPr="00EC562D">
        <w:t>review the progress and the effectiveness of the measures taken under paragraph</w:t>
      </w:r>
      <w:r>
        <w:t xml:space="preserve"> 2 of this article, relating to the measures and strategies taken by a party in relation to reduction of use of products listed in annex A.</w:t>
      </w:r>
    </w:p>
    <w:p w14:paraId="2F5EB512" w14:textId="61029C83" w:rsidR="007C36CE" w:rsidRDefault="007C36CE" w:rsidP="000D7CCE">
      <w:pPr>
        <w:pStyle w:val="CH1"/>
      </w:pPr>
      <w:r>
        <w:tab/>
        <w:t>III</w:t>
      </w:r>
      <w:r w:rsidRPr="007C36CE">
        <w:t>.</w:t>
      </w:r>
      <w:r>
        <w:tab/>
      </w:r>
      <w:r w:rsidRPr="007C36CE">
        <w:t>Article 5: Manufacturing processes in which mercury or mercury compounds are used</w:t>
      </w:r>
    </w:p>
    <w:p w14:paraId="1C083CA1" w14:textId="6860E7C9" w:rsidR="007C36CE" w:rsidRDefault="00DC6C76" w:rsidP="000D7CCE">
      <w:pPr>
        <w:pStyle w:val="Normalnumber"/>
        <w:keepNext/>
        <w:keepLines/>
        <w:numPr>
          <w:ilvl w:val="0"/>
          <w:numId w:val="20"/>
        </w:numPr>
        <w:tabs>
          <w:tab w:val="clear" w:pos="624"/>
          <w:tab w:val="left" w:pos="1247"/>
          <w:tab w:val="num" w:pos="1276"/>
          <w:tab w:val="left" w:pos="1814"/>
          <w:tab w:val="left" w:pos="2381"/>
          <w:tab w:val="left" w:pos="2948"/>
          <w:tab w:val="left" w:pos="3515"/>
          <w:tab w:val="left" w:pos="4082"/>
        </w:tabs>
        <w:ind w:left="1276"/>
      </w:pPr>
      <w:r>
        <w:t>Paragraph 10 of a</w:t>
      </w:r>
      <w:r w:rsidR="007C36CE">
        <w:t>rticle 5 of the Convention provides</w:t>
      </w:r>
      <w:r>
        <w:t xml:space="preserve"> </w:t>
      </w:r>
      <w:r w:rsidR="007C36CE">
        <w:t xml:space="preserve">that, no later than five years after the date of entry into force of the Convention, the Conference of the Parties shall review Annex B and may consider amendments to that </w:t>
      </w:r>
      <w:r w:rsidR="0049682D">
        <w:t>a</w:t>
      </w:r>
      <w:r w:rsidR="007C36CE">
        <w:t xml:space="preserve">nnex. Paragraph 4 of article 5 provides that the secretariat shall, on the basis of information provided by </w:t>
      </w:r>
      <w:r w:rsidR="00D64EB7">
        <w:t>parties</w:t>
      </w:r>
      <w:r w:rsidR="007C36CE">
        <w:t>, collect and maintain information on process</w:t>
      </w:r>
      <w:r w:rsidR="00144453">
        <w:t>es</w:t>
      </w:r>
      <w:r w:rsidR="007C36CE">
        <w:t xml:space="preserve"> that use mercury or mercury compounds and their alternatives and make such information publicly available.</w:t>
      </w:r>
    </w:p>
    <w:p w14:paraId="5F553C4B" w14:textId="6B337D94" w:rsidR="007C36CE" w:rsidRDefault="007C36CE" w:rsidP="000D7CCE">
      <w:pPr>
        <w:pStyle w:val="CH1"/>
      </w:pPr>
      <w:r>
        <w:tab/>
        <w:t>IV</w:t>
      </w:r>
      <w:r w:rsidRPr="007C36CE">
        <w:t>.</w:t>
      </w:r>
      <w:r w:rsidRPr="007C36CE">
        <w:tab/>
        <w:t xml:space="preserve">Article 14: </w:t>
      </w:r>
      <w:r w:rsidR="00D64EB7" w:rsidRPr="007C36CE">
        <w:t>Capacity</w:t>
      </w:r>
      <w:r w:rsidR="00D64EB7">
        <w:t>-</w:t>
      </w:r>
      <w:r w:rsidRPr="007C36CE">
        <w:t>building, technical assistance and technology transfer</w:t>
      </w:r>
    </w:p>
    <w:p w14:paraId="63F6F165" w14:textId="5AA1BBD6" w:rsidR="007C36CE" w:rsidRDefault="00D64EB7" w:rsidP="007C36CE">
      <w:pPr>
        <w:pStyle w:val="Normalnumber"/>
        <w:tabs>
          <w:tab w:val="num" w:pos="851"/>
          <w:tab w:val="num" w:pos="1276"/>
        </w:tabs>
        <w:ind w:left="1247" w:firstLine="0"/>
      </w:pPr>
      <w:r>
        <w:t>Paragraph 4 of a</w:t>
      </w:r>
      <w:r w:rsidR="007C36CE">
        <w:t>rticle 14 provides</w:t>
      </w:r>
      <w:r>
        <w:t xml:space="preserve"> </w:t>
      </w:r>
      <w:r w:rsidR="007C36CE">
        <w:t xml:space="preserve">that the </w:t>
      </w:r>
      <w:r>
        <w:t xml:space="preserve">Conference </w:t>
      </w:r>
      <w:r w:rsidR="007C36CE">
        <w:t xml:space="preserve">of the </w:t>
      </w:r>
      <w:r>
        <w:t>P</w:t>
      </w:r>
      <w:r w:rsidR="007C36CE">
        <w:t xml:space="preserve">arties shall, by its second meeting and thereafter on a regular basis, and taking into account submissions and reports from </w:t>
      </w:r>
      <w:r>
        <w:t xml:space="preserve">parties </w:t>
      </w:r>
      <w:r w:rsidR="007C36CE">
        <w:t xml:space="preserve">including those provided for in </w:t>
      </w:r>
      <w:r w:rsidR="00144453">
        <w:t xml:space="preserve">article </w:t>
      </w:r>
      <w:r w:rsidR="007C36CE">
        <w:t>21 and information provided by other stakeholders:</w:t>
      </w:r>
    </w:p>
    <w:p w14:paraId="13979BF7" w14:textId="09AFDFE8" w:rsidR="007C36CE" w:rsidRDefault="007C36CE" w:rsidP="000D7CCE">
      <w:pPr>
        <w:pStyle w:val="Normalnumber"/>
        <w:numPr>
          <w:ilvl w:val="1"/>
          <w:numId w:val="5"/>
        </w:numPr>
        <w:tabs>
          <w:tab w:val="num" w:pos="1276"/>
        </w:tabs>
      </w:pPr>
      <w:r>
        <w:t>Consider information on existing initiatives and progress made in relation to alternative technologies;</w:t>
      </w:r>
    </w:p>
    <w:p w14:paraId="3A471844" w14:textId="74514B4D" w:rsidR="007C36CE" w:rsidRDefault="007C36CE" w:rsidP="000D7CCE">
      <w:pPr>
        <w:pStyle w:val="Normalnumber"/>
        <w:numPr>
          <w:ilvl w:val="1"/>
          <w:numId w:val="5"/>
        </w:numPr>
        <w:tabs>
          <w:tab w:val="num" w:pos="1276"/>
        </w:tabs>
      </w:pPr>
      <w:r>
        <w:t xml:space="preserve">Consider the needs of </w:t>
      </w:r>
      <w:r w:rsidR="00D64EB7">
        <w:t>parties</w:t>
      </w:r>
      <w:r>
        <w:t>, particularly developing</w:t>
      </w:r>
      <w:r w:rsidR="0049682D">
        <w:t>-</w:t>
      </w:r>
      <w:r>
        <w:t xml:space="preserve">country </w:t>
      </w:r>
      <w:r w:rsidR="00D64EB7">
        <w:t>parties</w:t>
      </w:r>
      <w:r>
        <w:t>, for alternative technologies;</w:t>
      </w:r>
    </w:p>
    <w:p w14:paraId="2FA54FD4" w14:textId="45E41D0E" w:rsidR="007C36CE" w:rsidRDefault="007C36CE" w:rsidP="000D7CCE">
      <w:pPr>
        <w:pStyle w:val="Normalnumber"/>
        <w:numPr>
          <w:ilvl w:val="1"/>
          <w:numId w:val="5"/>
        </w:numPr>
        <w:tabs>
          <w:tab w:val="num" w:pos="1276"/>
        </w:tabs>
      </w:pPr>
      <w:r>
        <w:t xml:space="preserve">Identify challenges experienced by </w:t>
      </w:r>
      <w:r w:rsidR="00D64EB7">
        <w:t>parties</w:t>
      </w:r>
      <w:r>
        <w:t>, particularly developing</w:t>
      </w:r>
      <w:r w:rsidR="0049682D">
        <w:t>-</w:t>
      </w:r>
      <w:r>
        <w:t xml:space="preserve">country </w:t>
      </w:r>
      <w:r w:rsidR="00D64EB7">
        <w:t>parties</w:t>
      </w:r>
      <w:r>
        <w:t xml:space="preserve">, in technology transfer. </w:t>
      </w:r>
    </w:p>
    <w:p w14:paraId="547AB1C2" w14:textId="7ECCB95C" w:rsidR="007C36CE" w:rsidRDefault="007C36CE" w:rsidP="000D7CCE">
      <w:pPr>
        <w:pStyle w:val="CH1"/>
      </w:pPr>
      <w:r>
        <w:tab/>
        <w:t>V</w:t>
      </w:r>
      <w:r w:rsidRPr="00DC6C76">
        <w:t>.</w:t>
      </w:r>
      <w:r>
        <w:tab/>
      </w:r>
      <w:r w:rsidRPr="00DC6C76">
        <w:t>Article 16: Health aspects</w:t>
      </w:r>
    </w:p>
    <w:p w14:paraId="02023D24" w14:textId="250E5412" w:rsidR="007C36CE" w:rsidRDefault="00D64EB7" w:rsidP="007C36CE">
      <w:pPr>
        <w:pStyle w:val="Normalnumber"/>
        <w:ind w:left="1247" w:firstLine="0"/>
      </w:pPr>
      <w:r>
        <w:t>Paragraph 2 of article 16 provides that t</w:t>
      </w:r>
      <w:r w:rsidR="007C36CE">
        <w:t>he Conference of the Parties, in considering health</w:t>
      </w:r>
      <w:r>
        <w:noBreakHyphen/>
      </w:r>
      <w:r w:rsidR="007C36CE">
        <w:t xml:space="preserve">related issues or activities, should: </w:t>
      </w:r>
    </w:p>
    <w:p w14:paraId="2AF04381" w14:textId="13AB2EFF" w:rsidR="007C36CE" w:rsidRDefault="007C36CE" w:rsidP="000D7CCE">
      <w:pPr>
        <w:pStyle w:val="Normalnumber"/>
        <w:numPr>
          <w:ilvl w:val="1"/>
          <w:numId w:val="5"/>
        </w:numPr>
      </w:pPr>
      <w:r>
        <w:t>Consult and collaborate with the World Health Organization, the International Labour Organization and other relevant intergovernmental organizations, as appropriate;</w:t>
      </w:r>
    </w:p>
    <w:p w14:paraId="5E5A72E5" w14:textId="29369E8A" w:rsidR="007C36CE" w:rsidRDefault="007C36CE" w:rsidP="000D7CCE">
      <w:pPr>
        <w:pStyle w:val="Normalnumber"/>
        <w:numPr>
          <w:ilvl w:val="1"/>
          <w:numId w:val="5"/>
        </w:numPr>
      </w:pPr>
      <w:r>
        <w:t>Promote cooperation and exchange of information with the World Health Organization, the International Labour Organization and other relevant intergovernmental organizations, as appropriate.</w:t>
      </w:r>
    </w:p>
    <w:p w14:paraId="4EF6B387" w14:textId="35C93F50" w:rsidR="007C36CE" w:rsidRDefault="007C36CE" w:rsidP="000D7CCE">
      <w:pPr>
        <w:pStyle w:val="Normalnumber"/>
        <w:ind w:left="1247" w:firstLine="0"/>
      </w:pPr>
      <w:r>
        <w:t xml:space="preserve">During the period prior to </w:t>
      </w:r>
      <w:r w:rsidR="002C25C4">
        <w:t xml:space="preserve">the Convention’s </w:t>
      </w:r>
      <w:r>
        <w:t xml:space="preserve">entry into force, the interim secretariat has worked closely with the World Health Organization on matters related to public health, in particular the development of a public health strategy on artisanal and small-scale gold mining, as well as the provision of advice to </w:t>
      </w:r>
      <w:r w:rsidR="00D64EB7">
        <w:t xml:space="preserve">Governments </w:t>
      </w:r>
      <w:r>
        <w:t xml:space="preserve">on transitioning to mercury-free equipment in the health-care sector. The World Health Organization has also provided information related to the identification of vulnerable populations, as well as advice on the consumption of fish. </w:t>
      </w:r>
    </w:p>
    <w:p w14:paraId="695210F1" w14:textId="3F898954" w:rsidR="007C36CE" w:rsidRPr="005F4727" w:rsidRDefault="007C36CE" w:rsidP="009671AD">
      <w:pPr>
        <w:pStyle w:val="CH1"/>
      </w:pPr>
      <w:r w:rsidRPr="009671AD">
        <w:tab/>
      </w:r>
      <w:r w:rsidR="008238BF" w:rsidRPr="009671AD">
        <w:t>VI.</w:t>
      </w:r>
      <w:r w:rsidRPr="009671AD">
        <w:tab/>
        <w:t>Suggested action by the Conference of the Parties</w:t>
      </w:r>
    </w:p>
    <w:p w14:paraId="0C60D1A9" w14:textId="2E3EDEFC" w:rsidR="007C36CE" w:rsidRDefault="007C36CE" w:rsidP="000D7CCE">
      <w:pPr>
        <w:pStyle w:val="Normalnumber"/>
        <w:ind w:left="1247" w:firstLine="0"/>
      </w:pPr>
      <w:r w:rsidRPr="00D40607">
        <w:t xml:space="preserve">The </w:t>
      </w:r>
      <w:r>
        <w:t xml:space="preserve">meeting </w:t>
      </w:r>
      <w:r w:rsidRPr="00D40607">
        <w:t xml:space="preserve">may wish to consider the </w:t>
      </w:r>
      <w:r>
        <w:t>following actions in relation to these articles</w:t>
      </w:r>
      <w:r w:rsidR="00FA21BD">
        <w:t xml:space="preserve">: </w:t>
      </w:r>
    </w:p>
    <w:p w14:paraId="7957E747" w14:textId="68212D9B" w:rsidR="007C36CE" w:rsidRDefault="007C36CE" w:rsidP="000D7CCE">
      <w:pPr>
        <w:pStyle w:val="Normalnumber"/>
        <w:numPr>
          <w:ilvl w:val="1"/>
          <w:numId w:val="5"/>
        </w:numPr>
      </w:pPr>
      <w:r>
        <w:t xml:space="preserve">For article 3, the Conference of the Parties may wish to re-examine the issue of trade in mercury compounds at a future meeting and request the secretariat to inform the Conference of the Parties if </w:t>
      </w:r>
      <w:r w:rsidR="002C25C4">
        <w:t>it</w:t>
      </w:r>
      <w:r>
        <w:t xml:space="preserve"> become</w:t>
      </w:r>
      <w:r w:rsidR="002C25C4">
        <w:t>s</w:t>
      </w:r>
      <w:r>
        <w:t xml:space="preserve"> aware of any issues in relation to such trade</w:t>
      </w:r>
      <w:r w:rsidR="00F37702">
        <w:t>;</w:t>
      </w:r>
      <w:r>
        <w:t xml:space="preserve"> </w:t>
      </w:r>
    </w:p>
    <w:p w14:paraId="3C509969" w14:textId="26BEC45F" w:rsidR="007C36CE" w:rsidRDefault="007C36CE" w:rsidP="000D7CCE">
      <w:pPr>
        <w:pStyle w:val="Normalnumber"/>
        <w:numPr>
          <w:ilvl w:val="1"/>
          <w:numId w:val="5"/>
        </w:numPr>
      </w:pPr>
      <w:r>
        <w:t>For articles 4 and 5, the Conference of the Parties may wish to request the secretariat to compile information provided by parties</w:t>
      </w:r>
      <w:r w:rsidR="001A7043">
        <w:t>, including information relating to measures taken by parties in relation to paragraph 2 of article 4,</w:t>
      </w:r>
      <w:r>
        <w:t xml:space="preserve"> and prepare a report </w:t>
      </w:r>
      <w:r w:rsidR="002C25C4">
        <w:t>regarding</w:t>
      </w:r>
      <w:r>
        <w:t xml:space="preserve"> the possible inclusion of additional mercury-added products </w:t>
      </w:r>
      <w:r w:rsidR="002C25C4">
        <w:t>in</w:t>
      </w:r>
      <w:r>
        <w:t xml:space="preserve"> </w:t>
      </w:r>
      <w:r w:rsidR="008B4B1C">
        <w:t xml:space="preserve">Annex </w:t>
      </w:r>
      <w:r>
        <w:t xml:space="preserve">A and additional manufacturing processes in which mercury or mercury compounds are used in Annex B </w:t>
      </w:r>
      <w:r w:rsidR="0064764E">
        <w:t xml:space="preserve">to </w:t>
      </w:r>
      <w:r>
        <w:t xml:space="preserve">the Convention, </w:t>
      </w:r>
      <w:r w:rsidR="001A7043">
        <w:t xml:space="preserve">and on the implementation of paragraph 2 of article 4, </w:t>
      </w:r>
      <w:r>
        <w:t xml:space="preserve">and </w:t>
      </w:r>
      <w:r w:rsidR="00D77297">
        <w:t xml:space="preserve">to </w:t>
      </w:r>
      <w:r>
        <w:t>present it to the Conference of the Parties for review at its third session</w:t>
      </w:r>
      <w:r w:rsidR="00F37702">
        <w:t>;</w:t>
      </w:r>
    </w:p>
    <w:p w14:paraId="7B1A2C7B" w14:textId="7F804614" w:rsidR="007C36CE" w:rsidRDefault="007C36CE" w:rsidP="000D7CCE">
      <w:pPr>
        <w:pStyle w:val="Normalnumber"/>
        <w:numPr>
          <w:ilvl w:val="1"/>
          <w:numId w:val="5"/>
        </w:numPr>
      </w:pPr>
      <w:r>
        <w:t>For article 14, the Conference of the Parties may wish to request the secretariat to request submissions and reports from parties and other stakeholders on issues relating to existing initiatives and progress made in relation to alternative technologies</w:t>
      </w:r>
      <w:r w:rsidR="002C25C4">
        <w:t>;</w:t>
      </w:r>
      <w:r>
        <w:t xml:space="preserve"> on the needs of parties, </w:t>
      </w:r>
      <w:r>
        <w:lastRenderedPageBreak/>
        <w:t>particularly developing</w:t>
      </w:r>
      <w:r w:rsidR="002C25C4">
        <w:t>-</w:t>
      </w:r>
      <w:r>
        <w:t>country parties</w:t>
      </w:r>
      <w:r w:rsidR="0022287A">
        <w:t>,</w:t>
      </w:r>
      <w:r>
        <w:t xml:space="preserve"> for alternative technologies</w:t>
      </w:r>
      <w:r w:rsidR="002C25C4">
        <w:t>;</w:t>
      </w:r>
      <w:r>
        <w:t xml:space="preserve"> and on challenges experienced by parties</w:t>
      </w:r>
      <w:r w:rsidR="0022287A">
        <w:t xml:space="preserve">, </w:t>
      </w:r>
      <w:r>
        <w:t>particularly developing</w:t>
      </w:r>
      <w:r w:rsidR="002C25C4">
        <w:t>-</w:t>
      </w:r>
      <w:r>
        <w:t>country parties</w:t>
      </w:r>
      <w:r w:rsidR="0022287A">
        <w:t>,</w:t>
      </w:r>
      <w:r>
        <w:t xml:space="preserve"> in technology transfer, and to present the information received to the Conference of the Parties </w:t>
      </w:r>
      <w:r w:rsidR="00D77297">
        <w:t xml:space="preserve">at its second meeting </w:t>
      </w:r>
      <w:r>
        <w:t>for its consideration</w:t>
      </w:r>
      <w:r w:rsidR="00F37702">
        <w:t>;</w:t>
      </w:r>
    </w:p>
    <w:p w14:paraId="362954A2" w14:textId="3A6BA2C4" w:rsidR="007C36CE" w:rsidRDefault="007C36CE" w:rsidP="000D7CCE">
      <w:pPr>
        <w:pStyle w:val="Normalnumber"/>
        <w:keepNext/>
        <w:keepLines/>
        <w:numPr>
          <w:ilvl w:val="1"/>
          <w:numId w:val="5"/>
        </w:numPr>
      </w:pPr>
      <w:r>
        <w:t xml:space="preserve">For article 16, the Conference of the Parties may </w:t>
      </w:r>
      <w:r w:rsidR="0064764E">
        <w:t xml:space="preserve">wish to </w:t>
      </w:r>
      <w:r>
        <w:t xml:space="preserve">request the secretariat to continue working in cooperation and collaboration with the World Health Organization and the International Labour </w:t>
      </w:r>
      <w:r w:rsidR="00E033E6">
        <w:t>Organization</w:t>
      </w:r>
      <w:r>
        <w:t xml:space="preserve"> and to ensure that any </w:t>
      </w:r>
      <w:r w:rsidR="00446046">
        <w:t xml:space="preserve">list of </w:t>
      </w:r>
      <w:r>
        <w:t xml:space="preserve">health-related issues presented to future meetings of the Conference of the Parties for its consideration </w:t>
      </w:r>
      <w:r w:rsidR="00446046">
        <w:t>is</w:t>
      </w:r>
      <w:r>
        <w:t xml:space="preserve"> </w:t>
      </w:r>
      <w:r w:rsidRPr="00F36CB9">
        <w:t>developed</w:t>
      </w:r>
      <w:r>
        <w:t xml:space="preserve"> in a collaborative manner. </w:t>
      </w:r>
    </w:p>
    <w:p w14:paraId="571C52F2" w14:textId="77777777" w:rsidR="00483E03" w:rsidRPr="00775D8D" w:rsidRDefault="00483E03" w:rsidP="00775D8D">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0832C7" w:rsidRPr="00C6062B" w14:paraId="4FD71714" w14:textId="77777777" w:rsidTr="000832C7">
        <w:tc>
          <w:tcPr>
            <w:tcW w:w="1942" w:type="dxa"/>
          </w:tcPr>
          <w:p w14:paraId="74A6F6D0" w14:textId="77777777" w:rsidR="000832C7" w:rsidRPr="00C6062B" w:rsidRDefault="000832C7" w:rsidP="000832C7">
            <w:pPr>
              <w:pStyle w:val="Normal-pool"/>
              <w:spacing w:before="520"/>
            </w:pPr>
          </w:p>
        </w:tc>
        <w:tc>
          <w:tcPr>
            <w:tcW w:w="1942" w:type="dxa"/>
          </w:tcPr>
          <w:p w14:paraId="44576ECA" w14:textId="77777777" w:rsidR="000832C7" w:rsidRPr="00C6062B" w:rsidRDefault="000832C7" w:rsidP="000832C7">
            <w:pPr>
              <w:pStyle w:val="Normal-pool"/>
              <w:spacing w:before="520"/>
            </w:pPr>
          </w:p>
        </w:tc>
        <w:tc>
          <w:tcPr>
            <w:tcW w:w="1942" w:type="dxa"/>
            <w:tcBorders>
              <w:bottom w:val="single" w:sz="4" w:space="0" w:color="auto"/>
            </w:tcBorders>
          </w:tcPr>
          <w:p w14:paraId="69422481" w14:textId="77777777" w:rsidR="000832C7" w:rsidRPr="00C6062B" w:rsidRDefault="000832C7" w:rsidP="000832C7">
            <w:pPr>
              <w:pStyle w:val="Normal-pool"/>
              <w:spacing w:before="520"/>
            </w:pPr>
          </w:p>
        </w:tc>
        <w:tc>
          <w:tcPr>
            <w:tcW w:w="1943" w:type="dxa"/>
          </w:tcPr>
          <w:p w14:paraId="297F6300" w14:textId="77777777" w:rsidR="000832C7" w:rsidRPr="00C6062B" w:rsidRDefault="000832C7" w:rsidP="000832C7">
            <w:pPr>
              <w:pStyle w:val="Normal-pool"/>
              <w:spacing w:before="520"/>
            </w:pPr>
          </w:p>
        </w:tc>
        <w:tc>
          <w:tcPr>
            <w:tcW w:w="1943" w:type="dxa"/>
          </w:tcPr>
          <w:p w14:paraId="1705AD53" w14:textId="77777777" w:rsidR="000832C7" w:rsidRPr="00C6062B" w:rsidRDefault="000832C7" w:rsidP="000832C7">
            <w:pPr>
              <w:pStyle w:val="Normal-pool"/>
              <w:spacing w:before="520"/>
            </w:pPr>
          </w:p>
        </w:tc>
      </w:tr>
    </w:tbl>
    <w:p w14:paraId="099D3083" w14:textId="77777777" w:rsidR="00F83855" w:rsidRPr="00C6062B" w:rsidRDefault="00F83855" w:rsidP="000832C7">
      <w:pPr>
        <w:pStyle w:val="Normal-pool"/>
      </w:pPr>
    </w:p>
    <w:sectPr w:rsidR="00F83855" w:rsidRPr="00C6062B" w:rsidSect="008238B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C12AD" w15:done="0"/>
  <w15:commentEx w15:paraId="37228E53" w15:done="0"/>
  <w15:commentEx w15:paraId="39809848" w15:done="0"/>
  <w15:commentEx w15:paraId="791E2084" w15:done="0"/>
  <w15:commentEx w15:paraId="2BB64BB6" w15:done="0"/>
  <w15:commentEx w15:paraId="1F852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F38B8" w14:textId="77777777" w:rsidR="00ED7E1D" w:rsidRDefault="00ED7E1D">
      <w:r>
        <w:separator/>
      </w:r>
    </w:p>
  </w:endnote>
  <w:endnote w:type="continuationSeparator" w:id="0">
    <w:p w14:paraId="68BEDFC7" w14:textId="77777777" w:rsidR="00ED7E1D" w:rsidRDefault="00ED7E1D">
      <w:r>
        <w:continuationSeparator/>
      </w:r>
    </w:p>
  </w:endnote>
  <w:endnote w:type="continuationNotice" w:id="1">
    <w:p w14:paraId="03059D46" w14:textId="77777777" w:rsidR="00ED7E1D" w:rsidRDefault="00ED7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7777777" w:rsidR="00424926" w:rsidRDefault="00424926">
    <w:pPr>
      <w:pStyle w:val="Footer"/>
    </w:pPr>
    <w:r>
      <w:rPr>
        <w:rStyle w:val="PageNumber"/>
      </w:rPr>
      <w:fldChar w:fldCharType="begin"/>
    </w:r>
    <w:r>
      <w:rPr>
        <w:rStyle w:val="PageNumber"/>
      </w:rPr>
      <w:instrText xml:space="preserve"> PAGE </w:instrText>
    </w:r>
    <w:r>
      <w:rPr>
        <w:rStyle w:val="PageNumber"/>
      </w:rPr>
      <w:fldChar w:fldCharType="separate"/>
    </w:r>
    <w:r w:rsidR="00960F6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77777777" w:rsidR="00424926" w:rsidRDefault="00424926"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60F6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1A8FCB5A" w:rsidR="00424926" w:rsidRPr="008238BF" w:rsidRDefault="00424926" w:rsidP="008238BF">
    <w:pPr>
      <w:pStyle w:val="Footer"/>
      <w:tabs>
        <w:tab w:val="clear" w:pos="1247"/>
        <w:tab w:val="clear" w:pos="1814"/>
        <w:tab w:val="clear" w:pos="2381"/>
        <w:tab w:val="clear" w:pos="2948"/>
        <w:tab w:val="clear" w:pos="3515"/>
        <w:tab w:val="clear" w:pos="4320"/>
        <w:tab w:val="clear" w:pos="8640"/>
        <w:tab w:val="left" w:pos="624"/>
      </w:tabs>
      <w:rPr>
        <w:sz w:val="20"/>
      </w:rPr>
    </w:pPr>
    <w:r w:rsidRPr="008238BF">
      <w:rPr>
        <w:sz w:val="20"/>
      </w:rPr>
      <w:t>K1703742</w:t>
    </w:r>
    <w:r w:rsidRPr="008238BF">
      <w:rPr>
        <w:sz w:val="20"/>
      </w:rPr>
      <w:tab/>
    </w:r>
    <w:r w:rsidR="00960F65">
      <w:rPr>
        <w:sz w:val="20"/>
      </w:rPr>
      <w:t>28</w:t>
    </w:r>
    <w:r w:rsidR="009671AD">
      <w:rPr>
        <w:sz w:val="20"/>
      </w:rPr>
      <w:t>06</w:t>
    </w:r>
    <w:r w:rsidRPr="008238BF">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8663A" w14:textId="77777777" w:rsidR="00ED7E1D" w:rsidRDefault="00ED7E1D" w:rsidP="008238BF">
      <w:pPr>
        <w:tabs>
          <w:tab w:val="clear" w:pos="1247"/>
          <w:tab w:val="clear" w:pos="1814"/>
          <w:tab w:val="clear" w:pos="2381"/>
          <w:tab w:val="clear" w:pos="2948"/>
          <w:tab w:val="clear" w:pos="3515"/>
          <w:tab w:val="left" w:pos="624"/>
        </w:tabs>
        <w:spacing w:before="60"/>
        <w:ind w:left="624"/>
      </w:pPr>
      <w:r>
        <w:separator/>
      </w:r>
    </w:p>
  </w:footnote>
  <w:footnote w:type="continuationSeparator" w:id="0">
    <w:p w14:paraId="30804237" w14:textId="77777777" w:rsidR="00ED7E1D" w:rsidRDefault="00ED7E1D">
      <w:r>
        <w:continuationSeparator/>
      </w:r>
    </w:p>
  </w:footnote>
  <w:footnote w:type="continuationNotice" w:id="1">
    <w:p w14:paraId="6E380F3F" w14:textId="77777777" w:rsidR="00ED7E1D" w:rsidRDefault="00ED7E1D"/>
  </w:footnote>
  <w:footnote w:id="2">
    <w:p w14:paraId="5AD20420" w14:textId="77777777" w:rsidR="00424926" w:rsidRPr="001176CB" w:rsidRDefault="00424926" w:rsidP="008238BF">
      <w:pPr>
        <w:tabs>
          <w:tab w:val="clear" w:pos="1247"/>
          <w:tab w:val="clear" w:pos="1814"/>
          <w:tab w:val="clear" w:pos="2381"/>
          <w:tab w:val="clear" w:pos="2948"/>
          <w:tab w:val="clear" w:pos="3515"/>
          <w:tab w:val="left" w:pos="624"/>
        </w:tabs>
        <w:spacing w:before="20" w:after="40"/>
        <w:ind w:left="1247"/>
        <w:rPr>
          <w:sz w:val="18"/>
          <w:szCs w:val="18"/>
        </w:rPr>
      </w:pPr>
      <w:proofErr w:type="gramStart"/>
      <w:r w:rsidRPr="001176CB">
        <w:rPr>
          <w:sz w:val="18"/>
          <w:szCs w:val="18"/>
        </w:rPr>
        <w:t>* UNEP/MC/COP.1/1.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69AAB529" w:rsidR="00424926" w:rsidRPr="00CA5CA9" w:rsidRDefault="00424926" w:rsidP="001A04A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54F4D191" w:rsidR="00424926" w:rsidRPr="00CA5CA9" w:rsidRDefault="00424926" w:rsidP="001A04AA">
    <w:pPr>
      <w:pStyle w:val="Header"/>
      <w:jc w:val="right"/>
      <w:rPr>
        <w:szCs w:val="18"/>
      </w:rPr>
    </w:pPr>
    <w:r w:rsidRPr="00312543">
      <w:rPr>
        <w:bCs/>
        <w:szCs w:val="18"/>
      </w:rPr>
      <w:t>UNEP/MC/COP.1/</w:t>
    </w:r>
    <w:r>
      <w:rPr>
        <w:bCs/>
        <w:szCs w:val="18"/>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06544369" w:rsidR="00424926" w:rsidRDefault="00424926"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1E9"/>
    <w:multiLevelType w:val="hybridMultilevel"/>
    <w:tmpl w:val="2906392A"/>
    <w:lvl w:ilvl="0" w:tplc="23B8C90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nsid w:val="52A66A9D"/>
    <w:multiLevelType w:val="multilevel"/>
    <w:tmpl w:val="C3E4A212"/>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6"/>
  </w:num>
  <w:num w:numId="2">
    <w:abstractNumId w:val="2"/>
  </w:num>
  <w:num w:numId="3">
    <w:abstractNumId w:val="4"/>
  </w:num>
  <w:num w:numId="4">
    <w:abstractNumId w:val="6"/>
  </w:num>
  <w:num w:numId="5">
    <w:abstractNumId w:val="6"/>
    <w:lvlOverride w:ilvl="0">
      <w:lvl w:ilvl="0">
        <w:start w:val="1"/>
        <w:numFmt w:val="decimal"/>
        <w:pStyle w:val="Normalnumber"/>
        <w:lvlText w:val="%1."/>
        <w:lvlJc w:val="left"/>
        <w:pPr>
          <w:ind w:left="1607" w:hanging="36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3"/>
  </w:num>
  <w:num w:numId="7">
    <w:abstractNumId w:val="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6"/>
  </w:num>
  <w:num w:numId="14">
    <w:abstractNumId w:val="6"/>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5"/>
  </w:num>
  <w:num w:numId="19">
    <w:abstractNumId w:val="6"/>
    <w:lvlOverride w:ilvl="1">
      <w:lvl w:ilvl="1">
        <w:start w:val="1"/>
        <w:numFmt w:val="lowerLetter"/>
        <w:lvlText w:val="(%2)"/>
        <w:lvlJc w:val="left"/>
        <w:pPr>
          <w:tabs>
            <w:tab w:val="num" w:pos="1134"/>
          </w:tabs>
          <w:ind w:left="1247" w:firstLine="567"/>
        </w:pPr>
        <w:rPr>
          <w:rFonts w:hint="default"/>
        </w:rPr>
      </w:lvl>
    </w:lvlOverride>
  </w:num>
  <w:num w:numId="20">
    <w:abstractNumId w:val="6"/>
    <w:lvlOverride w:ilvl="0">
      <w:lvl w:ilvl="0">
        <w:start w:val="1"/>
        <w:numFmt w:val="decimal"/>
        <w:pStyle w:val="Normalnumber"/>
        <w:lvlText w:val="%1."/>
        <w:lvlJc w:val="left"/>
        <w:pPr>
          <w:tabs>
            <w:tab w:val="num" w:pos="1305"/>
          </w:tabs>
          <w:ind w:left="1418" w:firstLine="0"/>
        </w:pPr>
        <w:rPr>
          <w:rFonts w:hint="default"/>
          <w:b w:val="0"/>
          <w:bCs w:val="0"/>
        </w:rPr>
      </w:lvl>
    </w:lvlOverride>
  </w:num>
  <w:num w:numId="21">
    <w:abstractNumId w:val="6"/>
    <w:lvlOverride w:ilvl="0">
      <w:startOverride w:val="9"/>
      <w:lvl w:ilvl="0">
        <w:start w:val="9"/>
        <w:numFmt w:val="decimal"/>
        <w:pStyle w:val="Normalnumber"/>
        <w:lvlText w:val="%1."/>
        <w:lvlJc w:val="left"/>
        <w:pPr>
          <w:tabs>
            <w:tab w:val="num" w:pos="1305"/>
          </w:tabs>
          <w:ind w:left="1418" w:firstLine="0"/>
        </w:pPr>
        <w:rPr>
          <w:rFonts w:hint="default"/>
          <w:b w:val="0"/>
          <w:bCs w:val="0"/>
        </w:rPr>
      </w:lvl>
    </w:lvlOverride>
  </w:num>
  <w:num w:numId="22">
    <w:abstractNumId w:val="0"/>
  </w:num>
  <w:num w:numId="23">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5">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6">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7">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02E7E"/>
    <w:rsid w:val="000149E6"/>
    <w:rsid w:val="00023DA9"/>
    <w:rsid w:val="000247B0"/>
    <w:rsid w:val="0002502C"/>
    <w:rsid w:val="00026997"/>
    <w:rsid w:val="00026A08"/>
    <w:rsid w:val="00032E4E"/>
    <w:rsid w:val="00033E0B"/>
    <w:rsid w:val="00035EDE"/>
    <w:rsid w:val="00041DC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640C"/>
    <w:rsid w:val="000A035D"/>
    <w:rsid w:val="000A33DF"/>
    <w:rsid w:val="000A5627"/>
    <w:rsid w:val="000B22A2"/>
    <w:rsid w:val="000B5621"/>
    <w:rsid w:val="000B6C42"/>
    <w:rsid w:val="000B73F9"/>
    <w:rsid w:val="000C2A52"/>
    <w:rsid w:val="000D24D3"/>
    <w:rsid w:val="000D33C0"/>
    <w:rsid w:val="000D4CF6"/>
    <w:rsid w:val="000D6941"/>
    <w:rsid w:val="000D7CCE"/>
    <w:rsid w:val="000E04CD"/>
    <w:rsid w:val="000F1B80"/>
    <w:rsid w:val="000F4829"/>
    <w:rsid w:val="000F6535"/>
    <w:rsid w:val="001143B8"/>
    <w:rsid w:val="001202E3"/>
    <w:rsid w:val="00123699"/>
    <w:rsid w:val="001241FB"/>
    <w:rsid w:val="00126CBE"/>
    <w:rsid w:val="0013059D"/>
    <w:rsid w:val="00136187"/>
    <w:rsid w:val="00141A55"/>
    <w:rsid w:val="0014293F"/>
    <w:rsid w:val="0014397D"/>
    <w:rsid w:val="00144453"/>
    <w:rsid w:val="001446A3"/>
    <w:rsid w:val="00152B6B"/>
    <w:rsid w:val="00155395"/>
    <w:rsid w:val="00156B6B"/>
    <w:rsid w:val="00160940"/>
    <w:rsid w:val="00160D74"/>
    <w:rsid w:val="0016251F"/>
    <w:rsid w:val="00163EA0"/>
    <w:rsid w:val="001646EA"/>
    <w:rsid w:val="00167D02"/>
    <w:rsid w:val="001759D8"/>
    <w:rsid w:val="00177D7F"/>
    <w:rsid w:val="00180C3F"/>
    <w:rsid w:val="00181EC8"/>
    <w:rsid w:val="00184349"/>
    <w:rsid w:val="00195F33"/>
    <w:rsid w:val="001A04AA"/>
    <w:rsid w:val="001A7043"/>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1F779C"/>
    <w:rsid w:val="00200D58"/>
    <w:rsid w:val="002011C1"/>
    <w:rsid w:val="002013BE"/>
    <w:rsid w:val="00201EDC"/>
    <w:rsid w:val="002063A4"/>
    <w:rsid w:val="0021145B"/>
    <w:rsid w:val="00220C23"/>
    <w:rsid w:val="0022287A"/>
    <w:rsid w:val="002247F6"/>
    <w:rsid w:val="00225E21"/>
    <w:rsid w:val="002274D8"/>
    <w:rsid w:val="00234E78"/>
    <w:rsid w:val="00243D36"/>
    <w:rsid w:val="00246151"/>
    <w:rsid w:val="0024616E"/>
    <w:rsid w:val="00247707"/>
    <w:rsid w:val="00255632"/>
    <w:rsid w:val="0026018E"/>
    <w:rsid w:val="002623CD"/>
    <w:rsid w:val="00277CE2"/>
    <w:rsid w:val="002803F4"/>
    <w:rsid w:val="0028635C"/>
    <w:rsid w:val="00286740"/>
    <w:rsid w:val="00291EAE"/>
    <w:rsid w:val="002929D8"/>
    <w:rsid w:val="0029570E"/>
    <w:rsid w:val="002A237D"/>
    <w:rsid w:val="002A4C53"/>
    <w:rsid w:val="002B0672"/>
    <w:rsid w:val="002B247F"/>
    <w:rsid w:val="002B50D4"/>
    <w:rsid w:val="002C145D"/>
    <w:rsid w:val="002C25C4"/>
    <w:rsid w:val="002C2C3E"/>
    <w:rsid w:val="002C36FB"/>
    <w:rsid w:val="002C533E"/>
    <w:rsid w:val="002D027F"/>
    <w:rsid w:val="002D3E15"/>
    <w:rsid w:val="002D7A85"/>
    <w:rsid w:val="002D7B60"/>
    <w:rsid w:val="002E6C80"/>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5EA9"/>
    <w:rsid w:val="003578DE"/>
    <w:rsid w:val="00361688"/>
    <w:rsid w:val="003616AB"/>
    <w:rsid w:val="00361855"/>
    <w:rsid w:val="00372443"/>
    <w:rsid w:val="00377FD5"/>
    <w:rsid w:val="003877D5"/>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E35DA"/>
    <w:rsid w:val="003E455D"/>
    <w:rsid w:val="003E7359"/>
    <w:rsid w:val="003F0E85"/>
    <w:rsid w:val="003F10BE"/>
    <w:rsid w:val="003F5F95"/>
    <w:rsid w:val="00410C55"/>
    <w:rsid w:val="00411FA7"/>
    <w:rsid w:val="00415FE6"/>
    <w:rsid w:val="00416854"/>
    <w:rsid w:val="00417725"/>
    <w:rsid w:val="00420709"/>
    <w:rsid w:val="00424926"/>
    <w:rsid w:val="004375DD"/>
    <w:rsid w:val="00437F26"/>
    <w:rsid w:val="00444097"/>
    <w:rsid w:val="00445487"/>
    <w:rsid w:val="00446046"/>
    <w:rsid w:val="0044713F"/>
    <w:rsid w:val="00447E0D"/>
    <w:rsid w:val="00453A68"/>
    <w:rsid w:val="00454769"/>
    <w:rsid w:val="00465D27"/>
    <w:rsid w:val="00466991"/>
    <w:rsid w:val="0047064C"/>
    <w:rsid w:val="004822B7"/>
    <w:rsid w:val="00483E03"/>
    <w:rsid w:val="004844FA"/>
    <w:rsid w:val="0048620E"/>
    <w:rsid w:val="0049469E"/>
    <w:rsid w:val="0049682D"/>
    <w:rsid w:val="004A2217"/>
    <w:rsid w:val="004A24F9"/>
    <w:rsid w:val="004A42E1"/>
    <w:rsid w:val="004B162C"/>
    <w:rsid w:val="004B2ABE"/>
    <w:rsid w:val="004C3DBE"/>
    <w:rsid w:val="004C5C96"/>
    <w:rsid w:val="004D06A4"/>
    <w:rsid w:val="004F1A81"/>
    <w:rsid w:val="004F3976"/>
    <w:rsid w:val="005050D2"/>
    <w:rsid w:val="00511D7B"/>
    <w:rsid w:val="0051272E"/>
    <w:rsid w:val="00514C13"/>
    <w:rsid w:val="00516D71"/>
    <w:rsid w:val="005218D9"/>
    <w:rsid w:val="00521EED"/>
    <w:rsid w:val="0052216E"/>
    <w:rsid w:val="005360CF"/>
    <w:rsid w:val="00536186"/>
    <w:rsid w:val="00544CBB"/>
    <w:rsid w:val="00545499"/>
    <w:rsid w:val="005656D7"/>
    <w:rsid w:val="00567280"/>
    <w:rsid w:val="00571C42"/>
    <w:rsid w:val="0057315F"/>
    <w:rsid w:val="005738A4"/>
    <w:rsid w:val="00576104"/>
    <w:rsid w:val="00580923"/>
    <w:rsid w:val="00584860"/>
    <w:rsid w:val="00592B21"/>
    <w:rsid w:val="005B44BF"/>
    <w:rsid w:val="005B66F5"/>
    <w:rsid w:val="005C4DFD"/>
    <w:rsid w:val="005C67C8"/>
    <w:rsid w:val="005D0249"/>
    <w:rsid w:val="005D18FA"/>
    <w:rsid w:val="005D2120"/>
    <w:rsid w:val="005D25CF"/>
    <w:rsid w:val="005D4F3A"/>
    <w:rsid w:val="005D4FD4"/>
    <w:rsid w:val="005D6E8C"/>
    <w:rsid w:val="005E3004"/>
    <w:rsid w:val="005E3C86"/>
    <w:rsid w:val="005F100C"/>
    <w:rsid w:val="005F4727"/>
    <w:rsid w:val="005F68DA"/>
    <w:rsid w:val="00601BC9"/>
    <w:rsid w:val="00606599"/>
    <w:rsid w:val="0060773B"/>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4764E"/>
    <w:rsid w:val="006501AD"/>
    <w:rsid w:val="00651BFA"/>
    <w:rsid w:val="006534F9"/>
    <w:rsid w:val="00654475"/>
    <w:rsid w:val="00655560"/>
    <w:rsid w:val="00656DF0"/>
    <w:rsid w:val="00661446"/>
    <w:rsid w:val="00665A4B"/>
    <w:rsid w:val="00665D0D"/>
    <w:rsid w:val="00684BE1"/>
    <w:rsid w:val="00692E2A"/>
    <w:rsid w:val="006A76F2"/>
    <w:rsid w:val="006A7DE0"/>
    <w:rsid w:val="006B6333"/>
    <w:rsid w:val="006C0BE9"/>
    <w:rsid w:val="006D19D4"/>
    <w:rsid w:val="006D7EFB"/>
    <w:rsid w:val="006E13AF"/>
    <w:rsid w:val="006E6672"/>
    <w:rsid w:val="006E6722"/>
    <w:rsid w:val="006F0D46"/>
    <w:rsid w:val="006F7AFF"/>
    <w:rsid w:val="007027B9"/>
    <w:rsid w:val="007066B5"/>
    <w:rsid w:val="007145DA"/>
    <w:rsid w:val="00715E88"/>
    <w:rsid w:val="00721A6D"/>
    <w:rsid w:val="007334E8"/>
    <w:rsid w:val="00734CAA"/>
    <w:rsid w:val="00741552"/>
    <w:rsid w:val="00742680"/>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1683"/>
    <w:rsid w:val="007A3DC0"/>
    <w:rsid w:val="007A5C12"/>
    <w:rsid w:val="007A7CB0"/>
    <w:rsid w:val="007B68A3"/>
    <w:rsid w:val="007C2541"/>
    <w:rsid w:val="007C36CE"/>
    <w:rsid w:val="007D66A8"/>
    <w:rsid w:val="007E003F"/>
    <w:rsid w:val="007E2226"/>
    <w:rsid w:val="007E5F07"/>
    <w:rsid w:val="007F0CF8"/>
    <w:rsid w:val="007F62CB"/>
    <w:rsid w:val="00805335"/>
    <w:rsid w:val="008142EC"/>
    <w:rsid w:val="008164F2"/>
    <w:rsid w:val="00821395"/>
    <w:rsid w:val="008238BF"/>
    <w:rsid w:val="00830E26"/>
    <w:rsid w:val="00833D15"/>
    <w:rsid w:val="00837549"/>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372C"/>
    <w:rsid w:val="008A6DF2"/>
    <w:rsid w:val="008A7807"/>
    <w:rsid w:val="008B0CED"/>
    <w:rsid w:val="008B4B1C"/>
    <w:rsid w:val="008B4CC9"/>
    <w:rsid w:val="008C5FFF"/>
    <w:rsid w:val="008D4EF1"/>
    <w:rsid w:val="008D75E4"/>
    <w:rsid w:val="008D7C99"/>
    <w:rsid w:val="008E0FCB"/>
    <w:rsid w:val="008F6DFE"/>
    <w:rsid w:val="009008EA"/>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64A6"/>
    <w:rsid w:val="00960425"/>
    <w:rsid w:val="00960F65"/>
    <w:rsid w:val="00966A53"/>
    <w:rsid w:val="009671AD"/>
    <w:rsid w:val="00967621"/>
    <w:rsid w:val="00967E6A"/>
    <w:rsid w:val="009776E7"/>
    <w:rsid w:val="009907B9"/>
    <w:rsid w:val="00990918"/>
    <w:rsid w:val="009925BC"/>
    <w:rsid w:val="009A3A83"/>
    <w:rsid w:val="009B0D04"/>
    <w:rsid w:val="009B1C44"/>
    <w:rsid w:val="009B30FD"/>
    <w:rsid w:val="009B4A0F"/>
    <w:rsid w:val="009C11D2"/>
    <w:rsid w:val="009C3362"/>
    <w:rsid w:val="009C6C70"/>
    <w:rsid w:val="009C7B0A"/>
    <w:rsid w:val="009D0B63"/>
    <w:rsid w:val="009D32CE"/>
    <w:rsid w:val="009D5CB8"/>
    <w:rsid w:val="009E307E"/>
    <w:rsid w:val="009F7611"/>
    <w:rsid w:val="00A018C0"/>
    <w:rsid w:val="00A056B5"/>
    <w:rsid w:val="00A07870"/>
    <w:rsid w:val="00A07C54"/>
    <w:rsid w:val="00A07F19"/>
    <w:rsid w:val="00A1348D"/>
    <w:rsid w:val="00A13C99"/>
    <w:rsid w:val="00A232EE"/>
    <w:rsid w:val="00A243E5"/>
    <w:rsid w:val="00A2589A"/>
    <w:rsid w:val="00A414F6"/>
    <w:rsid w:val="00A4175F"/>
    <w:rsid w:val="00A43A67"/>
    <w:rsid w:val="00A44411"/>
    <w:rsid w:val="00A469FA"/>
    <w:rsid w:val="00A53662"/>
    <w:rsid w:val="00A55B01"/>
    <w:rsid w:val="00A56158"/>
    <w:rsid w:val="00A56B5B"/>
    <w:rsid w:val="00A603FF"/>
    <w:rsid w:val="00A619B6"/>
    <w:rsid w:val="00A648CA"/>
    <w:rsid w:val="00A657DD"/>
    <w:rsid w:val="00A65D0C"/>
    <w:rsid w:val="00A666A6"/>
    <w:rsid w:val="00A675FD"/>
    <w:rsid w:val="00A72437"/>
    <w:rsid w:val="00A8048B"/>
    <w:rsid w:val="00A80611"/>
    <w:rsid w:val="00A91D38"/>
    <w:rsid w:val="00A9205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DBF"/>
    <w:rsid w:val="00C543FE"/>
    <w:rsid w:val="00C552FF"/>
    <w:rsid w:val="00C558DA"/>
    <w:rsid w:val="00C55AF3"/>
    <w:rsid w:val="00C57E56"/>
    <w:rsid w:val="00C6062B"/>
    <w:rsid w:val="00C724EE"/>
    <w:rsid w:val="00C75781"/>
    <w:rsid w:val="00C75D04"/>
    <w:rsid w:val="00C771A9"/>
    <w:rsid w:val="00C84759"/>
    <w:rsid w:val="00C854BD"/>
    <w:rsid w:val="00C870D8"/>
    <w:rsid w:val="00C87AAA"/>
    <w:rsid w:val="00C87EEF"/>
    <w:rsid w:val="00CA2EA3"/>
    <w:rsid w:val="00CA5CA9"/>
    <w:rsid w:val="00CA6C7F"/>
    <w:rsid w:val="00CB6B35"/>
    <w:rsid w:val="00CC0FC7"/>
    <w:rsid w:val="00CC10A6"/>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1BA2"/>
    <w:rsid w:val="00D25249"/>
    <w:rsid w:val="00D37EBA"/>
    <w:rsid w:val="00D411B5"/>
    <w:rsid w:val="00D44172"/>
    <w:rsid w:val="00D47BE3"/>
    <w:rsid w:val="00D63B8C"/>
    <w:rsid w:val="00D64EB7"/>
    <w:rsid w:val="00D651E4"/>
    <w:rsid w:val="00D739CC"/>
    <w:rsid w:val="00D77297"/>
    <w:rsid w:val="00D8093D"/>
    <w:rsid w:val="00D8108C"/>
    <w:rsid w:val="00D842AE"/>
    <w:rsid w:val="00D9211C"/>
    <w:rsid w:val="00D92DE0"/>
    <w:rsid w:val="00D92FEF"/>
    <w:rsid w:val="00D93A0F"/>
    <w:rsid w:val="00D9579D"/>
    <w:rsid w:val="00DA1BCA"/>
    <w:rsid w:val="00DA4A45"/>
    <w:rsid w:val="00DB34E0"/>
    <w:rsid w:val="00DB5925"/>
    <w:rsid w:val="00DC46FF"/>
    <w:rsid w:val="00DC5254"/>
    <w:rsid w:val="00DC569D"/>
    <w:rsid w:val="00DC5AB5"/>
    <w:rsid w:val="00DC6C76"/>
    <w:rsid w:val="00DD0B5A"/>
    <w:rsid w:val="00DD1A4F"/>
    <w:rsid w:val="00DD3107"/>
    <w:rsid w:val="00DD7C2C"/>
    <w:rsid w:val="00DE5BDA"/>
    <w:rsid w:val="00DF433C"/>
    <w:rsid w:val="00E0035A"/>
    <w:rsid w:val="00E033E6"/>
    <w:rsid w:val="00E06797"/>
    <w:rsid w:val="00E1265B"/>
    <w:rsid w:val="00E13B48"/>
    <w:rsid w:val="00E1404F"/>
    <w:rsid w:val="00E2042D"/>
    <w:rsid w:val="00E21C83"/>
    <w:rsid w:val="00E24ADA"/>
    <w:rsid w:val="00E32F59"/>
    <w:rsid w:val="00E41908"/>
    <w:rsid w:val="00E46D9A"/>
    <w:rsid w:val="00E50A70"/>
    <w:rsid w:val="00E565FF"/>
    <w:rsid w:val="00E65388"/>
    <w:rsid w:val="00E74122"/>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B0578"/>
    <w:rsid w:val="00EC2813"/>
    <w:rsid w:val="00EC4197"/>
    <w:rsid w:val="00EC5A46"/>
    <w:rsid w:val="00EC63E2"/>
    <w:rsid w:val="00EC7AAA"/>
    <w:rsid w:val="00ED366A"/>
    <w:rsid w:val="00ED6BB7"/>
    <w:rsid w:val="00ED7E1D"/>
    <w:rsid w:val="00EE1723"/>
    <w:rsid w:val="00EF22B3"/>
    <w:rsid w:val="00EF5D53"/>
    <w:rsid w:val="00F03B69"/>
    <w:rsid w:val="00F07A50"/>
    <w:rsid w:val="00F113DA"/>
    <w:rsid w:val="00F12DA4"/>
    <w:rsid w:val="00F1495C"/>
    <w:rsid w:val="00F266FC"/>
    <w:rsid w:val="00F3037A"/>
    <w:rsid w:val="00F3465A"/>
    <w:rsid w:val="00F36CB9"/>
    <w:rsid w:val="00F37702"/>
    <w:rsid w:val="00F37DC8"/>
    <w:rsid w:val="00F439B3"/>
    <w:rsid w:val="00F5378B"/>
    <w:rsid w:val="00F650C3"/>
    <w:rsid w:val="00F65D85"/>
    <w:rsid w:val="00F6700B"/>
    <w:rsid w:val="00F8091E"/>
    <w:rsid w:val="00F83855"/>
    <w:rsid w:val="00F8615C"/>
    <w:rsid w:val="00F8673E"/>
    <w:rsid w:val="00F969E5"/>
    <w:rsid w:val="00FA1D9B"/>
    <w:rsid w:val="00FA21BD"/>
    <w:rsid w:val="00FA4972"/>
    <w:rsid w:val="00FA6617"/>
    <w:rsid w:val="00FA6BB0"/>
    <w:rsid w:val="00FB2DBD"/>
    <w:rsid w:val="00FB459E"/>
    <w:rsid w:val="00FB53D9"/>
    <w:rsid w:val="00FC6DA0"/>
    <w:rsid w:val="00FD48DF"/>
    <w:rsid w:val="00FD5860"/>
    <w:rsid w:val="00FD6F9B"/>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813EE-C04B-4193-B2F8-885293957BD0}">
  <ds:schemaRefs>
    <ds:schemaRef ds:uri="http://schemas.openxmlformats.org/officeDocument/2006/bibliography"/>
  </ds:schemaRefs>
</ds:datastoreItem>
</file>

<file path=customXml/itemProps2.xml><?xml version="1.0" encoding="utf-8"?>
<ds:datastoreItem xmlns:ds="http://schemas.openxmlformats.org/officeDocument/2006/customXml" ds:itemID="{0852E95F-A12C-4A2B-909D-781D7449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5A1BF60.dotm</Template>
  <TotalTime>14</TotalTime>
  <Pages>3</Pages>
  <Words>1068</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Jane Mbau</cp:lastModifiedBy>
  <cp:revision>2</cp:revision>
  <cp:lastPrinted>2017-04-03T09:04:00Z</cp:lastPrinted>
  <dcterms:created xsi:type="dcterms:W3CDTF">2017-06-06T13:16:00Z</dcterms:created>
  <dcterms:modified xsi:type="dcterms:W3CDTF">2017-06-28T12:15:00Z</dcterms:modified>
</cp:coreProperties>
</file>