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right"/>
        <w:tblLayout w:type="fixed"/>
        <w:tblLook w:val="0000" w:firstRow="0" w:lastRow="0" w:firstColumn="0" w:lastColumn="0" w:noHBand="0" w:noVBand="0"/>
      </w:tblPr>
      <w:tblGrid>
        <w:gridCol w:w="1551"/>
        <w:gridCol w:w="4751"/>
        <w:gridCol w:w="3411"/>
      </w:tblGrid>
      <w:tr w:rsidR="00CC4FD8" w:rsidRPr="00D52989" w14:paraId="05300C1E" w14:textId="77777777" w:rsidTr="00A33A9A">
        <w:trPr>
          <w:cantSplit/>
          <w:trHeight w:val="850"/>
          <w:jc w:val="right"/>
        </w:trPr>
        <w:tc>
          <w:tcPr>
            <w:tcW w:w="1551" w:type="dxa"/>
          </w:tcPr>
          <w:p w14:paraId="477AE028" w14:textId="77777777" w:rsidR="00CC4FD8" w:rsidRPr="00D52989" w:rsidRDefault="00CC4FD8" w:rsidP="00CC4FD8">
            <w:pPr>
              <w:rPr>
                <w:rFonts w:ascii="Univers" w:hAnsi="Univers"/>
                <w:b/>
                <w:sz w:val="27"/>
                <w:szCs w:val="27"/>
                <w:lang w:val="en-GB"/>
              </w:rPr>
            </w:pPr>
            <w:r w:rsidRPr="00D52989">
              <w:rPr>
                <w:rFonts w:ascii="Arial" w:hAnsi="Arial" w:cs="Arial"/>
                <w:b/>
                <w:sz w:val="27"/>
                <w:szCs w:val="27"/>
                <w:lang w:val="en-GB"/>
              </w:rPr>
              <w:t>UNITED</w:t>
            </w:r>
            <w:r w:rsidRPr="00D52989">
              <w:rPr>
                <w:rFonts w:ascii="Arial" w:hAnsi="Arial" w:cs="Arial"/>
                <w:b/>
                <w:sz w:val="27"/>
                <w:szCs w:val="27"/>
                <w:lang w:val="en-GB"/>
              </w:rPr>
              <w:br/>
              <w:t>NATIONS</w:t>
            </w:r>
          </w:p>
        </w:tc>
        <w:tc>
          <w:tcPr>
            <w:tcW w:w="4751" w:type="dxa"/>
          </w:tcPr>
          <w:p w14:paraId="4FF62989" w14:textId="77777777" w:rsidR="00CC4FD8" w:rsidRPr="00D52989" w:rsidRDefault="00CC4FD8" w:rsidP="00CC4FD8">
            <w:pPr>
              <w:rPr>
                <w:rFonts w:ascii="Univers" w:hAnsi="Univers"/>
                <w:b/>
                <w:sz w:val="27"/>
                <w:szCs w:val="27"/>
                <w:lang w:val="en-GB"/>
              </w:rPr>
            </w:pPr>
          </w:p>
        </w:tc>
        <w:tc>
          <w:tcPr>
            <w:tcW w:w="3411" w:type="dxa"/>
          </w:tcPr>
          <w:p w14:paraId="31A43FCB" w14:textId="77777777" w:rsidR="00CC4FD8" w:rsidRPr="00D52989" w:rsidRDefault="00CC4FD8" w:rsidP="00CC4FD8">
            <w:pPr>
              <w:jc w:val="right"/>
              <w:rPr>
                <w:rFonts w:ascii="Arial" w:hAnsi="Arial" w:cs="Arial"/>
                <w:b/>
                <w:sz w:val="64"/>
                <w:szCs w:val="64"/>
                <w:lang w:val="en-GB"/>
              </w:rPr>
            </w:pPr>
            <w:r w:rsidRPr="00D52989">
              <w:rPr>
                <w:rFonts w:ascii="Arial" w:hAnsi="Arial" w:cs="Arial"/>
                <w:b/>
                <w:sz w:val="64"/>
                <w:szCs w:val="64"/>
                <w:lang w:val="en-GB"/>
              </w:rPr>
              <w:t>MC</w:t>
            </w:r>
          </w:p>
        </w:tc>
      </w:tr>
      <w:tr w:rsidR="00CC4FD8" w:rsidRPr="00D52989" w14:paraId="53FA1AF1" w14:textId="77777777" w:rsidTr="00A33A9A">
        <w:trPr>
          <w:cantSplit/>
          <w:trHeight w:val="281"/>
          <w:jc w:val="right"/>
        </w:trPr>
        <w:tc>
          <w:tcPr>
            <w:tcW w:w="1551" w:type="dxa"/>
            <w:tcBorders>
              <w:bottom w:val="single" w:sz="4" w:space="0" w:color="auto"/>
            </w:tcBorders>
          </w:tcPr>
          <w:p w14:paraId="1F4D854F" w14:textId="77777777" w:rsidR="00CC4FD8" w:rsidRPr="00D52989" w:rsidRDefault="00CC4FD8" w:rsidP="00CC4FD8">
            <w:pPr>
              <w:rPr>
                <w:sz w:val="18"/>
                <w:szCs w:val="18"/>
                <w:lang w:val="en-GB"/>
              </w:rPr>
            </w:pPr>
          </w:p>
        </w:tc>
        <w:tc>
          <w:tcPr>
            <w:tcW w:w="4751" w:type="dxa"/>
            <w:tcBorders>
              <w:bottom w:val="single" w:sz="4" w:space="0" w:color="auto"/>
            </w:tcBorders>
          </w:tcPr>
          <w:p w14:paraId="7BFFFA31" w14:textId="77777777" w:rsidR="00CC4FD8" w:rsidRPr="00D52989" w:rsidRDefault="00CC4FD8" w:rsidP="00CC4FD8">
            <w:pPr>
              <w:rPr>
                <w:rFonts w:ascii="Univers" w:hAnsi="Univers"/>
                <w:b/>
                <w:sz w:val="18"/>
                <w:szCs w:val="18"/>
                <w:lang w:val="en-GB"/>
              </w:rPr>
            </w:pPr>
          </w:p>
        </w:tc>
        <w:tc>
          <w:tcPr>
            <w:tcW w:w="3411" w:type="dxa"/>
            <w:tcBorders>
              <w:bottom w:val="single" w:sz="4" w:space="0" w:color="auto"/>
            </w:tcBorders>
          </w:tcPr>
          <w:p w14:paraId="262E297B" w14:textId="77777777" w:rsidR="00CC4FD8" w:rsidRPr="00D52989" w:rsidRDefault="00CC4FD8" w:rsidP="00CC4FD8">
            <w:pPr>
              <w:rPr>
                <w:sz w:val="18"/>
                <w:szCs w:val="18"/>
                <w:lang w:val="en-GB"/>
              </w:rPr>
            </w:pPr>
            <w:r w:rsidRPr="00D52989">
              <w:rPr>
                <w:b/>
                <w:bCs/>
                <w:sz w:val="28"/>
                <w:lang w:val="en-GB"/>
              </w:rPr>
              <w:t>UNEP</w:t>
            </w:r>
            <w:bookmarkStart w:id="0" w:name="OLE_LINK1"/>
            <w:bookmarkStart w:id="1" w:name="OLE_LINK2"/>
            <w:r w:rsidRPr="00D52989">
              <w:rPr>
                <w:b/>
                <w:bCs/>
                <w:sz w:val="28"/>
                <w:lang w:val="en-GB"/>
              </w:rPr>
              <w:t>/</w:t>
            </w:r>
            <w:r w:rsidRPr="00D52989">
              <w:rPr>
                <w:lang w:val="en-GB"/>
              </w:rPr>
              <w:t>MC/</w:t>
            </w:r>
            <w:bookmarkEnd w:id="0"/>
            <w:bookmarkEnd w:id="1"/>
            <w:r w:rsidRPr="00D52989">
              <w:rPr>
                <w:lang w:val="en-GB"/>
              </w:rPr>
              <w:t>COP.1/21</w:t>
            </w:r>
          </w:p>
        </w:tc>
      </w:tr>
      <w:tr w:rsidR="00CC4FD8" w:rsidRPr="00AA1F5E" w14:paraId="2969B144" w14:textId="77777777" w:rsidTr="00A33A9A">
        <w:trPr>
          <w:cantSplit/>
          <w:trHeight w:val="2549"/>
          <w:jc w:val="right"/>
        </w:trPr>
        <w:tc>
          <w:tcPr>
            <w:tcW w:w="1551" w:type="dxa"/>
            <w:tcBorders>
              <w:top w:val="single" w:sz="4" w:space="0" w:color="auto"/>
              <w:bottom w:val="single" w:sz="24" w:space="0" w:color="auto"/>
            </w:tcBorders>
          </w:tcPr>
          <w:p w14:paraId="3CE85F6D" w14:textId="19FA1D24" w:rsidR="00CC4FD8" w:rsidRPr="00D52989" w:rsidRDefault="00E33B70" w:rsidP="00CC4FD8">
            <w:pPr>
              <w:rPr>
                <w:lang w:val="en-GB"/>
              </w:rPr>
            </w:pPr>
            <w:bookmarkStart w:id="2" w:name="_MON_1021710482"/>
            <w:bookmarkStart w:id="3" w:name="_MON_1021710510"/>
            <w:bookmarkEnd w:id="2"/>
            <w:bookmarkEnd w:id="3"/>
            <w:r w:rsidRPr="00D52989">
              <w:rPr>
                <w:noProof/>
                <w:lang w:val="en-US"/>
              </w:rPr>
              <w:drawing>
                <wp:inline distT="0" distB="0" distL="0" distR="0" wp14:anchorId="3CA9AB67" wp14:editId="5651C4DC">
                  <wp:extent cx="842645" cy="7848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42645" cy="784860"/>
                          </a:xfrm>
                          <a:prstGeom prst="rect">
                            <a:avLst/>
                          </a:prstGeom>
                          <a:noFill/>
                          <a:ln>
                            <a:noFill/>
                          </a:ln>
                        </pic:spPr>
                      </pic:pic>
                    </a:graphicData>
                  </a:graphic>
                </wp:inline>
              </w:drawing>
            </w:r>
            <w:r w:rsidR="00CC4FD8" w:rsidRPr="00D52989">
              <w:rPr>
                <w:noProof/>
                <w:lang w:val="en-US"/>
              </w:rPr>
              <w:drawing>
                <wp:inline distT="0" distB="0" distL="0" distR="0" wp14:anchorId="54215932" wp14:editId="1E67B7A5">
                  <wp:extent cx="723900" cy="768350"/>
                  <wp:effectExtent l="0" t="0" r="0" b="0"/>
                  <wp:docPr id="2" name="Picture 2" descr="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23900" cy="768350"/>
                          </a:xfrm>
                          <a:prstGeom prst="rect">
                            <a:avLst/>
                          </a:prstGeom>
                          <a:noFill/>
                          <a:ln>
                            <a:noFill/>
                          </a:ln>
                        </pic:spPr>
                      </pic:pic>
                    </a:graphicData>
                  </a:graphic>
                </wp:inline>
              </w:drawing>
            </w:r>
          </w:p>
        </w:tc>
        <w:tc>
          <w:tcPr>
            <w:tcW w:w="4751" w:type="dxa"/>
            <w:tcBorders>
              <w:top w:val="single" w:sz="4" w:space="0" w:color="auto"/>
              <w:bottom w:val="single" w:sz="24" w:space="0" w:color="auto"/>
            </w:tcBorders>
          </w:tcPr>
          <w:p w14:paraId="39A1A433" w14:textId="77777777" w:rsidR="00CC4FD8" w:rsidRPr="00D52989" w:rsidRDefault="00CC4FD8" w:rsidP="00CC4FD8">
            <w:pPr>
              <w:spacing w:before="1200"/>
              <w:rPr>
                <w:rFonts w:ascii="Arial" w:hAnsi="Arial" w:cs="Arial"/>
                <w:b/>
                <w:sz w:val="28"/>
                <w:lang w:val="en-GB"/>
              </w:rPr>
            </w:pPr>
            <w:r w:rsidRPr="00D52989">
              <w:rPr>
                <w:rFonts w:ascii="Arial" w:hAnsi="Arial" w:cs="Arial"/>
                <w:b/>
                <w:sz w:val="32"/>
                <w:szCs w:val="32"/>
                <w:lang w:val="en-GB"/>
              </w:rPr>
              <w:t>United Nations</w:t>
            </w:r>
            <w:r w:rsidRPr="00D52989">
              <w:rPr>
                <w:rFonts w:ascii="Arial" w:hAnsi="Arial" w:cs="Arial"/>
                <w:b/>
                <w:sz w:val="32"/>
                <w:szCs w:val="32"/>
                <w:lang w:val="en-GB"/>
              </w:rPr>
              <w:br w:type="textWrapping" w:clear="all"/>
              <w:t>Environment</w:t>
            </w:r>
            <w:r w:rsidRPr="00D52989">
              <w:rPr>
                <w:rFonts w:ascii="Arial" w:hAnsi="Arial" w:cs="Arial"/>
                <w:b/>
                <w:sz w:val="32"/>
                <w:szCs w:val="32"/>
                <w:lang w:val="en-GB"/>
              </w:rPr>
              <w:br w:type="textWrapping" w:clear="all"/>
              <w:t>Programme</w:t>
            </w:r>
          </w:p>
        </w:tc>
        <w:tc>
          <w:tcPr>
            <w:tcW w:w="3411" w:type="dxa"/>
            <w:tcBorders>
              <w:top w:val="single" w:sz="4" w:space="0" w:color="auto"/>
              <w:bottom w:val="single" w:sz="24" w:space="0" w:color="auto"/>
            </w:tcBorders>
          </w:tcPr>
          <w:p w14:paraId="09251CEF" w14:textId="2A1C9725" w:rsidR="00CC4FD8" w:rsidRPr="00D52989" w:rsidRDefault="00CC4FD8" w:rsidP="00CC4FD8">
            <w:pPr>
              <w:spacing w:before="120"/>
              <w:rPr>
                <w:lang w:val="en-GB"/>
              </w:rPr>
            </w:pPr>
            <w:r w:rsidRPr="00D52989">
              <w:rPr>
                <w:lang w:val="en-GB"/>
              </w:rPr>
              <w:t>Distr.: General</w:t>
            </w:r>
            <w:r w:rsidRPr="00D52989">
              <w:rPr>
                <w:lang w:val="en-GB"/>
              </w:rPr>
              <w:br w:type="textWrapping" w:clear="all"/>
            </w:r>
            <w:r w:rsidR="0087023F" w:rsidRPr="0051482F">
              <w:rPr>
                <w:lang w:val="en-GB"/>
              </w:rPr>
              <w:t>3 July 2017</w:t>
            </w:r>
            <w:r w:rsidR="0087023F" w:rsidRPr="00D52989">
              <w:rPr>
                <w:lang w:val="en-GB"/>
              </w:rPr>
              <w:t xml:space="preserve"> </w:t>
            </w:r>
          </w:p>
          <w:p w14:paraId="6FD3BF95" w14:textId="184D0FC0" w:rsidR="00425318" w:rsidRPr="00D52989" w:rsidRDefault="00CC4FD8" w:rsidP="00CC4FD8">
            <w:pPr>
              <w:spacing w:before="240"/>
              <w:rPr>
                <w:lang w:val="en-GB"/>
              </w:rPr>
            </w:pPr>
            <w:r w:rsidRPr="00D52989">
              <w:rPr>
                <w:lang w:val="en-GB"/>
              </w:rPr>
              <w:t>Original: English</w:t>
            </w:r>
          </w:p>
        </w:tc>
      </w:tr>
    </w:tbl>
    <w:p w14:paraId="56C2342D" w14:textId="0A5A61BF" w:rsidR="00CC4FD8" w:rsidRPr="00D52989" w:rsidRDefault="00A33A9A" w:rsidP="0033544C">
      <w:pPr>
        <w:pStyle w:val="AATitle"/>
        <w:keepNext w:val="0"/>
        <w:keepLines w:val="0"/>
        <w:ind w:right="6257"/>
      </w:pPr>
      <w:r w:rsidRPr="0033544C">
        <w:t>Conference of the Parties to the</w:t>
      </w:r>
      <w:r w:rsidR="00B90C69" w:rsidRPr="0051482F">
        <w:t xml:space="preserve"> </w:t>
      </w:r>
      <w:proofErr w:type="spellStart"/>
      <w:r w:rsidR="00CC4FD8" w:rsidRPr="00D52989">
        <w:t>Minamata</w:t>
      </w:r>
      <w:proofErr w:type="spellEnd"/>
      <w:r w:rsidR="00CC4FD8" w:rsidRPr="00D52989">
        <w:t xml:space="preserve"> Convention on Mercury</w:t>
      </w:r>
    </w:p>
    <w:p w14:paraId="24EEAB9F" w14:textId="77777777" w:rsidR="00CC4FD8" w:rsidRPr="00D52989" w:rsidRDefault="00CC4FD8" w:rsidP="00CC4FD8">
      <w:pPr>
        <w:pStyle w:val="AATitle"/>
        <w:keepNext w:val="0"/>
        <w:keepLines w:val="0"/>
      </w:pPr>
      <w:r w:rsidRPr="00D52989">
        <w:t>First meeting</w:t>
      </w:r>
    </w:p>
    <w:p w14:paraId="733AA9AE" w14:textId="5282FEE4" w:rsidR="00CC4FD8" w:rsidRPr="00D52989" w:rsidRDefault="00CC4FD8" w:rsidP="00CC4FD8">
      <w:pPr>
        <w:pStyle w:val="AATitle"/>
        <w:rPr>
          <w:b w:val="0"/>
        </w:rPr>
      </w:pPr>
      <w:r w:rsidRPr="00D52989">
        <w:rPr>
          <w:b w:val="0"/>
        </w:rPr>
        <w:t>Geneva, 24–29 September 2017</w:t>
      </w:r>
    </w:p>
    <w:p w14:paraId="2C8C7DE2" w14:textId="77777777" w:rsidR="00CC4FD8" w:rsidRPr="00D52989" w:rsidRDefault="00CC4FD8" w:rsidP="00CC4FD8">
      <w:pPr>
        <w:pStyle w:val="AATitle"/>
        <w:keepNext w:val="0"/>
        <w:keepLines w:val="0"/>
        <w:rPr>
          <w:b w:val="0"/>
        </w:rPr>
      </w:pPr>
      <w:r w:rsidRPr="00D52989">
        <w:rPr>
          <w:b w:val="0"/>
        </w:rPr>
        <w:t>Item 5 (d) of the provisional agenda</w:t>
      </w:r>
      <w:r w:rsidRPr="00D52989">
        <w:rPr>
          <w:b w:val="0"/>
        </w:rPr>
        <w:footnoteReference w:customMarkFollows="1" w:id="2"/>
        <w:t>*</w:t>
      </w:r>
    </w:p>
    <w:p w14:paraId="24C622BE" w14:textId="497FA3CD" w:rsidR="00CC4FD8" w:rsidRPr="00D52989" w:rsidRDefault="00CC4FD8" w:rsidP="00CC4FD8">
      <w:pPr>
        <w:pStyle w:val="AATitle"/>
        <w:rPr>
          <w:b w:val="0"/>
          <w:bCs/>
        </w:rPr>
      </w:pPr>
      <w:r w:rsidRPr="00D52989">
        <w:t xml:space="preserve">Matters for action by the Conference of the Parties at its first meeting: </w:t>
      </w:r>
      <w:r w:rsidR="003448C7" w:rsidRPr="00D52989">
        <w:rPr>
          <w:bCs/>
        </w:rPr>
        <w:t>p</w:t>
      </w:r>
      <w:r w:rsidRPr="00D52989">
        <w:rPr>
          <w:bCs/>
        </w:rPr>
        <w:t>rogramme of work of the secretariat and budget for the period 2018</w:t>
      </w:r>
      <w:r w:rsidR="008C6CF6" w:rsidRPr="00D52989">
        <w:rPr>
          <w:bCs/>
        </w:rPr>
        <w:t>–</w:t>
      </w:r>
      <w:r w:rsidRPr="00D52989">
        <w:rPr>
          <w:bCs/>
        </w:rPr>
        <w:t>2019</w:t>
      </w:r>
    </w:p>
    <w:p w14:paraId="602F8C1E" w14:textId="5859BE8C" w:rsidR="006B2718" w:rsidRPr="00D52989" w:rsidRDefault="008B47EA" w:rsidP="00367F75">
      <w:pPr>
        <w:pStyle w:val="BBTitle"/>
      </w:pPr>
      <w:r w:rsidRPr="00D52989">
        <w:t>Progra</w:t>
      </w:r>
      <w:r w:rsidR="00983377" w:rsidRPr="00D52989">
        <w:t xml:space="preserve">mme of work </w:t>
      </w:r>
      <w:r w:rsidR="00CE1F5F" w:rsidRPr="00D52989">
        <w:t xml:space="preserve">of the secretariat </w:t>
      </w:r>
      <w:r w:rsidR="00983377" w:rsidRPr="00D52989">
        <w:t>and budget</w:t>
      </w:r>
      <w:r w:rsidR="006B2718" w:rsidRPr="00D52989">
        <w:t xml:space="preserve"> for the </w:t>
      </w:r>
      <w:r w:rsidR="00391F03" w:rsidRPr="00241415">
        <w:t>period</w:t>
      </w:r>
      <w:r w:rsidR="006B2718" w:rsidRPr="00D52989">
        <w:t xml:space="preserve"> 2018–2019</w:t>
      </w:r>
    </w:p>
    <w:p w14:paraId="1B1F447A" w14:textId="7A4C88A9" w:rsidR="006B2718" w:rsidRPr="00D52989" w:rsidRDefault="006B2718" w:rsidP="00367F75">
      <w:pPr>
        <w:pStyle w:val="CH2"/>
      </w:pPr>
      <w:r w:rsidRPr="00D52989">
        <w:tab/>
      </w:r>
      <w:r w:rsidRPr="00D52989">
        <w:tab/>
        <w:t xml:space="preserve">Note by the </w:t>
      </w:r>
      <w:r w:rsidR="003448C7" w:rsidRPr="00D52989">
        <w:t>s</w:t>
      </w:r>
      <w:r w:rsidRPr="00D52989">
        <w:t>ecretariat</w:t>
      </w:r>
    </w:p>
    <w:p w14:paraId="1992AD2D" w14:textId="55C48832" w:rsidR="006B2718" w:rsidRPr="00D52989" w:rsidRDefault="006B2718" w:rsidP="00911E2A">
      <w:pPr>
        <w:pStyle w:val="CH1"/>
      </w:pPr>
      <w:r w:rsidRPr="00D52989">
        <w:tab/>
        <w:t>I.</w:t>
      </w:r>
      <w:r w:rsidRPr="00D52989">
        <w:tab/>
        <w:t>Introduction</w:t>
      </w:r>
    </w:p>
    <w:p w14:paraId="03FDA58B" w14:textId="50DEBB62" w:rsidR="00CF1BD2" w:rsidRPr="00D52989" w:rsidRDefault="002400F0" w:rsidP="00C03273">
      <w:pPr>
        <w:pStyle w:val="Normalnumber"/>
        <w:ind w:left="1247" w:firstLine="0"/>
      </w:pPr>
      <w:r w:rsidRPr="00D52989">
        <w:t>The period 2018</w:t>
      </w:r>
      <w:r w:rsidR="00425318" w:rsidRPr="00D52989">
        <w:t>–</w:t>
      </w:r>
      <w:r w:rsidRPr="00D52989">
        <w:t xml:space="preserve">2019 marks the first biennium for the </w:t>
      </w:r>
      <w:proofErr w:type="spellStart"/>
      <w:r w:rsidRPr="00D52989">
        <w:t>Minamata</w:t>
      </w:r>
      <w:proofErr w:type="spellEnd"/>
      <w:r w:rsidRPr="00D52989">
        <w:t xml:space="preserve"> Convention on Mercury. </w:t>
      </w:r>
      <w:r w:rsidR="00CF1BD2" w:rsidRPr="00D52989">
        <w:t xml:space="preserve">The present note </w:t>
      </w:r>
      <w:r w:rsidRPr="00D52989">
        <w:t xml:space="preserve">therefore </w:t>
      </w:r>
      <w:r w:rsidR="00CF1BD2" w:rsidRPr="00D52989">
        <w:t xml:space="preserve">describes the </w:t>
      </w:r>
      <w:r w:rsidR="00832AA1" w:rsidRPr="00D52989">
        <w:t xml:space="preserve">proposed </w:t>
      </w:r>
      <w:r w:rsidR="00045A1D" w:rsidRPr="00D52989">
        <w:t xml:space="preserve">activities of the </w:t>
      </w:r>
      <w:r w:rsidR="00031A11" w:rsidRPr="00D52989">
        <w:t xml:space="preserve">first </w:t>
      </w:r>
      <w:r w:rsidR="00045A1D" w:rsidRPr="00D52989">
        <w:t xml:space="preserve">programme of work of the </w:t>
      </w:r>
      <w:proofErr w:type="gramStart"/>
      <w:r w:rsidR="003448C7" w:rsidRPr="00D52989">
        <w:t>s</w:t>
      </w:r>
      <w:r w:rsidRPr="00D52989">
        <w:t>ecretariat</w:t>
      </w:r>
      <w:proofErr w:type="gramEnd"/>
      <w:r w:rsidRPr="00D52989">
        <w:t xml:space="preserve"> and </w:t>
      </w:r>
      <w:r w:rsidR="00031A11" w:rsidRPr="00D52989">
        <w:t xml:space="preserve">the </w:t>
      </w:r>
      <w:r w:rsidRPr="00D52989">
        <w:t xml:space="preserve">budget </w:t>
      </w:r>
      <w:r w:rsidR="00045A1D" w:rsidRPr="00D52989">
        <w:t>to undertake</w:t>
      </w:r>
      <w:r w:rsidR="000F1744">
        <w:t xml:space="preserve"> that programme of work.</w:t>
      </w:r>
      <w:r w:rsidRPr="00D52989">
        <w:t xml:space="preserve"> </w:t>
      </w:r>
    </w:p>
    <w:p w14:paraId="43C83C79" w14:textId="3AB2038B" w:rsidR="00031A11" w:rsidRPr="00D52989" w:rsidRDefault="003448C7" w:rsidP="00C03273">
      <w:pPr>
        <w:pStyle w:val="Normalnumber"/>
        <w:ind w:left="1247" w:firstLine="0"/>
      </w:pPr>
      <w:r w:rsidRPr="00D52989">
        <w:t xml:space="preserve">In paragraph 11 of </w:t>
      </w:r>
      <w:r w:rsidR="004A02FC" w:rsidRPr="00D52989">
        <w:t xml:space="preserve">its </w:t>
      </w:r>
      <w:r w:rsidRPr="00D52989">
        <w:t xml:space="preserve">resolution </w:t>
      </w:r>
      <w:r w:rsidR="004A02FC" w:rsidRPr="00D52989">
        <w:t xml:space="preserve">on </w:t>
      </w:r>
      <w:r w:rsidR="004A02FC" w:rsidRPr="005D5662">
        <w:t>arrangements in the interim</w:t>
      </w:r>
      <w:r w:rsidR="004A02FC" w:rsidRPr="00D52989">
        <w:t xml:space="preserve"> period (</w:t>
      </w:r>
      <w:r w:rsidR="005D5662">
        <w:t xml:space="preserve">see </w:t>
      </w:r>
      <w:proofErr w:type="gramStart"/>
      <w:r w:rsidR="004A02FC" w:rsidRPr="00D52989">
        <w:t>UNEP(</w:t>
      </w:r>
      <w:proofErr w:type="gramEnd"/>
      <w:r w:rsidR="004A02FC" w:rsidRPr="00D52989">
        <w:t xml:space="preserve">DTIE)/Hg/CONF/4, annex I), </w:t>
      </w:r>
      <w:r w:rsidRPr="00D52989">
        <w:t>t</w:t>
      </w:r>
      <w:r w:rsidR="002400F0" w:rsidRPr="00D52989">
        <w:t xml:space="preserve">he Conference of Plenipotentiaries on the </w:t>
      </w:r>
      <w:proofErr w:type="spellStart"/>
      <w:r w:rsidR="002400F0" w:rsidRPr="00D52989">
        <w:t>Minamata</w:t>
      </w:r>
      <w:proofErr w:type="spellEnd"/>
      <w:r w:rsidR="002400F0" w:rsidRPr="00D52989">
        <w:t xml:space="preserve"> Convention requested the Executive Director of the United Nations Environment Programme </w:t>
      </w:r>
      <w:r w:rsidR="00330E8E" w:rsidRPr="00D52989">
        <w:t xml:space="preserve">(UNEP) </w:t>
      </w:r>
      <w:r w:rsidR="002400F0" w:rsidRPr="00D52989">
        <w:t xml:space="preserve">to provide the interim secretariat </w:t>
      </w:r>
      <w:r w:rsidR="007912E7" w:rsidRPr="00D52989">
        <w:t xml:space="preserve">services </w:t>
      </w:r>
      <w:r w:rsidR="002400F0" w:rsidRPr="00D52989">
        <w:t xml:space="preserve">to support the </w:t>
      </w:r>
      <w:r w:rsidR="001C3FB0" w:rsidRPr="00D52989">
        <w:t>intergovernmental negotiating committee</w:t>
      </w:r>
      <w:r w:rsidR="002400F0" w:rsidRPr="00D52989">
        <w:t xml:space="preserve"> and its activities until the first meeting of the Conference of the Parties. In th</w:t>
      </w:r>
      <w:r w:rsidR="007912E7" w:rsidRPr="00D52989">
        <w:t>at</w:t>
      </w:r>
      <w:r w:rsidR="002400F0" w:rsidRPr="00D52989">
        <w:t xml:space="preserve"> regard</w:t>
      </w:r>
      <w:r w:rsidR="00B54238" w:rsidRPr="00D52989">
        <w:t>,</w:t>
      </w:r>
      <w:r w:rsidR="004E1124" w:rsidRPr="00D52989">
        <w:t xml:space="preserve"> </w:t>
      </w:r>
      <w:r w:rsidR="002400F0" w:rsidRPr="00D52989">
        <w:t xml:space="preserve">the interim </w:t>
      </w:r>
      <w:r w:rsidR="007912E7" w:rsidRPr="00D52989">
        <w:t>s</w:t>
      </w:r>
      <w:r w:rsidR="002400F0" w:rsidRPr="00D52989">
        <w:t xml:space="preserve">ecretariat was tasked </w:t>
      </w:r>
      <w:r w:rsidR="00A77A7F" w:rsidRPr="00D52989">
        <w:t>with</w:t>
      </w:r>
      <w:r w:rsidR="002400F0" w:rsidRPr="00D52989">
        <w:t xml:space="preserve"> prepar</w:t>
      </w:r>
      <w:r w:rsidR="00A77A7F" w:rsidRPr="00D52989">
        <w:t>ing</w:t>
      </w:r>
      <w:r w:rsidR="002400F0" w:rsidRPr="00D52989">
        <w:t xml:space="preserve"> the first programme of work for the permanent secretariat and the </w:t>
      </w:r>
      <w:r w:rsidR="00B54238" w:rsidRPr="00D52989">
        <w:t xml:space="preserve">first </w:t>
      </w:r>
      <w:r w:rsidR="002400F0" w:rsidRPr="00D52989">
        <w:t>budget for the Convention</w:t>
      </w:r>
      <w:r w:rsidR="00A77A7F" w:rsidRPr="00D52989">
        <w:t>, to be submitted</w:t>
      </w:r>
      <w:r w:rsidR="002400F0" w:rsidRPr="00D52989">
        <w:t xml:space="preserve"> for consideration and adoption by the Conference of </w:t>
      </w:r>
      <w:r w:rsidR="004A02FC" w:rsidRPr="00D52989">
        <w:t xml:space="preserve">the </w:t>
      </w:r>
      <w:r w:rsidR="002400F0" w:rsidRPr="00D52989">
        <w:t xml:space="preserve">Parties at its first meeting. </w:t>
      </w:r>
    </w:p>
    <w:p w14:paraId="1037ACCB" w14:textId="05EFF587" w:rsidR="00C208D1" w:rsidRPr="00D52989" w:rsidRDefault="0062620A" w:rsidP="00C03273">
      <w:pPr>
        <w:pStyle w:val="Normalnumber"/>
        <w:ind w:left="1247" w:firstLine="0"/>
      </w:pPr>
      <w:r w:rsidRPr="00D52989">
        <w:t>In response to th</w:t>
      </w:r>
      <w:r w:rsidR="00A77A7F" w:rsidRPr="00D52989">
        <w:t>at</w:t>
      </w:r>
      <w:r w:rsidRPr="00D52989">
        <w:t xml:space="preserve"> request</w:t>
      </w:r>
      <w:r w:rsidR="00A77A7F" w:rsidRPr="00D52989">
        <w:t>,</w:t>
      </w:r>
      <w:r w:rsidRPr="00D52989">
        <w:t xml:space="preserve"> t</w:t>
      </w:r>
      <w:r w:rsidR="002400F0" w:rsidRPr="00D52989">
        <w:t xml:space="preserve">he present note provides the best estimate </w:t>
      </w:r>
      <w:r w:rsidR="00A77A7F" w:rsidRPr="00D52989">
        <w:t xml:space="preserve">of the </w:t>
      </w:r>
      <w:r w:rsidR="00A77A7F" w:rsidRPr="00EB6816">
        <w:t xml:space="preserve">interim secretariat </w:t>
      </w:r>
      <w:r w:rsidR="00031A11" w:rsidRPr="00EB6816">
        <w:t>with regard to</w:t>
      </w:r>
      <w:r w:rsidR="002400F0" w:rsidRPr="00EB6816">
        <w:t xml:space="preserve"> </w:t>
      </w:r>
      <w:r w:rsidR="00E4072B" w:rsidRPr="00EB6816">
        <w:t xml:space="preserve">the </w:t>
      </w:r>
      <w:r w:rsidR="00A77A7F" w:rsidRPr="00EB6816">
        <w:t xml:space="preserve">priorities of the </w:t>
      </w:r>
      <w:r w:rsidR="00E4072B" w:rsidRPr="00EB6816">
        <w:t xml:space="preserve">programme of </w:t>
      </w:r>
      <w:r w:rsidR="002400F0" w:rsidRPr="00EB6816">
        <w:t xml:space="preserve">work </w:t>
      </w:r>
      <w:r w:rsidR="00F6003F" w:rsidRPr="00EB6816">
        <w:t xml:space="preserve">and </w:t>
      </w:r>
      <w:r w:rsidR="00A77A7F" w:rsidRPr="00EB6816">
        <w:t xml:space="preserve">the </w:t>
      </w:r>
      <w:r w:rsidR="00F6003F" w:rsidRPr="00EB6816">
        <w:t xml:space="preserve">proposed budget </w:t>
      </w:r>
      <w:r w:rsidR="001E65EF" w:rsidRPr="00EB6816">
        <w:t xml:space="preserve">as a new </w:t>
      </w:r>
      <w:r w:rsidR="00EB6816" w:rsidRPr="00241415">
        <w:t>c</w:t>
      </w:r>
      <w:r w:rsidR="001E65EF" w:rsidRPr="00241415">
        <w:t>onv</w:t>
      </w:r>
      <w:r w:rsidR="001E65EF" w:rsidRPr="00EB6816">
        <w:t>ention</w:t>
      </w:r>
      <w:r w:rsidR="001E65EF" w:rsidRPr="00D52989">
        <w:t xml:space="preserve"> </w:t>
      </w:r>
      <w:r w:rsidR="002400F0" w:rsidRPr="00D52989">
        <w:t xml:space="preserve">for the </w:t>
      </w:r>
      <w:r w:rsidR="00A77A7F" w:rsidRPr="00D52989">
        <w:t xml:space="preserve">biennium </w:t>
      </w:r>
      <w:r w:rsidR="002400F0" w:rsidRPr="00D52989">
        <w:t>2018</w:t>
      </w:r>
      <w:r w:rsidR="001C3FB0" w:rsidRPr="00D52989">
        <w:t>–</w:t>
      </w:r>
      <w:r w:rsidR="002400F0" w:rsidRPr="00D52989">
        <w:t>2019</w:t>
      </w:r>
      <w:r w:rsidR="00E4072B" w:rsidRPr="00D52989">
        <w:t xml:space="preserve">. </w:t>
      </w:r>
      <w:r w:rsidR="00850D5F" w:rsidRPr="00D52989">
        <w:t>Th</w:t>
      </w:r>
      <w:r w:rsidR="001C3FB0" w:rsidRPr="00D52989">
        <w:t xml:space="preserve">e </w:t>
      </w:r>
      <w:r w:rsidR="00850D5F" w:rsidRPr="00D52989">
        <w:t xml:space="preserve">estimate is based on </w:t>
      </w:r>
      <w:r w:rsidR="00A77A7F" w:rsidRPr="00D52989">
        <w:t xml:space="preserve">both </w:t>
      </w:r>
      <w:r w:rsidR="00850D5F" w:rsidRPr="00D52989">
        <w:t xml:space="preserve">information gathered by the interim secretariat since 2010 and the Convention text and its articles. </w:t>
      </w:r>
    </w:p>
    <w:p w14:paraId="7F00A064" w14:textId="74A27F45" w:rsidR="001C7D10" w:rsidRPr="00D52989" w:rsidRDefault="0062620A" w:rsidP="000A0EDA">
      <w:pPr>
        <w:pStyle w:val="Normalnumber"/>
        <w:ind w:left="1247" w:firstLine="0"/>
      </w:pPr>
      <w:r w:rsidRPr="00D52989">
        <w:t xml:space="preserve">The note is structured </w:t>
      </w:r>
      <w:r w:rsidR="00B54238" w:rsidRPr="00D52989">
        <w:t xml:space="preserve">in three </w:t>
      </w:r>
      <w:r w:rsidR="00E85189">
        <w:t>sections</w:t>
      </w:r>
      <w:r w:rsidR="00B54238" w:rsidRPr="00D52989">
        <w:t xml:space="preserve">. The introductory section sets </w:t>
      </w:r>
      <w:r w:rsidR="00B54238" w:rsidRPr="000A0EDA">
        <w:t>out the functions</w:t>
      </w:r>
      <w:r w:rsidR="00B54238" w:rsidRPr="00D52989">
        <w:t xml:space="preserve"> of the </w:t>
      </w:r>
      <w:r w:rsidR="00C208D1" w:rsidRPr="00D52989">
        <w:t>s</w:t>
      </w:r>
      <w:r w:rsidR="00B54238" w:rsidRPr="00D52989">
        <w:t xml:space="preserve">ecretariat that lay the foundation of the programme of work, indicates provisions of the draft financial rules that guided the preparation of the budget and draws attention to </w:t>
      </w:r>
      <w:r w:rsidR="00C208D1" w:rsidRPr="00D52989">
        <w:t xml:space="preserve">the </w:t>
      </w:r>
      <w:r w:rsidR="00B54238" w:rsidRPr="00D52989">
        <w:t>key decisions to be taken by the Conference</w:t>
      </w:r>
      <w:r w:rsidR="00B1543B">
        <w:t xml:space="preserve"> of the Parties</w:t>
      </w:r>
      <w:r w:rsidR="00B54238" w:rsidRPr="00D52989">
        <w:t xml:space="preserve"> that impact the proposed budget of the Convention. </w:t>
      </w:r>
      <w:r w:rsidR="00E85189">
        <w:t>S</w:t>
      </w:r>
      <w:r w:rsidR="00B54238" w:rsidRPr="00D52989">
        <w:t xml:space="preserve">ection </w:t>
      </w:r>
      <w:r w:rsidR="00E85189">
        <w:t xml:space="preserve">II </w:t>
      </w:r>
      <w:r w:rsidR="0097354D" w:rsidRPr="00D52989">
        <w:t xml:space="preserve">begins with </w:t>
      </w:r>
      <w:r w:rsidR="0097354D" w:rsidRPr="00241415">
        <w:t>an overview of the programme of work and the budget for the</w:t>
      </w:r>
      <w:r w:rsidR="00741146" w:rsidRPr="00241415">
        <w:t xml:space="preserve"> biennium</w:t>
      </w:r>
      <w:r w:rsidR="0097354D" w:rsidRPr="00241415">
        <w:t xml:space="preserve"> 2018</w:t>
      </w:r>
      <w:r w:rsidR="00741146" w:rsidRPr="00241415">
        <w:t>–</w:t>
      </w:r>
      <w:r w:rsidR="0097354D" w:rsidRPr="00241415">
        <w:t>2019,</w:t>
      </w:r>
      <w:r w:rsidR="006C7B98" w:rsidRPr="00241415">
        <w:t xml:space="preserve"> which is</w:t>
      </w:r>
      <w:r w:rsidR="0097354D" w:rsidRPr="00241415">
        <w:t xml:space="preserve"> followed by a more detailed consideration of the activities that underpin the programme of work</w:t>
      </w:r>
      <w:r w:rsidR="00650C7A" w:rsidRPr="00241415">
        <w:t xml:space="preserve"> (see also</w:t>
      </w:r>
      <w:r w:rsidR="00650C7A" w:rsidRPr="00355F3F">
        <w:rPr>
          <w:b/>
        </w:rPr>
        <w:t xml:space="preserve"> </w:t>
      </w:r>
      <w:r w:rsidR="00650C7A" w:rsidRPr="00241415">
        <w:t>UNEP/MC/COP.1/21/Add.1)</w:t>
      </w:r>
      <w:r w:rsidR="0097354D" w:rsidRPr="00241415">
        <w:t xml:space="preserve">, and the resource requirements needed for the staffing complements for the </w:t>
      </w:r>
      <w:r w:rsidR="008A5BF1" w:rsidRPr="00241415">
        <w:t>s</w:t>
      </w:r>
      <w:r w:rsidR="0097354D" w:rsidRPr="00241415">
        <w:t>ecretariat options</w:t>
      </w:r>
      <w:r w:rsidR="00650C7A" w:rsidRPr="00A216AF">
        <w:t xml:space="preserve"> (see UNEP/MC/COP.1/21/Add.2)</w:t>
      </w:r>
      <w:r w:rsidR="0097354D" w:rsidRPr="00A216AF">
        <w:t>. This section also contains information on the indicative scale of assessments and projected assessed contributions</w:t>
      </w:r>
      <w:r w:rsidR="00650C7A" w:rsidRPr="00A216AF">
        <w:t xml:space="preserve"> (UNEP/MC/COP.1/21/Add.3)</w:t>
      </w:r>
      <w:r w:rsidR="00A46ED1" w:rsidRPr="00A216AF">
        <w:t xml:space="preserve"> </w:t>
      </w:r>
      <w:r w:rsidR="00A46ED1" w:rsidRPr="00A216AF">
        <w:lastRenderedPageBreak/>
        <w:t>and an overview presentation of the programme of work and budget by secretariat arrangement options (UNEP/MC/COP.1/21/Add.4</w:t>
      </w:r>
      <w:r w:rsidR="00A46ED1" w:rsidRPr="000D48BA">
        <w:t xml:space="preserve">). </w:t>
      </w:r>
      <w:r w:rsidR="00E85189" w:rsidRPr="000D48BA">
        <w:t xml:space="preserve">Section II also </w:t>
      </w:r>
      <w:r w:rsidR="00AB3A65" w:rsidRPr="000D48BA">
        <w:t xml:space="preserve">contains </w:t>
      </w:r>
      <w:r w:rsidR="0097354D" w:rsidRPr="000D48BA">
        <w:t xml:space="preserve">further information pertaining </w:t>
      </w:r>
      <w:r w:rsidR="00650C7A" w:rsidRPr="000D48BA">
        <w:t xml:space="preserve">to the United Nations Secretariat and </w:t>
      </w:r>
      <w:r w:rsidR="00330E8E" w:rsidRPr="000D48BA">
        <w:t>UNEP</w:t>
      </w:r>
      <w:r w:rsidR="00330E8E" w:rsidRPr="00D52989">
        <w:t xml:space="preserve"> </w:t>
      </w:r>
      <w:r w:rsidR="00850D5F" w:rsidRPr="00D52989">
        <w:t xml:space="preserve">in terms of </w:t>
      </w:r>
      <w:r w:rsidR="008A5BF1" w:rsidRPr="00D52989">
        <w:t>International Public Sector Accounting Standards (</w:t>
      </w:r>
      <w:r w:rsidR="00850D5F" w:rsidRPr="00D52989">
        <w:t>IPSAS</w:t>
      </w:r>
      <w:r w:rsidR="008A5BF1" w:rsidRPr="00D52989">
        <w:t>)</w:t>
      </w:r>
      <w:r w:rsidR="00850D5F" w:rsidRPr="00D52989">
        <w:t xml:space="preserve">, </w:t>
      </w:r>
      <w:proofErr w:type="spellStart"/>
      <w:r w:rsidR="00850D5F" w:rsidRPr="00D52989">
        <w:t>Umoja</w:t>
      </w:r>
      <w:proofErr w:type="spellEnd"/>
      <w:r w:rsidR="00850D5F" w:rsidRPr="00D52989">
        <w:t xml:space="preserve"> and other related matters</w:t>
      </w:r>
      <w:r w:rsidR="00650C7A" w:rsidRPr="00D52989">
        <w:t xml:space="preserve">. </w:t>
      </w:r>
      <w:r w:rsidR="00E85189">
        <w:t>S</w:t>
      </w:r>
      <w:r w:rsidR="00650C7A" w:rsidRPr="00D52989">
        <w:t>ection</w:t>
      </w:r>
      <w:r w:rsidR="00E85189">
        <w:t xml:space="preserve"> III</w:t>
      </w:r>
      <w:r w:rsidR="00136795" w:rsidRPr="00D52989">
        <w:t xml:space="preserve"> </w:t>
      </w:r>
      <w:r w:rsidR="00650C7A" w:rsidRPr="00D52989">
        <w:t xml:space="preserve">sets out suggested action </w:t>
      </w:r>
      <w:r w:rsidR="008A5BF1" w:rsidRPr="00D52989">
        <w:t xml:space="preserve">to be taken </w:t>
      </w:r>
      <w:r w:rsidR="00650C7A" w:rsidRPr="00D52989">
        <w:t>by the Conference</w:t>
      </w:r>
      <w:r w:rsidR="00BC74AA">
        <w:t xml:space="preserve"> of the Parties</w:t>
      </w:r>
      <w:r w:rsidR="00650C7A" w:rsidRPr="00D52989">
        <w:t xml:space="preserve">. </w:t>
      </w:r>
    </w:p>
    <w:p w14:paraId="213DAB4B" w14:textId="4782DFC5" w:rsidR="0062620A" w:rsidRPr="00D52989" w:rsidRDefault="001C7D10" w:rsidP="001C7D10">
      <w:pPr>
        <w:pStyle w:val="CH2"/>
      </w:pPr>
      <w:r w:rsidRPr="00D52989">
        <w:tab/>
        <w:t xml:space="preserve">A. </w:t>
      </w:r>
      <w:r w:rsidRPr="00D52989">
        <w:tab/>
        <w:t xml:space="preserve">Establishing the first programme of work of the secretariat and the first proposed </w:t>
      </w:r>
      <w:r w:rsidR="00E9402B" w:rsidRPr="00D52989">
        <w:t xml:space="preserve">budget </w:t>
      </w:r>
      <w:r w:rsidRPr="00D52989">
        <w:t>for the period 2018–2019</w:t>
      </w:r>
      <w:r w:rsidR="000A7CE7" w:rsidRPr="00D52989">
        <w:t xml:space="preserve"> </w:t>
      </w:r>
    </w:p>
    <w:p w14:paraId="15D6269D" w14:textId="0B074B06" w:rsidR="004634F9" w:rsidRPr="00D52989" w:rsidRDefault="005C7E66" w:rsidP="00C03273">
      <w:pPr>
        <w:pStyle w:val="Normalnumber"/>
        <w:ind w:left="1247" w:firstLine="0"/>
      </w:pPr>
      <w:r w:rsidRPr="00D52989">
        <w:t>A</w:t>
      </w:r>
      <w:r w:rsidR="00031A11" w:rsidRPr="00D52989">
        <w:t xml:space="preserve">rticle 24 of the </w:t>
      </w:r>
      <w:proofErr w:type="spellStart"/>
      <w:r w:rsidR="00031A11" w:rsidRPr="00D52989">
        <w:t>Minamata</w:t>
      </w:r>
      <w:proofErr w:type="spellEnd"/>
      <w:r w:rsidR="00031A11" w:rsidRPr="00D52989">
        <w:t xml:space="preserve"> Convention</w:t>
      </w:r>
      <w:r w:rsidRPr="00D52989">
        <w:t xml:space="preserve"> </w:t>
      </w:r>
      <w:r w:rsidR="00031A11" w:rsidRPr="000A0EDA">
        <w:t>sets out the</w:t>
      </w:r>
      <w:r w:rsidR="00440054" w:rsidRPr="00D52989">
        <w:t xml:space="preserve"> establishment of </w:t>
      </w:r>
      <w:r w:rsidRPr="00D52989">
        <w:t>its</w:t>
      </w:r>
      <w:r w:rsidR="00440054" w:rsidRPr="00D52989">
        <w:t xml:space="preserve"> </w:t>
      </w:r>
      <w:r w:rsidR="00115B14" w:rsidRPr="00D52989">
        <w:t>s</w:t>
      </w:r>
      <w:r w:rsidR="00440054" w:rsidRPr="00D52989">
        <w:t>ecretariat</w:t>
      </w:r>
      <w:r w:rsidRPr="00D52989">
        <w:t xml:space="preserve"> and</w:t>
      </w:r>
      <w:r w:rsidR="00031A11" w:rsidRPr="00D52989">
        <w:t xml:space="preserve"> stipulates </w:t>
      </w:r>
      <w:r w:rsidRPr="00D52989">
        <w:t xml:space="preserve">its </w:t>
      </w:r>
      <w:r w:rsidR="00440054" w:rsidRPr="00D52989">
        <w:t xml:space="preserve">functions </w:t>
      </w:r>
      <w:r w:rsidRPr="00D52989">
        <w:t>as follows</w:t>
      </w:r>
      <w:r w:rsidR="004634F9" w:rsidRPr="00D52989">
        <w:t xml:space="preserve">: </w:t>
      </w:r>
    </w:p>
    <w:p w14:paraId="2B0A5B4F" w14:textId="4C04DEF9" w:rsidR="008E1214" w:rsidRPr="00D52989" w:rsidRDefault="004634F9" w:rsidP="00C03273">
      <w:pPr>
        <w:pStyle w:val="Normalnumber"/>
        <w:numPr>
          <w:ilvl w:val="3"/>
          <w:numId w:val="67"/>
        </w:numPr>
        <w:ind w:left="1247" w:firstLine="624"/>
      </w:pPr>
      <w:r w:rsidRPr="00D52989">
        <w:t xml:space="preserve">To make arrangements </w:t>
      </w:r>
      <w:r w:rsidR="00911E2A" w:rsidRPr="00D52989">
        <w:t>for</w:t>
      </w:r>
      <w:r w:rsidRPr="00D52989">
        <w:t xml:space="preserve"> meetings of the Conference of the Parties and its subsidiary bodies and to provide them with services as required;</w:t>
      </w:r>
    </w:p>
    <w:p w14:paraId="180B5448" w14:textId="7CB559B3" w:rsidR="004634F9" w:rsidRPr="00D52989" w:rsidRDefault="004634F9" w:rsidP="00C03273">
      <w:pPr>
        <w:pStyle w:val="Normalnumber"/>
        <w:numPr>
          <w:ilvl w:val="3"/>
          <w:numId w:val="67"/>
        </w:numPr>
        <w:ind w:left="1247" w:firstLine="624"/>
      </w:pPr>
      <w:r w:rsidRPr="00D52989">
        <w:t xml:space="preserve">To facilitate assistance to </w:t>
      </w:r>
      <w:r w:rsidR="006C7B98" w:rsidRPr="00D52989">
        <w:t>p</w:t>
      </w:r>
      <w:r w:rsidRPr="00D52989">
        <w:t xml:space="preserve">arties, particularly developing country </w:t>
      </w:r>
      <w:r w:rsidR="006C7B98" w:rsidRPr="00D52989">
        <w:t>p</w:t>
      </w:r>
      <w:r w:rsidRPr="00D52989">
        <w:t xml:space="preserve">arties and </w:t>
      </w:r>
      <w:r w:rsidR="006C7B98" w:rsidRPr="00D52989">
        <w:t>p</w:t>
      </w:r>
      <w:r w:rsidRPr="00D52989">
        <w:t>arties with economies in transition, on request, in the implementation of th</w:t>
      </w:r>
      <w:r w:rsidR="006C7B98" w:rsidRPr="00D52989">
        <w:t>e</w:t>
      </w:r>
      <w:r w:rsidRPr="00D52989">
        <w:t xml:space="preserve"> Convention;</w:t>
      </w:r>
    </w:p>
    <w:p w14:paraId="7A13AF0D" w14:textId="3FD4F337" w:rsidR="004634F9" w:rsidRPr="00D52989" w:rsidRDefault="004634F9" w:rsidP="00C03273">
      <w:pPr>
        <w:pStyle w:val="Normalnumber"/>
        <w:numPr>
          <w:ilvl w:val="3"/>
          <w:numId w:val="67"/>
        </w:numPr>
        <w:ind w:left="1247" w:firstLine="624"/>
      </w:pPr>
      <w:r w:rsidRPr="00D52989">
        <w:t xml:space="preserve">To coordinate, as appropriate, with </w:t>
      </w:r>
      <w:r w:rsidR="00FD1D01" w:rsidRPr="00D52989">
        <w:t xml:space="preserve">the </w:t>
      </w:r>
      <w:r w:rsidRPr="00D52989">
        <w:t>secretariats of relevant international bodies, particularly other chemicals and waste conventions;</w:t>
      </w:r>
    </w:p>
    <w:p w14:paraId="649E438E" w14:textId="13A9EBC5" w:rsidR="004634F9" w:rsidRPr="00D52989" w:rsidRDefault="004634F9" w:rsidP="00C03273">
      <w:pPr>
        <w:pStyle w:val="Normalnumber"/>
        <w:numPr>
          <w:ilvl w:val="3"/>
          <w:numId w:val="67"/>
        </w:numPr>
        <w:ind w:left="1247" w:firstLine="624"/>
      </w:pPr>
      <w:r w:rsidRPr="00D52989">
        <w:t xml:space="preserve">To assist </w:t>
      </w:r>
      <w:r w:rsidR="006C7B98" w:rsidRPr="00D52989">
        <w:t>p</w:t>
      </w:r>
      <w:r w:rsidRPr="00D52989">
        <w:t>arties in the exchange of information related to the implementation of th</w:t>
      </w:r>
      <w:r w:rsidR="006C7B98" w:rsidRPr="00D52989">
        <w:t>e</w:t>
      </w:r>
      <w:r w:rsidR="00E85189">
        <w:t xml:space="preserve"> </w:t>
      </w:r>
      <w:r w:rsidRPr="00D52989">
        <w:t xml:space="preserve">Convention; </w:t>
      </w:r>
    </w:p>
    <w:p w14:paraId="5F4A7AED" w14:textId="77E8B6F7" w:rsidR="004634F9" w:rsidRPr="00D52989" w:rsidRDefault="004634F9" w:rsidP="00C03273">
      <w:pPr>
        <w:pStyle w:val="Normalnumber"/>
        <w:numPr>
          <w:ilvl w:val="3"/>
          <w:numId w:val="67"/>
        </w:numPr>
        <w:ind w:left="1247" w:firstLine="624"/>
      </w:pPr>
      <w:r w:rsidRPr="00D52989">
        <w:t xml:space="preserve">To prepare and make available to the </w:t>
      </w:r>
      <w:r w:rsidR="006C7B98" w:rsidRPr="00D52989">
        <w:t>p</w:t>
      </w:r>
      <w:r w:rsidRPr="00D52989">
        <w:t xml:space="preserve">arties periodic reports based on information received pursuant to </w:t>
      </w:r>
      <w:r w:rsidR="00FD1D01" w:rsidRPr="00D52989">
        <w:t>a</w:t>
      </w:r>
      <w:r w:rsidRPr="00D52989">
        <w:t>rticles 15 and 21 and other available information;</w:t>
      </w:r>
    </w:p>
    <w:p w14:paraId="0F5A79BE" w14:textId="35C00DB4" w:rsidR="004634F9" w:rsidRPr="00D52989" w:rsidRDefault="004634F9" w:rsidP="00C03273">
      <w:pPr>
        <w:pStyle w:val="Normalnumber"/>
        <w:numPr>
          <w:ilvl w:val="3"/>
          <w:numId w:val="67"/>
        </w:numPr>
        <w:ind w:left="1247" w:firstLine="624"/>
      </w:pPr>
      <w:r w:rsidRPr="00D52989">
        <w:t xml:space="preserve">To enter, under the overall guidance of the Conference of the Parties, into such administrative and contractual arrangements as may be required for the effective discharge of its functions; </w:t>
      </w:r>
    </w:p>
    <w:p w14:paraId="70FDFAB8" w14:textId="23DA827E" w:rsidR="004634F9" w:rsidRPr="00D52989" w:rsidRDefault="004634F9" w:rsidP="00C03273">
      <w:pPr>
        <w:pStyle w:val="Normalnumber"/>
        <w:numPr>
          <w:ilvl w:val="3"/>
          <w:numId w:val="67"/>
        </w:numPr>
        <w:ind w:left="1247" w:firstLine="624"/>
      </w:pPr>
      <w:r w:rsidRPr="00D52989">
        <w:t>To perform the other secretariat functions specified in th</w:t>
      </w:r>
      <w:r w:rsidR="006C7B98" w:rsidRPr="00D52989">
        <w:t>e</w:t>
      </w:r>
      <w:r w:rsidRPr="00D52989">
        <w:t xml:space="preserve"> Convention and such other functions as may be determined by the Conference of </w:t>
      </w:r>
      <w:r w:rsidR="00C003E0" w:rsidRPr="00D52989">
        <w:t xml:space="preserve">the </w:t>
      </w:r>
      <w:r w:rsidRPr="00D52989">
        <w:t xml:space="preserve">Parties. </w:t>
      </w:r>
    </w:p>
    <w:p w14:paraId="402B7E51" w14:textId="14D721DE" w:rsidR="00D83048" w:rsidRPr="00D52989" w:rsidRDefault="00F21952" w:rsidP="00C03273">
      <w:pPr>
        <w:pStyle w:val="Normalnumber"/>
        <w:ind w:left="1247" w:firstLine="0"/>
      </w:pPr>
      <w:r w:rsidRPr="00D52989">
        <w:t>T</w:t>
      </w:r>
      <w:r w:rsidR="00031A11" w:rsidRPr="00D52989">
        <w:t xml:space="preserve">he first </w:t>
      </w:r>
      <w:r w:rsidR="006C7B98" w:rsidRPr="00D52989">
        <w:t xml:space="preserve">meeting of the </w:t>
      </w:r>
      <w:r w:rsidR="00031A11" w:rsidRPr="00D52989">
        <w:t xml:space="preserve">Conference of the Parties </w:t>
      </w:r>
      <w:r w:rsidR="006C7B98" w:rsidRPr="00D52989">
        <w:t>to</w:t>
      </w:r>
      <w:r w:rsidR="00031A11" w:rsidRPr="00D52989">
        <w:t xml:space="preserve"> the </w:t>
      </w:r>
      <w:proofErr w:type="spellStart"/>
      <w:r w:rsidR="00031A11" w:rsidRPr="00D52989">
        <w:t>Minamata</w:t>
      </w:r>
      <w:proofErr w:type="spellEnd"/>
      <w:r w:rsidR="00031A11" w:rsidRPr="00D52989">
        <w:t xml:space="preserve"> Convention is to adopt the </w:t>
      </w:r>
      <w:r w:rsidR="00F321FE" w:rsidRPr="00D52989">
        <w:t>draft financial r</w:t>
      </w:r>
      <w:r w:rsidR="00031A11" w:rsidRPr="00D52989">
        <w:t xml:space="preserve">ules for the Conference and any of its subsidiary bodies, as well as </w:t>
      </w:r>
      <w:r w:rsidR="00136795" w:rsidRPr="00D52989">
        <w:t xml:space="preserve">the </w:t>
      </w:r>
      <w:r w:rsidR="00031A11" w:rsidRPr="00D52989">
        <w:t>financial provisions governing the functioning of the secretariat of the Convention (</w:t>
      </w:r>
      <w:proofErr w:type="gramStart"/>
      <w:r w:rsidR="00F321FE" w:rsidRPr="00D52989">
        <w:t>see</w:t>
      </w:r>
      <w:proofErr w:type="gramEnd"/>
      <w:r w:rsidR="00F321FE" w:rsidRPr="00D52989">
        <w:t xml:space="preserve"> UNEP/MC/COP.1/13</w:t>
      </w:r>
      <w:r w:rsidR="00863240" w:rsidRPr="00D52989">
        <w:t>, annex II</w:t>
      </w:r>
      <w:r w:rsidR="00F321FE" w:rsidRPr="00D52989">
        <w:t xml:space="preserve">). The draft financial </w:t>
      </w:r>
      <w:r w:rsidR="00031A11" w:rsidRPr="00D52989">
        <w:t xml:space="preserve">rules contain a number of stipulations that guide the </w:t>
      </w:r>
      <w:r w:rsidR="00266C58" w:rsidRPr="00D52989">
        <w:t xml:space="preserve">preparation of the </w:t>
      </w:r>
      <w:r w:rsidR="009C5D0B" w:rsidRPr="00D52989">
        <w:t xml:space="preserve">first </w:t>
      </w:r>
      <w:r w:rsidR="00D2725D" w:rsidRPr="00D52989">
        <w:t xml:space="preserve">proposed </w:t>
      </w:r>
      <w:r w:rsidR="009C5D0B" w:rsidRPr="00D52989">
        <w:t xml:space="preserve">budget </w:t>
      </w:r>
      <w:r w:rsidR="00D21750" w:rsidRPr="00D52989">
        <w:t>for the Convention</w:t>
      </w:r>
      <w:r w:rsidR="00554BBD" w:rsidRPr="00D52989">
        <w:t>, namely</w:t>
      </w:r>
      <w:r w:rsidR="009C5D0B" w:rsidRPr="00D52989">
        <w:t xml:space="preserve">: </w:t>
      </w:r>
    </w:p>
    <w:p w14:paraId="5F99B481" w14:textId="0219B9C4" w:rsidR="00D83048" w:rsidRPr="00D52989" w:rsidRDefault="00D83048" w:rsidP="000E5516">
      <w:pPr>
        <w:pStyle w:val="Normalnumber"/>
        <w:numPr>
          <w:ilvl w:val="1"/>
          <w:numId w:val="7"/>
        </w:numPr>
        <w:ind w:left="1247" w:firstLine="624"/>
      </w:pPr>
      <w:r w:rsidRPr="0051482F">
        <w:t xml:space="preserve">Rule 2 on the financial period </w:t>
      </w:r>
      <w:r w:rsidRPr="000A0EDA">
        <w:t>states that the</w:t>
      </w:r>
      <w:r w:rsidRPr="0051482F">
        <w:t xml:space="preserve"> financial period for the Convention shall be a calendar year, and that the biennial programme of work and budget shall normally consist of two consecutive calendar years, the first of which shall be an even year.</w:t>
      </w:r>
      <w:r w:rsidRPr="00D52989">
        <w:t xml:space="preserve"> The first programme of work and budget for the Convention is thus set for the </w:t>
      </w:r>
      <w:r w:rsidR="009B21C1" w:rsidRPr="00D52989">
        <w:t xml:space="preserve">biennium </w:t>
      </w:r>
      <w:r w:rsidRPr="00D52989">
        <w:t>2018</w:t>
      </w:r>
      <w:r w:rsidR="00330E8E" w:rsidRPr="00D52989">
        <w:t>–</w:t>
      </w:r>
      <w:r w:rsidRPr="00D52989">
        <w:t>2019</w:t>
      </w:r>
      <w:r w:rsidR="0082424A" w:rsidRPr="00D52989">
        <w:t>;</w:t>
      </w:r>
    </w:p>
    <w:p w14:paraId="26AE9E51" w14:textId="3AC584AB" w:rsidR="00D83048" w:rsidRPr="00D52989" w:rsidRDefault="00D83048" w:rsidP="000E5516">
      <w:pPr>
        <w:pStyle w:val="Normalnumber"/>
        <w:numPr>
          <w:ilvl w:val="1"/>
          <w:numId w:val="7"/>
        </w:numPr>
        <w:ind w:left="1247" w:firstLine="624"/>
      </w:pPr>
      <w:r w:rsidRPr="00D52989">
        <w:t>Rule 3 on budget s</w:t>
      </w:r>
      <w:r w:rsidR="00363316" w:rsidRPr="00D52989">
        <w:t>tipulates</w:t>
      </w:r>
      <w:r w:rsidRPr="00D52989">
        <w:t xml:space="preserve"> that the head of the secretariat of the Convention shall prepare budget estimates for the biennium in United States dollars</w:t>
      </w:r>
      <w:r w:rsidR="00330E8E" w:rsidRPr="00D52989">
        <w:t>,</w:t>
      </w:r>
      <w:r w:rsidRPr="00D52989">
        <w:t xml:space="preserve"> showing projected income and expenditures for each year. Following the mandate given by the Conference of Plenipotentiaries, the Principal Coordinator of the interim </w:t>
      </w:r>
      <w:r w:rsidR="00330E8E" w:rsidRPr="00D52989">
        <w:t>s</w:t>
      </w:r>
      <w:r w:rsidRPr="00D52989">
        <w:t xml:space="preserve">ecretariat, on behalf of the Executive Director of </w:t>
      </w:r>
      <w:r w:rsidR="00330E8E" w:rsidRPr="00D52989">
        <w:t>UNEP</w:t>
      </w:r>
      <w:r w:rsidRPr="00D52989">
        <w:t xml:space="preserve">, has set out the proposed programme of work and budget for the Convention for the </w:t>
      </w:r>
      <w:r w:rsidR="00330E8E" w:rsidRPr="00D52989">
        <w:t xml:space="preserve">biennium </w:t>
      </w:r>
      <w:r w:rsidRPr="00D52989">
        <w:t>2018</w:t>
      </w:r>
      <w:r w:rsidR="00330E8E" w:rsidRPr="00D52989">
        <w:t>–</w:t>
      </w:r>
      <w:r w:rsidRPr="00D52989">
        <w:t>2019</w:t>
      </w:r>
      <w:r w:rsidR="0082424A" w:rsidRPr="00D52989">
        <w:t>;</w:t>
      </w:r>
    </w:p>
    <w:p w14:paraId="13FC6105" w14:textId="35F45AA7" w:rsidR="00D83048" w:rsidRPr="00D52989" w:rsidRDefault="00D83048">
      <w:pPr>
        <w:pStyle w:val="Normalnumber"/>
        <w:numPr>
          <w:ilvl w:val="1"/>
          <w:numId w:val="7"/>
        </w:numPr>
        <w:ind w:left="1247" w:firstLine="624"/>
      </w:pPr>
      <w:r w:rsidRPr="00D52989">
        <w:t xml:space="preserve">Furthermore, </w:t>
      </w:r>
      <w:r w:rsidR="00330E8E" w:rsidRPr="00D52989">
        <w:t>r</w:t>
      </w:r>
      <w:r w:rsidRPr="00D52989">
        <w:t>ule 3</w:t>
      </w:r>
      <w:r w:rsidR="00363316" w:rsidRPr="00D52989">
        <w:t>, as drafted,</w:t>
      </w:r>
      <w:r w:rsidRPr="00D52989">
        <w:t xml:space="preserve"> states that the “budget should be presented in a programmatic format [harmonized with the format used by the secretariat</w:t>
      </w:r>
      <w:r w:rsidR="000A0EDA">
        <w:t>s</w:t>
      </w:r>
      <w:r w:rsidRPr="00D52989">
        <w:t xml:space="preserve"> of the </w:t>
      </w:r>
      <w:r w:rsidRPr="002A589A">
        <w:t>Basel</w:t>
      </w:r>
      <w:r w:rsidR="002A589A">
        <w:t xml:space="preserve"> Convention on the Control of </w:t>
      </w:r>
      <w:proofErr w:type="spellStart"/>
      <w:r w:rsidR="002A589A">
        <w:t>Transboundary</w:t>
      </w:r>
      <w:proofErr w:type="spellEnd"/>
      <w:r w:rsidR="002A589A">
        <w:t xml:space="preserve"> Movements of Hazardous Wastes and Their Disposal</w:t>
      </w:r>
      <w:r w:rsidRPr="002A589A">
        <w:t xml:space="preserve">, </w:t>
      </w:r>
      <w:r w:rsidR="002A589A">
        <w:t xml:space="preserve">the </w:t>
      </w:r>
      <w:r w:rsidRPr="002A589A">
        <w:t xml:space="preserve">Rotterdam </w:t>
      </w:r>
      <w:r w:rsidR="002A589A">
        <w:t xml:space="preserve">Convention on the Prior Informed Consent Procedure for Certain Hazardous Chemicals and Pesticides in International Trade </w:t>
      </w:r>
      <w:r w:rsidRPr="002A589A">
        <w:t>and</w:t>
      </w:r>
      <w:r w:rsidR="002A589A">
        <w:t xml:space="preserve"> the</w:t>
      </w:r>
      <w:r w:rsidRPr="002A589A">
        <w:t xml:space="preserve"> Stockholm Convention</w:t>
      </w:r>
      <w:r w:rsidR="002A589A">
        <w:t xml:space="preserve"> on Persistent Organic Pollutants</w:t>
      </w:r>
      <w:r w:rsidRPr="00D52989">
        <w:t xml:space="preserve">]”. The proposed programme of work and budget for the </w:t>
      </w:r>
      <w:proofErr w:type="spellStart"/>
      <w:r w:rsidRPr="00D52989">
        <w:t>Minamata</w:t>
      </w:r>
      <w:proofErr w:type="spellEnd"/>
      <w:r w:rsidRPr="00D52989">
        <w:t xml:space="preserve"> Convention </w:t>
      </w:r>
      <w:r w:rsidR="00330E8E" w:rsidRPr="00D52989">
        <w:t xml:space="preserve">on Mercury </w:t>
      </w:r>
      <w:r w:rsidRPr="00D52989">
        <w:t xml:space="preserve">for the </w:t>
      </w:r>
      <w:r w:rsidR="00330E8E" w:rsidRPr="00D52989">
        <w:t xml:space="preserve">biennium </w:t>
      </w:r>
      <w:r w:rsidR="008E4376">
        <w:br/>
      </w:r>
      <w:bookmarkStart w:id="4" w:name="_GoBack"/>
      <w:bookmarkEnd w:id="4"/>
      <w:r w:rsidRPr="00D52989">
        <w:t>2018</w:t>
      </w:r>
      <w:r w:rsidR="00330E8E" w:rsidRPr="00D52989">
        <w:t>–</w:t>
      </w:r>
      <w:r w:rsidRPr="00D52989">
        <w:t xml:space="preserve">2019 </w:t>
      </w:r>
      <w:r w:rsidR="00330E8E" w:rsidRPr="00D52989">
        <w:t xml:space="preserve">indeed </w:t>
      </w:r>
      <w:r w:rsidRPr="00D52989">
        <w:t>follow</w:t>
      </w:r>
      <w:r w:rsidR="00330E8E" w:rsidRPr="00D52989">
        <w:t xml:space="preserve"> the</w:t>
      </w:r>
      <w:r w:rsidRPr="00D52989">
        <w:t xml:space="preserve"> format used by the </w:t>
      </w:r>
      <w:r w:rsidR="00330E8E" w:rsidRPr="00D52989">
        <w:t>above-mentioned</w:t>
      </w:r>
      <w:r w:rsidRPr="00D52989">
        <w:t xml:space="preserve"> </w:t>
      </w:r>
      <w:r w:rsidR="00EB6816">
        <w:t>c</w:t>
      </w:r>
      <w:r w:rsidRPr="00D52989">
        <w:t>onventions</w:t>
      </w:r>
      <w:r w:rsidR="0082424A" w:rsidRPr="00D52989">
        <w:t>;</w:t>
      </w:r>
      <w:r w:rsidRPr="00D52989">
        <w:t xml:space="preserve"> </w:t>
      </w:r>
    </w:p>
    <w:p w14:paraId="5422BD41" w14:textId="09E70C4F" w:rsidR="00D83048" w:rsidRPr="00A74337" w:rsidRDefault="00D83048" w:rsidP="000E5516">
      <w:pPr>
        <w:pStyle w:val="Normalnumber"/>
        <w:numPr>
          <w:ilvl w:val="1"/>
          <w:numId w:val="7"/>
        </w:numPr>
        <w:ind w:left="1247" w:firstLine="624"/>
      </w:pPr>
      <w:r w:rsidRPr="00D52989">
        <w:t>Rule 3 also stipulates that the Conference of</w:t>
      </w:r>
      <w:r w:rsidR="00330E8E" w:rsidRPr="00D52989">
        <w:t xml:space="preserve"> the</w:t>
      </w:r>
      <w:r w:rsidRPr="00D52989">
        <w:t xml:space="preserve"> Parties shall consider and adopt an operational budget prior to the commencement of the financial period </w:t>
      </w:r>
      <w:r w:rsidR="00604019">
        <w:t xml:space="preserve">covered by </w:t>
      </w:r>
      <w:r w:rsidRPr="00D52989">
        <w:t xml:space="preserve">the budget. As the first meeting of the Conference of the Parties convenes in </w:t>
      </w:r>
      <w:r w:rsidRPr="00241415">
        <w:t xml:space="preserve">September 2017, the Conference </w:t>
      </w:r>
      <w:r w:rsidR="00EB6816" w:rsidRPr="00241415">
        <w:t xml:space="preserve">of the Parties </w:t>
      </w:r>
      <w:r w:rsidRPr="00241415">
        <w:t>will be able to adhere to th</w:t>
      </w:r>
      <w:r w:rsidR="00604019" w:rsidRPr="00241415">
        <w:t>at</w:t>
      </w:r>
      <w:r w:rsidRPr="00241415">
        <w:t xml:space="preserve"> stipulation for the </w:t>
      </w:r>
      <w:r w:rsidR="00330E8E" w:rsidRPr="00241415">
        <w:t xml:space="preserve">biennium </w:t>
      </w:r>
      <w:r w:rsidRPr="00241415">
        <w:t>2018</w:t>
      </w:r>
      <w:r w:rsidR="00330E8E" w:rsidRPr="00241415">
        <w:t>–</w:t>
      </w:r>
      <w:r w:rsidRPr="00241415">
        <w:t xml:space="preserve">2019. The operational budget </w:t>
      </w:r>
      <w:r w:rsidR="00330E8E" w:rsidRPr="00241415">
        <w:t xml:space="preserve">for the biennium 2018–2019 </w:t>
      </w:r>
      <w:r w:rsidRPr="00241415">
        <w:t xml:space="preserve">can be considered and adopted at the first meeting of the Conference of </w:t>
      </w:r>
      <w:r w:rsidR="00330E8E" w:rsidRPr="00241415">
        <w:t xml:space="preserve">the </w:t>
      </w:r>
      <w:r w:rsidRPr="00241415">
        <w:t>Parties in September 2017</w:t>
      </w:r>
      <w:r w:rsidR="0082424A" w:rsidRPr="00241415">
        <w:t>;</w:t>
      </w:r>
      <w:r w:rsidRPr="00241415">
        <w:t xml:space="preserve"> </w:t>
      </w:r>
    </w:p>
    <w:p w14:paraId="53C3488B" w14:textId="39D96E7C" w:rsidR="00D83048" w:rsidRPr="00D52989" w:rsidRDefault="00D83048" w:rsidP="000E5516">
      <w:pPr>
        <w:pStyle w:val="Normalnumber"/>
        <w:numPr>
          <w:ilvl w:val="1"/>
          <w:numId w:val="7"/>
        </w:numPr>
        <w:ind w:left="1247" w:firstLine="624"/>
      </w:pPr>
      <w:r w:rsidRPr="00D52989">
        <w:t xml:space="preserve">Rule 4 stipulates that a </w:t>
      </w:r>
      <w:r w:rsidR="001A7E34" w:rsidRPr="004B6386">
        <w:t>g</w:t>
      </w:r>
      <w:r w:rsidRPr="004B6386">
        <w:t xml:space="preserve">eneral </w:t>
      </w:r>
      <w:r w:rsidR="001A7E34" w:rsidRPr="004B6386">
        <w:t>t</w:t>
      </w:r>
      <w:r w:rsidRPr="004B6386">
        <w:t xml:space="preserve">rust </w:t>
      </w:r>
      <w:r w:rsidR="001A7E34" w:rsidRPr="004B6386">
        <w:t>f</w:t>
      </w:r>
      <w:r w:rsidRPr="004B6386">
        <w:t>und</w:t>
      </w:r>
      <w:r w:rsidRPr="00D52989">
        <w:t xml:space="preserve"> is to be established by the Executive Director of </w:t>
      </w:r>
      <w:r w:rsidR="001A7E34" w:rsidRPr="00D52989">
        <w:t>UNEP</w:t>
      </w:r>
      <w:r w:rsidRPr="00D52989">
        <w:t xml:space="preserve"> and managed by the head of the </w:t>
      </w:r>
      <w:r w:rsidR="001A7E34" w:rsidRPr="00D52989">
        <w:t>s</w:t>
      </w:r>
      <w:r w:rsidRPr="00D52989">
        <w:t xml:space="preserve">ecretariat. The </w:t>
      </w:r>
      <w:r w:rsidR="001A7E34" w:rsidRPr="00D52989">
        <w:t>g</w:t>
      </w:r>
      <w:r w:rsidRPr="00D52989">
        <w:t xml:space="preserve">eneral </w:t>
      </w:r>
      <w:r w:rsidR="001A7E34" w:rsidRPr="00D52989">
        <w:t>t</w:t>
      </w:r>
      <w:r w:rsidRPr="00D52989">
        <w:t xml:space="preserve">rust </w:t>
      </w:r>
      <w:r w:rsidR="001A7E34" w:rsidRPr="00D52989">
        <w:t>f</w:t>
      </w:r>
      <w:r w:rsidRPr="00D52989">
        <w:t>und is to provide financial support for the work of the Convention secretariat</w:t>
      </w:r>
      <w:r w:rsidR="0082424A" w:rsidRPr="00D52989">
        <w:t>;</w:t>
      </w:r>
    </w:p>
    <w:p w14:paraId="05C2E5D9" w14:textId="45548E69" w:rsidR="00D83048" w:rsidRPr="00D52989" w:rsidRDefault="00D83048" w:rsidP="000E5516">
      <w:pPr>
        <w:pStyle w:val="Normalnumber"/>
        <w:numPr>
          <w:ilvl w:val="1"/>
          <w:numId w:val="7"/>
        </w:numPr>
        <w:ind w:left="1247" w:firstLine="624"/>
      </w:pPr>
      <w:r w:rsidRPr="00D52989">
        <w:lastRenderedPageBreak/>
        <w:t xml:space="preserve">Rule 4 further stipulates that a voluntary </w:t>
      </w:r>
      <w:r w:rsidR="001A7E34" w:rsidRPr="00D52989">
        <w:t>s</w:t>
      </w:r>
      <w:r w:rsidRPr="00D52989">
        <w:t xml:space="preserve">pecial </w:t>
      </w:r>
      <w:r w:rsidR="001A7E34" w:rsidRPr="00D52989">
        <w:t>t</w:t>
      </w:r>
      <w:r w:rsidRPr="00D52989">
        <w:t xml:space="preserve">rust </w:t>
      </w:r>
      <w:r w:rsidR="001A7E34" w:rsidRPr="00D52989">
        <w:t>f</w:t>
      </w:r>
      <w:r w:rsidRPr="00D52989">
        <w:t xml:space="preserve">und shall also be established by the Executive </w:t>
      </w:r>
      <w:r w:rsidRPr="00241415">
        <w:t xml:space="preserve">Director and managed by the head of the </w:t>
      </w:r>
      <w:r w:rsidR="001A7E34" w:rsidRPr="00241415">
        <w:t>s</w:t>
      </w:r>
      <w:r w:rsidRPr="00241415">
        <w:t xml:space="preserve">ecretariat. The specifics pertaining to the use of the </w:t>
      </w:r>
      <w:r w:rsidR="001A7E34" w:rsidRPr="00241415">
        <w:t>s</w:t>
      </w:r>
      <w:r w:rsidRPr="00241415">
        <w:t xml:space="preserve">pecial </w:t>
      </w:r>
      <w:r w:rsidR="001A7E34" w:rsidRPr="00241415">
        <w:t>t</w:t>
      </w:r>
      <w:r w:rsidRPr="00241415">
        <w:t xml:space="preserve">rust </w:t>
      </w:r>
      <w:r w:rsidR="001A7E34" w:rsidRPr="00241415">
        <w:t>f</w:t>
      </w:r>
      <w:r w:rsidRPr="00241415">
        <w:t xml:space="preserve">und are </w:t>
      </w:r>
      <w:r w:rsidR="00604019" w:rsidRPr="00241415">
        <w:t xml:space="preserve">yet </w:t>
      </w:r>
      <w:r w:rsidRPr="00241415">
        <w:t>to be finali</w:t>
      </w:r>
      <w:r w:rsidR="001A7E34" w:rsidRPr="00241415">
        <w:t>zed</w:t>
      </w:r>
      <w:r w:rsidR="00604019" w:rsidRPr="00241415">
        <w:t>,</w:t>
      </w:r>
      <w:r w:rsidRPr="00241415">
        <w:t xml:space="preserve"> but the </w:t>
      </w:r>
      <w:r w:rsidR="001A7E34" w:rsidRPr="00241415">
        <w:t>f</w:t>
      </w:r>
      <w:r w:rsidRPr="00241415">
        <w:t xml:space="preserve">und will support </w:t>
      </w:r>
      <w:r w:rsidR="001A7E34" w:rsidRPr="00241415">
        <w:t>a</w:t>
      </w:r>
      <w:r w:rsidRPr="00241415">
        <w:t xml:space="preserve">rticle 14 of the Convention. Furthermore, the </w:t>
      </w:r>
      <w:r w:rsidR="001A7E34" w:rsidRPr="00241415">
        <w:t>f</w:t>
      </w:r>
      <w:r w:rsidRPr="00241415">
        <w:t xml:space="preserve">und will provide support for the participation of representatives of </w:t>
      </w:r>
      <w:r w:rsidR="00A74337" w:rsidRPr="00241415">
        <w:t>developing country</w:t>
      </w:r>
      <w:r w:rsidR="0051482F" w:rsidRPr="00241415">
        <w:t xml:space="preserve"> parties</w:t>
      </w:r>
      <w:r w:rsidRPr="00241415">
        <w:t xml:space="preserve">, in particular </w:t>
      </w:r>
      <w:r w:rsidR="00A74337" w:rsidRPr="00241415">
        <w:t xml:space="preserve">those from </w:t>
      </w:r>
      <w:r w:rsidRPr="00241415">
        <w:t>least</w:t>
      </w:r>
      <w:r w:rsidR="001A7E34" w:rsidRPr="00241415">
        <w:t xml:space="preserve"> </w:t>
      </w:r>
      <w:r w:rsidRPr="00241415">
        <w:t xml:space="preserve">developed countries and small island developing States, and </w:t>
      </w:r>
      <w:r w:rsidR="001A7E34" w:rsidRPr="00241415">
        <w:t>p</w:t>
      </w:r>
      <w:r w:rsidRPr="00241415">
        <w:t>arties with economies in transition</w:t>
      </w:r>
      <w:r w:rsidR="0082424A" w:rsidRPr="00241415">
        <w:t>,</w:t>
      </w:r>
      <w:r w:rsidRPr="00241415">
        <w:t xml:space="preserve"> in the meetings of the Conference and its subsidiary bodies</w:t>
      </w:r>
      <w:r w:rsidR="0082424A" w:rsidRPr="00241415">
        <w:t>;</w:t>
      </w:r>
      <w:r w:rsidRPr="00D52989">
        <w:t xml:space="preserve"> </w:t>
      </w:r>
    </w:p>
    <w:p w14:paraId="451016D2" w14:textId="57E83DE4" w:rsidR="009C5D0B" w:rsidRPr="00D52989" w:rsidRDefault="00D83048">
      <w:pPr>
        <w:pStyle w:val="Normalnumber"/>
        <w:numPr>
          <w:ilvl w:val="1"/>
          <w:numId w:val="7"/>
        </w:numPr>
        <w:ind w:left="1247" w:firstLine="624"/>
      </w:pPr>
      <w:r w:rsidRPr="00D52989">
        <w:t>Rule 5 sets out the resources of the Conference</w:t>
      </w:r>
      <w:r w:rsidR="00E93B2D">
        <w:t xml:space="preserve"> of the Parties</w:t>
      </w:r>
      <w:r w:rsidRPr="00D52989">
        <w:t xml:space="preserve"> and</w:t>
      </w:r>
      <w:r w:rsidR="00E93B2D">
        <w:t xml:space="preserve"> pr</w:t>
      </w:r>
      <w:r w:rsidR="00A74337">
        <w:t>ovides</w:t>
      </w:r>
      <w:r w:rsidRPr="00D52989">
        <w:t xml:space="preserve"> that the resource base of the Convention shall comprise</w:t>
      </w:r>
      <w:r w:rsidR="001E4049" w:rsidRPr="00D52989">
        <w:t xml:space="preserve"> </w:t>
      </w:r>
      <w:r w:rsidRPr="00D52989">
        <w:t xml:space="preserve">contributions made each year by </w:t>
      </w:r>
      <w:r w:rsidR="001A7E34" w:rsidRPr="00D52989">
        <w:t>p</w:t>
      </w:r>
      <w:r w:rsidRPr="00D52989">
        <w:t xml:space="preserve">arties on the basis of an indicative scale adopted by consensus by the Conference, and based on a scale of assessment of the United Nations as adopted from time to time by the General Assembly. </w:t>
      </w:r>
      <w:r w:rsidR="00363316" w:rsidRPr="00D52989">
        <w:t>T</w:t>
      </w:r>
      <w:r w:rsidRPr="00D52989">
        <w:t>he resource base of the Conference may also include a host</w:t>
      </w:r>
      <w:r w:rsidR="0082424A" w:rsidRPr="00D52989">
        <w:t xml:space="preserve"> </w:t>
      </w:r>
      <w:r w:rsidRPr="00D52989">
        <w:t xml:space="preserve">country contribution, </w:t>
      </w:r>
      <w:r w:rsidR="00573740" w:rsidRPr="00D52989">
        <w:t>as well as</w:t>
      </w:r>
      <w:r w:rsidRPr="00D52989">
        <w:t xml:space="preserve"> further contributions by </w:t>
      </w:r>
      <w:r w:rsidR="001A7E34" w:rsidRPr="00D52989">
        <w:t>p</w:t>
      </w:r>
      <w:r w:rsidRPr="00D52989">
        <w:t>arties</w:t>
      </w:r>
      <w:r w:rsidR="00363316" w:rsidRPr="00D52989">
        <w:t xml:space="preserve"> and</w:t>
      </w:r>
      <w:r w:rsidRPr="00D52989">
        <w:t xml:space="preserve"> States that are no</w:t>
      </w:r>
      <w:r w:rsidR="0082424A" w:rsidRPr="00D52989">
        <w:t xml:space="preserve">t </w:t>
      </w:r>
      <w:r w:rsidR="001A7E34" w:rsidRPr="00D52989">
        <w:t>p</w:t>
      </w:r>
      <w:r w:rsidRPr="00D52989">
        <w:t>arties</w:t>
      </w:r>
      <w:r w:rsidR="0082424A" w:rsidRPr="00D52989">
        <w:t xml:space="preserve"> to the Convention</w:t>
      </w:r>
      <w:r w:rsidRPr="00D52989">
        <w:t xml:space="preserve"> </w:t>
      </w:r>
      <w:r w:rsidR="00363316" w:rsidRPr="00D52989">
        <w:t>and</w:t>
      </w:r>
      <w:r w:rsidRPr="00D52989">
        <w:t xml:space="preserve"> contributions from governmental, intergovernmental and non-governmental organi</w:t>
      </w:r>
      <w:r w:rsidR="001A7E34" w:rsidRPr="00D52989">
        <w:t>zations</w:t>
      </w:r>
      <w:r w:rsidR="0082424A" w:rsidRPr="00D52989">
        <w:t>;</w:t>
      </w:r>
      <w:r w:rsidRPr="00D52989">
        <w:t xml:space="preserve"> </w:t>
      </w:r>
    </w:p>
    <w:p w14:paraId="14841FC1" w14:textId="403CD061" w:rsidR="00573740" w:rsidRPr="00D52989" w:rsidRDefault="00573740" w:rsidP="000E5516">
      <w:pPr>
        <w:pStyle w:val="Normalnumber"/>
        <w:numPr>
          <w:ilvl w:val="1"/>
          <w:numId w:val="7"/>
        </w:numPr>
        <w:ind w:left="1247" w:firstLine="624"/>
      </w:pPr>
      <w:r w:rsidRPr="00D52989">
        <w:t>Rule 5 also provides for the distribution of a host</w:t>
      </w:r>
      <w:r w:rsidR="0082424A" w:rsidRPr="00D52989">
        <w:t xml:space="preserve"> </w:t>
      </w:r>
      <w:r w:rsidRPr="00D52989">
        <w:t xml:space="preserve">country contribution between the </w:t>
      </w:r>
      <w:r w:rsidR="001A7E34" w:rsidRPr="00D52989">
        <w:t>g</w:t>
      </w:r>
      <w:r w:rsidRPr="00D52989">
        <w:t xml:space="preserve">eneral </w:t>
      </w:r>
      <w:r w:rsidR="001A7E34" w:rsidRPr="00D52989">
        <w:t>t</w:t>
      </w:r>
      <w:r w:rsidRPr="00D52989">
        <w:t xml:space="preserve">rust </w:t>
      </w:r>
      <w:r w:rsidR="001A7E34" w:rsidRPr="00D52989">
        <w:t>f</w:t>
      </w:r>
      <w:r w:rsidRPr="00D52989">
        <w:t xml:space="preserve">und and the voluntary </w:t>
      </w:r>
      <w:r w:rsidR="001A7E34" w:rsidRPr="00D52989">
        <w:t>s</w:t>
      </w:r>
      <w:r w:rsidRPr="00D52989">
        <w:t xml:space="preserve">pecial </w:t>
      </w:r>
      <w:r w:rsidR="001A7E34" w:rsidRPr="00D52989">
        <w:t>t</w:t>
      </w:r>
      <w:r w:rsidRPr="00D52989">
        <w:t xml:space="preserve">rust </w:t>
      </w:r>
      <w:r w:rsidR="001A7E34" w:rsidRPr="00D52989">
        <w:t>f</w:t>
      </w:r>
      <w:r w:rsidRPr="00D52989">
        <w:t>und. The ratio of th</w:t>
      </w:r>
      <w:r w:rsidR="0082424A" w:rsidRPr="00D52989">
        <w:t>at</w:t>
      </w:r>
      <w:r w:rsidRPr="00D52989">
        <w:t xml:space="preserve"> distribution has not yet been agreed, and the percentages are currently in brackets. </w:t>
      </w:r>
    </w:p>
    <w:p w14:paraId="17B6949E" w14:textId="3B51CD0C" w:rsidR="00E40A4B" w:rsidRPr="00D52989" w:rsidRDefault="00E40A4B" w:rsidP="0033544C">
      <w:pPr>
        <w:pStyle w:val="Normalnumber"/>
        <w:tabs>
          <w:tab w:val="left" w:pos="1701"/>
          <w:tab w:val="left" w:pos="2552"/>
        </w:tabs>
        <w:ind w:left="1247" w:firstLine="13"/>
      </w:pPr>
      <w:r w:rsidRPr="00D52989">
        <w:t>Following the first meeting of the Conference</w:t>
      </w:r>
      <w:r w:rsidR="004B6386">
        <w:t xml:space="preserve"> of the Parties</w:t>
      </w:r>
      <w:r w:rsidRPr="00D52989">
        <w:t xml:space="preserve">, the </w:t>
      </w:r>
      <w:r w:rsidR="001A7E34" w:rsidRPr="00D52989">
        <w:t>g</w:t>
      </w:r>
      <w:r w:rsidR="00D83048" w:rsidRPr="00D52989">
        <w:t xml:space="preserve">eneral </w:t>
      </w:r>
      <w:r w:rsidR="001A7E34" w:rsidRPr="00D52989">
        <w:t>t</w:t>
      </w:r>
      <w:r w:rsidR="00D83048" w:rsidRPr="00D52989">
        <w:t xml:space="preserve">rust </w:t>
      </w:r>
      <w:r w:rsidR="001A7E34" w:rsidRPr="00D52989">
        <w:t>f</w:t>
      </w:r>
      <w:r w:rsidRPr="00D52989">
        <w:t xml:space="preserve">und and the voluntary </w:t>
      </w:r>
      <w:r w:rsidR="001A7E34" w:rsidRPr="00D52989">
        <w:t>s</w:t>
      </w:r>
      <w:r w:rsidRPr="00D52989">
        <w:t xml:space="preserve">pecial </w:t>
      </w:r>
      <w:r w:rsidR="001A7E34" w:rsidRPr="00D52989">
        <w:t>t</w:t>
      </w:r>
      <w:r w:rsidRPr="00D52989">
        <w:t xml:space="preserve">rust </w:t>
      </w:r>
      <w:r w:rsidR="001A7E34" w:rsidRPr="00D52989">
        <w:t>f</w:t>
      </w:r>
      <w:r w:rsidRPr="00D52989">
        <w:t xml:space="preserve">und will be created </w:t>
      </w:r>
      <w:r w:rsidR="00D83048" w:rsidRPr="00D52989">
        <w:t>by</w:t>
      </w:r>
      <w:r w:rsidRPr="00D52989">
        <w:t xml:space="preserve"> the United Nations Co</w:t>
      </w:r>
      <w:r w:rsidR="001E4049" w:rsidRPr="00D52989">
        <w:t>n</w:t>
      </w:r>
      <w:r w:rsidRPr="00D52989">
        <w:t xml:space="preserve">troller </w:t>
      </w:r>
      <w:r w:rsidRPr="00D52989">
        <w:rPr>
          <w:bCs/>
        </w:rPr>
        <w:t xml:space="preserve">in New York through the </w:t>
      </w:r>
      <w:r w:rsidRPr="00D52989">
        <w:t>Corporate</w:t>
      </w:r>
      <w:r w:rsidRPr="00D52989">
        <w:rPr>
          <w:bCs/>
        </w:rPr>
        <w:t xml:space="preserve"> Services Division </w:t>
      </w:r>
      <w:r w:rsidR="00D83048" w:rsidRPr="00D52989">
        <w:rPr>
          <w:bCs/>
        </w:rPr>
        <w:t xml:space="preserve">on behalf of the Executive Director </w:t>
      </w:r>
      <w:r w:rsidRPr="00D52989">
        <w:rPr>
          <w:bCs/>
        </w:rPr>
        <w:t>of</w:t>
      </w:r>
      <w:r w:rsidRPr="00D52989">
        <w:t xml:space="preserve"> </w:t>
      </w:r>
      <w:r w:rsidR="001A7E34" w:rsidRPr="00D52989">
        <w:t>UNEP</w:t>
      </w:r>
      <w:r w:rsidR="00D83048" w:rsidRPr="00D52989">
        <w:t xml:space="preserve">. </w:t>
      </w:r>
    </w:p>
    <w:p w14:paraId="619BD0D3" w14:textId="69A88FDE" w:rsidR="00551A8D" w:rsidRPr="00D52989" w:rsidRDefault="001C7D10" w:rsidP="001C7D10">
      <w:pPr>
        <w:pStyle w:val="CH2"/>
      </w:pPr>
      <w:r w:rsidRPr="00D52989">
        <w:tab/>
        <w:t xml:space="preserve">B. </w:t>
      </w:r>
      <w:r w:rsidRPr="00D52989">
        <w:tab/>
        <w:t>Key decision</w:t>
      </w:r>
      <w:r w:rsidR="00E57D29" w:rsidRPr="00D52989">
        <w:t>s</w:t>
      </w:r>
      <w:r w:rsidRPr="00D52989">
        <w:t xml:space="preserve"> by the Conference of the Parties </w:t>
      </w:r>
      <w:r w:rsidR="00E63E6A" w:rsidRPr="00D52989">
        <w:t xml:space="preserve">that </w:t>
      </w:r>
      <w:r w:rsidR="002F76F2">
        <w:t xml:space="preserve">have an </w:t>
      </w:r>
      <w:r w:rsidR="00E63E6A" w:rsidRPr="00D52989">
        <w:t xml:space="preserve">impact </w:t>
      </w:r>
      <w:r w:rsidR="002F76F2">
        <w:t xml:space="preserve">on </w:t>
      </w:r>
      <w:r w:rsidR="00495F8E" w:rsidRPr="00D52989">
        <w:t xml:space="preserve">the </w:t>
      </w:r>
      <w:r w:rsidR="00F52998" w:rsidRPr="00D52989">
        <w:t xml:space="preserve">proposed </w:t>
      </w:r>
      <w:r w:rsidR="00495F8E" w:rsidRPr="00D52989">
        <w:t xml:space="preserve">budget of the </w:t>
      </w:r>
      <w:proofErr w:type="spellStart"/>
      <w:r w:rsidR="00495F8E" w:rsidRPr="00D52989">
        <w:t>Minamata</w:t>
      </w:r>
      <w:proofErr w:type="spellEnd"/>
      <w:r w:rsidR="00495F8E" w:rsidRPr="00D52989">
        <w:t xml:space="preserve"> Convention</w:t>
      </w:r>
      <w:r w:rsidR="000A7CE7" w:rsidRPr="00D52989">
        <w:t xml:space="preserve"> </w:t>
      </w:r>
    </w:p>
    <w:p w14:paraId="1FCFFC7B" w14:textId="039B3550" w:rsidR="006E1A6B" w:rsidRPr="00D52989" w:rsidRDefault="008762E1">
      <w:pPr>
        <w:pStyle w:val="Normalnumber"/>
        <w:ind w:left="1247" w:firstLine="0"/>
      </w:pPr>
      <w:r w:rsidRPr="00D52989">
        <w:t>The</w:t>
      </w:r>
      <w:r w:rsidR="00E64438" w:rsidRPr="00D52989">
        <w:t xml:space="preserve"> proposed budget is a work in progress and will evolve in </w:t>
      </w:r>
      <w:r w:rsidR="001E4049" w:rsidRPr="00D52989">
        <w:t xml:space="preserve">the </w:t>
      </w:r>
      <w:r w:rsidR="00E64438" w:rsidRPr="00D52989">
        <w:t xml:space="preserve">light of </w:t>
      </w:r>
      <w:r w:rsidR="00495F8E" w:rsidRPr="00D52989">
        <w:t>decision</w:t>
      </w:r>
      <w:r w:rsidR="00E9204A" w:rsidRPr="00D52989">
        <w:t xml:space="preserve">s </w:t>
      </w:r>
      <w:r w:rsidR="00495F8E" w:rsidRPr="00D52989">
        <w:t xml:space="preserve">taken by the first meeting of the </w:t>
      </w:r>
      <w:r w:rsidR="00F35159" w:rsidRPr="00D52989">
        <w:t>Conference</w:t>
      </w:r>
      <w:r w:rsidR="000D7C58" w:rsidRPr="00D52989">
        <w:t xml:space="preserve"> of the Parties</w:t>
      </w:r>
      <w:r w:rsidR="00E9204A" w:rsidRPr="00D52989">
        <w:t>. Of th</w:t>
      </w:r>
      <w:r w:rsidR="00A5054E" w:rsidRPr="00D52989">
        <w:t>ose</w:t>
      </w:r>
      <w:r w:rsidR="00E9204A" w:rsidRPr="00D52989">
        <w:t xml:space="preserve"> decisions, two in </w:t>
      </w:r>
      <w:r w:rsidR="00973AA4" w:rsidRPr="00D52989">
        <w:t xml:space="preserve">particular </w:t>
      </w:r>
      <w:r w:rsidR="009C7BA7">
        <w:t xml:space="preserve">have an </w:t>
      </w:r>
      <w:r w:rsidR="00EA4C03" w:rsidRPr="00D52989">
        <w:t xml:space="preserve">impact </w:t>
      </w:r>
      <w:r w:rsidR="00973AA4">
        <w:t xml:space="preserve">on </w:t>
      </w:r>
      <w:r w:rsidR="00EA4C03" w:rsidRPr="00D52989">
        <w:t xml:space="preserve">the overall budget for the </w:t>
      </w:r>
      <w:proofErr w:type="spellStart"/>
      <w:r w:rsidR="00EA4C03" w:rsidRPr="00D52989">
        <w:t>Minamata</w:t>
      </w:r>
      <w:proofErr w:type="spellEnd"/>
      <w:r w:rsidR="00EA4C03" w:rsidRPr="00D52989">
        <w:t xml:space="preserve"> Convention</w:t>
      </w:r>
      <w:r w:rsidR="000D7C58" w:rsidRPr="00D52989">
        <w:t>: those relating to</w:t>
      </w:r>
      <w:r w:rsidR="002142CD" w:rsidRPr="00D52989">
        <w:t xml:space="preserve"> </w:t>
      </w:r>
      <w:r w:rsidR="003D2A32" w:rsidRPr="00D52989">
        <w:t>the</w:t>
      </w:r>
      <w:r w:rsidR="00B801E1" w:rsidRPr="00D52989">
        <w:t xml:space="preserve"> </w:t>
      </w:r>
      <w:r w:rsidR="0028685F" w:rsidRPr="00D52989">
        <w:t>arrangement</w:t>
      </w:r>
      <w:r w:rsidR="00495F8E" w:rsidRPr="00D52989">
        <w:t xml:space="preserve">s for </w:t>
      </w:r>
      <w:r w:rsidR="00CE20C9" w:rsidRPr="00D52989">
        <w:t xml:space="preserve">and the location of </w:t>
      </w:r>
      <w:r w:rsidR="00495F8E" w:rsidRPr="00D52989">
        <w:t>the permanent secretariat</w:t>
      </w:r>
      <w:r w:rsidR="0028685F" w:rsidRPr="00D52989">
        <w:t xml:space="preserve">. </w:t>
      </w:r>
    </w:p>
    <w:p w14:paraId="75BFE6E4" w14:textId="1E4CC937" w:rsidR="00733979" w:rsidRPr="00D52989" w:rsidRDefault="000D7C58" w:rsidP="00C03273">
      <w:pPr>
        <w:pStyle w:val="Normalnumber"/>
        <w:ind w:left="1247" w:firstLine="0"/>
      </w:pPr>
      <w:r w:rsidRPr="00D52989">
        <w:t>In</w:t>
      </w:r>
      <w:r w:rsidR="001D7A26" w:rsidRPr="00D52989">
        <w:t xml:space="preserve"> p</w:t>
      </w:r>
      <w:r w:rsidR="0037643A" w:rsidRPr="00D52989">
        <w:t xml:space="preserve">aragraph 9 of </w:t>
      </w:r>
      <w:r w:rsidRPr="00D52989">
        <w:t xml:space="preserve">the </w:t>
      </w:r>
      <w:r w:rsidR="00CE20C9" w:rsidRPr="006944AB">
        <w:t>r</w:t>
      </w:r>
      <w:r w:rsidR="0037643A" w:rsidRPr="006944AB">
        <w:t xml:space="preserve">esolution </w:t>
      </w:r>
      <w:r w:rsidRPr="006944AB">
        <w:t>on</w:t>
      </w:r>
      <w:r w:rsidR="0037643A" w:rsidRPr="006944AB">
        <w:t xml:space="preserve"> arrangements</w:t>
      </w:r>
      <w:r w:rsidR="0037643A" w:rsidRPr="00D52989">
        <w:t xml:space="preserve"> in the interim period, </w:t>
      </w:r>
      <w:r w:rsidR="006446F0" w:rsidRPr="00D52989">
        <w:t xml:space="preserve">the </w:t>
      </w:r>
      <w:r w:rsidR="003466ED" w:rsidRPr="00D52989">
        <w:t xml:space="preserve">Conference of Plenipotentiaries requested the </w:t>
      </w:r>
      <w:r w:rsidR="006446F0" w:rsidRPr="00D52989">
        <w:t xml:space="preserve">Executive Director </w:t>
      </w:r>
      <w:r w:rsidR="003466ED" w:rsidRPr="00D52989">
        <w:t xml:space="preserve">to present </w:t>
      </w:r>
      <w:r w:rsidR="006446F0" w:rsidRPr="00D52989">
        <w:t>a report on proposals on how he or she w</w:t>
      </w:r>
      <w:r w:rsidR="00EC5CF4">
        <w:t>ould</w:t>
      </w:r>
      <w:r w:rsidR="006E1A6B" w:rsidRPr="00D52989">
        <w:t xml:space="preserve"> arrange to</w:t>
      </w:r>
      <w:r w:rsidR="006446F0" w:rsidRPr="00D52989">
        <w:t xml:space="preserve"> perform </w:t>
      </w:r>
      <w:r w:rsidR="006D5F3A" w:rsidRPr="00D52989">
        <w:t xml:space="preserve">the functions of the permanent </w:t>
      </w:r>
      <w:r w:rsidR="002142CD" w:rsidRPr="00D52989">
        <w:t>s</w:t>
      </w:r>
      <w:r w:rsidR="006446F0" w:rsidRPr="00D52989">
        <w:t xml:space="preserve">ecretariat for the Convention. </w:t>
      </w:r>
    </w:p>
    <w:p w14:paraId="159F05E8" w14:textId="30226EF6" w:rsidR="006446F0" w:rsidRPr="00D52989" w:rsidRDefault="003466ED" w:rsidP="00B2342E">
      <w:pPr>
        <w:pStyle w:val="Normalnumber"/>
        <w:ind w:left="1247" w:firstLine="0"/>
      </w:pPr>
      <w:r w:rsidRPr="00D52989">
        <w:t xml:space="preserve">The intergovernmental negotiating </w:t>
      </w:r>
      <w:r w:rsidRPr="00B2342E">
        <w:t>committee</w:t>
      </w:r>
      <w:r w:rsidR="003877DF" w:rsidRPr="00B2342E">
        <w:t xml:space="preserve"> </w:t>
      </w:r>
      <w:r w:rsidRPr="00B2342E">
        <w:t>considered</w:t>
      </w:r>
      <w:r w:rsidRPr="00D52989">
        <w:t xml:space="preserve"> the </w:t>
      </w:r>
      <w:r w:rsidR="006446F0" w:rsidRPr="00D52989">
        <w:t>Executive Director’s report</w:t>
      </w:r>
      <w:r w:rsidR="000D7C58" w:rsidRPr="00D52989">
        <w:t xml:space="preserve"> (</w:t>
      </w:r>
      <w:proofErr w:type="gramStart"/>
      <w:r w:rsidR="000D7C58" w:rsidRPr="00D52989">
        <w:t>UNEP(</w:t>
      </w:r>
      <w:proofErr w:type="gramEnd"/>
      <w:r w:rsidR="000D7C58" w:rsidRPr="00D52989">
        <w:t>DTIE)/Hg/INC.7/</w:t>
      </w:r>
      <w:r w:rsidR="00C17806" w:rsidRPr="00D52989">
        <w:t>15, annex)</w:t>
      </w:r>
      <w:r w:rsidR="006446F0" w:rsidRPr="00D52989">
        <w:t xml:space="preserve"> </w:t>
      </w:r>
      <w:r w:rsidR="00733979" w:rsidRPr="00D52989">
        <w:t>at its seventh session. Th</w:t>
      </w:r>
      <w:r w:rsidR="000D7C58" w:rsidRPr="00D52989">
        <w:t xml:space="preserve">e </w:t>
      </w:r>
      <w:r w:rsidR="00733979" w:rsidRPr="00D52989">
        <w:t xml:space="preserve">report </w:t>
      </w:r>
      <w:r w:rsidRPr="00D52989">
        <w:t>included</w:t>
      </w:r>
      <w:r w:rsidR="006446F0" w:rsidRPr="00D52989">
        <w:t xml:space="preserve"> an analysis of options</w:t>
      </w:r>
      <w:r w:rsidR="000D7C58" w:rsidRPr="00D52989">
        <w:t xml:space="preserve"> and</w:t>
      </w:r>
      <w:r w:rsidR="00C17806" w:rsidRPr="00D52989">
        <w:t xml:space="preserve"> </w:t>
      </w:r>
      <w:r w:rsidR="006446F0" w:rsidRPr="00D52989">
        <w:t>address</w:t>
      </w:r>
      <w:r w:rsidR="002142CD" w:rsidRPr="00D52989">
        <w:t>ed</w:t>
      </w:r>
      <w:r w:rsidR="000D7C58" w:rsidRPr="00D52989">
        <w:t>,</w:t>
      </w:r>
      <w:r w:rsidR="006446F0" w:rsidRPr="00D52989">
        <w:t xml:space="preserve"> </w:t>
      </w:r>
      <w:r w:rsidR="000D7C58" w:rsidRPr="00D52989">
        <w:t xml:space="preserve">inter alia, </w:t>
      </w:r>
      <w:r w:rsidR="006446F0" w:rsidRPr="00D52989">
        <w:t xml:space="preserve">effectiveness, </w:t>
      </w:r>
      <w:r w:rsidR="006446F0" w:rsidRPr="0051482F">
        <w:t>cost-benefit</w:t>
      </w:r>
      <w:r w:rsidR="006446F0" w:rsidRPr="00D52989">
        <w:t>, different locations for the secretariat, merging the secretariat with th</w:t>
      </w:r>
      <w:r w:rsidR="00CE20C9" w:rsidRPr="00D52989">
        <w:t>at</w:t>
      </w:r>
      <w:r w:rsidR="006446F0" w:rsidRPr="00D52989">
        <w:t xml:space="preserve"> of the </w:t>
      </w:r>
      <w:r w:rsidR="006446F0" w:rsidRPr="0051482F">
        <w:t>Basel</w:t>
      </w:r>
      <w:r w:rsidR="008B3968">
        <w:t>,</w:t>
      </w:r>
      <w:r w:rsidR="006446F0" w:rsidRPr="0051482F">
        <w:t xml:space="preserve"> Rotterdam and Stockholm </w:t>
      </w:r>
      <w:r w:rsidR="008B3968">
        <w:t>c</w:t>
      </w:r>
      <w:r w:rsidR="006446F0" w:rsidRPr="0051482F">
        <w:t>onvention</w:t>
      </w:r>
      <w:r w:rsidR="008B3968">
        <w:t>s</w:t>
      </w:r>
      <w:r w:rsidR="006446F0" w:rsidRPr="00D52989">
        <w:t>, and utilizing the interim secretariat</w:t>
      </w:r>
      <w:r w:rsidR="00E00CF3">
        <w:t xml:space="preserve"> as updated for consideration </w:t>
      </w:r>
      <w:r w:rsidR="00AA1F5E">
        <w:t>by the Conference of the Parties at its first meeting</w:t>
      </w:r>
      <w:r w:rsidR="00E00CF3">
        <w:t xml:space="preserve"> is set out in </w:t>
      </w:r>
      <w:r w:rsidR="00AA1F5E">
        <w:t xml:space="preserve">document </w:t>
      </w:r>
      <w:r w:rsidR="00E00CF3">
        <w:t>UNEP/MC/COP.1/14</w:t>
      </w:r>
      <w:r w:rsidR="006446F0" w:rsidRPr="00D52989">
        <w:t>.</w:t>
      </w:r>
      <w:r w:rsidRPr="00D52989">
        <w:t xml:space="preserve"> </w:t>
      </w:r>
      <w:r w:rsidR="00EB58D7" w:rsidRPr="00D52989">
        <w:t>T</w:t>
      </w:r>
      <w:r w:rsidRPr="00D52989">
        <w:t xml:space="preserve">he Executive Director’s report, prepared in close consultation with the </w:t>
      </w:r>
      <w:r w:rsidR="00CE20C9" w:rsidRPr="00D52989">
        <w:t>s</w:t>
      </w:r>
      <w:r w:rsidRPr="00D52989">
        <w:t xml:space="preserve">ecretariat of the Basel, Rotterdam and Stockholm </w:t>
      </w:r>
      <w:r w:rsidR="00AA2527">
        <w:t>c</w:t>
      </w:r>
      <w:r w:rsidRPr="00D52989">
        <w:t xml:space="preserve">onventions, sets out proposals to perform the functions of the permanent secretariat </w:t>
      </w:r>
      <w:r w:rsidR="003D2A32" w:rsidRPr="00D52989">
        <w:t>of the Convention as follow</w:t>
      </w:r>
      <w:r w:rsidRPr="00D52989">
        <w:t xml:space="preserve">s: </w:t>
      </w:r>
    </w:p>
    <w:p w14:paraId="65BA2324" w14:textId="51FC3A39" w:rsidR="001D7A26" w:rsidRPr="00D52989" w:rsidRDefault="0067034F" w:rsidP="00E00CF3">
      <w:pPr>
        <w:pStyle w:val="Normalnumber"/>
        <w:numPr>
          <w:ilvl w:val="0"/>
          <w:numId w:val="0"/>
        </w:numPr>
        <w:tabs>
          <w:tab w:val="clear" w:pos="624"/>
          <w:tab w:val="left" w:pos="2127"/>
        </w:tabs>
        <w:ind w:left="1260" w:firstLine="448"/>
      </w:pPr>
      <w:r w:rsidRPr="00D52989">
        <w:rPr>
          <w:b/>
          <w:bCs/>
        </w:rPr>
        <w:t>Option 1</w:t>
      </w:r>
      <w:r w:rsidR="00ED3B8A" w:rsidRPr="00D52989">
        <w:rPr>
          <w:b/>
          <w:bCs/>
        </w:rPr>
        <w:t xml:space="preserve"> (</w:t>
      </w:r>
      <w:r w:rsidRPr="00D52989">
        <w:rPr>
          <w:b/>
          <w:bCs/>
        </w:rPr>
        <w:t>a</w:t>
      </w:r>
      <w:r w:rsidR="00ED3B8A" w:rsidRPr="00D52989">
        <w:rPr>
          <w:b/>
          <w:bCs/>
        </w:rPr>
        <w:t>)</w:t>
      </w:r>
      <w:r w:rsidR="00AF2C78">
        <w:rPr>
          <w:b/>
          <w:bCs/>
        </w:rPr>
        <w:t xml:space="preserve"> </w:t>
      </w:r>
      <w:r w:rsidR="00AA1F5E">
        <w:rPr>
          <w:b/>
          <w:bCs/>
        </w:rPr>
        <w:t>(merger)</w:t>
      </w:r>
      <w:r w:rsidRPr="00D52989">
        <w:rPr>
          <w:b/>
          <w:bCs/>
        </w:rPr>
        <w:t>:</w:t>
      </w:r>
      <w:r w:rsidRPr="00D52989">
        <w:t xml:space="preserve"> </w:t>
      </w:r>
      <w:r w:rsidR="001D7A26" w:rsidRPr="00D52989">
        <w:t xml:space="preserve">Merging the secretariat </w:t>
      </w:r>
      <w:r w:rsidR="00E00CF3">
        <w:t xml:space="preserve">functions </w:t>
      </w:r>
      <w:r w:rsidR="001D7A26" w:rsidRPr="00D52989">
        <w:t xml:space="preserve">of the </w:t>
      </w:r>
      <w:proofErr w:type="spellStart"/>
      <w:r w:rsidR="001D7A26" w:rsidRPr="00D52989">
        <w:t>Minamata</w:t>
      </w:r>
      <w:proofErr w:type="spellEnd"/>
      <w:r w:rsidR="001D7A26" w:rsidRPr="00D52989">
        <w:t xml:space="preserve"> Convention </w:t>
      </w:r>
      <w:r w:rsidR="00E00CF3">
        <w:t>into</w:t>
      </w:r>
      <w:r w:rsidR="00E00CF3" w:rsidRPr="00D52989">
        <w:t xml:space="preserve"> </w:t>
      </w:r>
      <w:r w:rsidR="001D7A26" w:rsidRPr="00D52989">
        <w:t>the secretariat of the Basel, Rotterdam and Stockholm conventions</w:t>
      </w:r>
      <w:r w:rsidR="00873E53" w:rsidRPr="00D52989">
        <w:t>,</w:t>
      </w:r>
      <w:r w:rsidR="001D7A26" w:rsidRPr="00D52989">
        <w:t xml:space="preserve"> utilizing its current structure</w:t>
      </w:r>
      <w:r w:rsidR="00AF2C78">
        <w:t xml:space="preserve"> (</w:t>
      </w:r>
      <w:r w:rsidR="00AA1F5E">
        <w:t>l</w:t>
      </w:r>
      <w:r w:rsidR="00AF2C78">
        <w:t xml:space="preserve">ocation: </w:t>
      </w:r>
      <w:r w:rsidR="001D7A26" w:rsidRPr="00D52989">
        <w:t>Geneva</w:t>
      </w:r>
      <w:r w:rsidR="00E00CF3">
        <w:t>)</w:t>
      </w:r>
      <w:r w:rsidR="00873E53" w:rsidRPr="00D52989">
        <w:t>;</w:t>
      </w:r>
      <w:r w:rsidR="001D7A26" w:rsidRPr="00D52989">
        <w:t xml:space="preserve"> </w:t>
      </w:r>
    </w:p>
    <w:p w14:paraId="602323B9" w14:textId="611D67FE" w:rsidR="001D7A26" w:rsidRPr="00D52989" w:rsidRDefault="0067034F" w:rsidP="00E00CF3">
      <w:pPr>
        <w:pStyle w:val="Normalnumber"/>
        <w:numPr>
          <w:ilvl w:val="0"/>
          <w:numId w:val="0"/>
        </w:numPr>
        <w:tabs>
          <w:tab w:val="clear" w:pos="624"/>
          <w:tab w:val="left" w:pos="2127"/>
        </w:tabs>
        <w:ind w:left="1260" w:firstLine="448"/>
      </w:pPr>
      <w:r w:rsidRPr="00D52989">
        <w:rPr>
          <w:b/>
          <w:bCs/>
        </w:rPr>
        <w:t>Option 1</w:t>
      </w:r>
      <w:r w:rsidR="00ED3B8A" w:rsidRPr="00D52989">
        <w:rPr>
          <w:b/>
          <w:bCs/>
        </w:rPr>
        <w:t xml:space="preserve"> (</w:t>
      </w:r>
      <w:r w:rsidRPr="00D52989">
        <w:rPr>
          <w:b/>
          <w:bCs/>
        </w:rPr>
        <w:t>b</w:t>
      </w:r>
      <w:r w:rsidR="00ED3B8A" w:rsidRPr="00D52989">
        <w:rPr>
          <w:b/>
          <w:bCs/>
        </w:rPr>
        <w:t>)</w:t>
      </w:r>
      <w:r w:rsidR="00AF2C78">
        <w:rPr>
          <w:b/>
          <w:bCs/>
        </w:rPr>
        <w:t xml:space="preserve"> </w:t>
      </w:r>
      <w:r w:rsidR="00AA1F5E">
        <w:rPr>
          <w:b/>
          <w:bCs/>
        </w:rPr>
        <w:t>(branch)</w:t>
      </w:r>
      <w:r w:rsidRPr="00D52989">
        <w:rPr>
          <w:b/>
          <w:bCs/>
        </w:rPr>
        <w:t>:</w:t>
      </w:r>
      <w:r w:rsidRPr="00D52989">
        <w:t xml:space="preserve"> </w:t>
      </w:r>
      <w:r w:rsidR="001D7A26" w:rsidRPr="00D52989">
        <w:t xml:space="preserve">Merging the secretariat of the </w:t>
      </w:r>
      <w:proofErr w:type="spellStart"/>
      <w:r w:rsidR="001D7A26" w:rsidRPr="00D52989">
        <w:t>Minamata</w:t>
      </w:r>
      <w:proofErr w:type="spellEnd"/>
      <w:r w:rsidR="001D7A26" w:rsidRPr="00D52989">
        <w:t xml:space="preserve"> Convention with the secretariat of the Basel, Rotterdam and Stockholm conventions by creating, in the interim, a </w:t>
      </w:r>
      <w:proofErr w:type="spellStart"/>
      <w:r w:rsidR="00E00CF3">
        <w:t>Minamata</w:t>
      </w:r>
      <w:proofErr w:type="spellEnd"/>
      <w:r w:rsidR="00E00CF3">
        <w:t xml:space="preserve"> Convention </w:t>
      </w:r>
      <w:r w:rsidR="00CD399C">
        <w:t>b</w:t>
      </w:r>
      <w:r w:rsidR="001D7A26" w:rsidRPr="00D52989">
        <w:t>ranch</w:t>
      </w:r>
      <w:r w:rsidR="00CB4349" w:rsidRPr="00D52989">
        <w:t xml:space="preserve"> </w:t>
      </w:r>
      <w:r w:rsidR="00451064">
        <w:t>(</w:t>
      </w:r>
      <w:r w:rsidR="00CB4349" w:rsidRPr="00D52989">
        <w:t>locat</w:t>
      </w:r>
      <w:r w:rsidR="00451064">
        <w:t>ion:</w:t>
      </w:r>
      <w:r w:rsidR="00CB4349" w:rsidRPr="00D52989">
        <w:t xml:space="preserve"> Geneva</w:t>
      </w:r>
      <w:r w:rsidR="00451064">
        <w:t>)</w:t>
      </w:r>
      <w:r w:rsidR="00873E53" w:rsidRPr="00D52989">
        <w:t>;</w:t>
      </w:r>
      <w:r w:rsidR="001D7A26" w:rsidRPr="00D52989">
        <w:t xml:space="preserve"> </w:t>
      </w:r>
    </w:p>
    <w:p w14:paraId="666BEABD" w14:textId="2AB14E83" w:rsidR="001D7A26" w:rsidRPr="00D52989" w:rsidRDefault="0067034F" w:rsidP="00E00CF3">
      <w:pPr>
        <w:pStyle w:val="Normalnumber"/>
        <w:numPr>
          <w:ilvl w:val="0"/>
          <w:numId w:val="0"/>
        </w:numPr>
        <w:tabs>
          <w:tab w:val="clear" w:pos="624"/>
          <w:tab w:val="left" w:pos="2127"/>
        </w:tabs>
        <w:ind w:left="1260" w:firstLine="448"/>
      </w:pPr>
      <w:r w:rsidRPr="00D52989">
        <w:rPr>
          <w:b/>
          <w:bCs/>
        </w:rPr>
        <w:t>Option 2</w:t>
      </w:r>
      <w:r w:rsidR="00E00CF3">
        <w:rPr>
          <w:b/>
          <w:bCs/>
        </w:rPr>
        <w:t xml:space="preserve"> </w:t>
      </w:r>
      <w:r w:rsidR="00AA1F5E">
        <w:rPr>
          <w:b/>
          <w:bCs/>
        </w:rPr>
        <w:t>(standalone)</w:t>
      </w:r>
      <w:r w:rsidRPr="00D52989">
        <w:rPr>
          <w:b/>
          <w:bCs/>
        </w:rPr>
        <w:t xml:space="preserve">: </w:t>
      </w:r>
      <w:r w:rsidR="00E00CF3">
        <w:t>Establishing an independent</w:t>
      </w:r>
      <w:r w:rsidR="001D7A26" w:rsidRPr="00D52989">
        <w:t xml:space="preserve"> secretariat</w:t>
      </w:r>
      <w:r w:rsidR="00E00CF3">
        <w:t xml:space="preserve"> of the </w:t>
      </w:r>
      <w:proofErr w:type="spellStart"/>
      <w:r w:rsidR="00E00CF3">
        <w:t>Minamata</w:t>
      </w:r>
      <w:proofErr w:type="spellEnd"/>
      <w:r w:rsidR="00E00CF3">
        <w:t xml:space="preserve"> Convention (</w:t>
      </w:r>
      <w:r w:rsidR="00AA1F5E">
        <w:t>l</w:t>
      </w:r>
      <w:r w:rsidR="001D7A26" w:rsidRPr="00D52989">
        <w:t>ocation</w:t>
      </w:r>
      <w:r w:rsidR="00E00CF3">
        <w:t>:</w:t>
      </w:r>
      <w:r w:rsidR="001D7A26" w:rsidRPr="00D52989">
        <w:t xml:space="preserve"> to be</w:t>
      </w:r>
      <w:r w:rsidR="00024938" w:rsidRPr="00D52989">
        <w:t xml:space="preserve"> determined on the basis of</w:t>
      </w:r>
      <w:r w:rsidR="001D7A26" w:rsidRPr="00D52989">
        <w:t xml:space="preserve"> an analysis</w:t>
      </w:r>
      <w:r w:rsidR="00024938" w:rsidRPr="00D52989">
        <w:t xml:space="preserve"> of</w:t>
      </w:r>
      <w:r w:rsidR="001D7A26" w:rsidRPr="00D52989">
        <w:t xml:space="preserve"> the </w:t>
      </w:r>
      <w:r w:rsidR="009C7BA7">
        <w:t>following</w:t>
      </w:r>
      <w:r w:rsidR="001D7A26" w:rsidRPr="00D52989">
        <w:t xml:space="preserve"> </w:t>
      </w:r>
      <w:r w:rsidR="005C7828" w:rsidRPr="00D52989">
        <w:t>UNEP</w:t>
      </w:r>
      <w:r w:rsidR="001D7A26" w:rsidRPr="00D52989">
        <w:t xml:space="preserve"> duty stations: </w:t>
      </w:r>
      <w:r w:rsidR="009858B9" w:rsidRPr="00D52989">
        <w:t xml:space="preserve">Bangkok, </w:t>
      </w:r>
      <w:r w:rsidR="001D7A26" w:rsidRPr="00D52989">
        <w:t xml:space="preserve">Geneva, Nairobi, Osaka, </w:t>
      </w:r>
      <w:r w:rsidRPr="00D52989">
        <w:t xml:space="preserve">Vienna </w:t>
      </w:r>
      <w:r w:rsidR="00024938" w:rsidRPr="00D52989">
        <w:t>and</w:t>
      </w:r>
      <w:r w:rsidRPr="00D52989">
        <w:t xml:space="preserve"> Washington</w:t>
      </w:r>
      <w:r w:rsidR="00AA2527">
        <w:t>, D.C</w:t>
      </w:r>
      <w:r w:rsidR="00AA1F5E">
        <w:t>.</w:t>
      </w:r>
      <w:r w:rsidR="00E00CF3">
        <w:t>)</w:t>
      </w:r>
      <w:r w:rsidR="00AA2527">
        <w:t>.</w:t>
      </w:r>
    </w:p>
    <w:p w14:paraId="55623492" w14:textId="5F9AB5A7" w:rsidR="006F08B2" w:rsidRPr="00D52989" w:rsidRDefault="00DC0056" w:rsidP="00C03273">
      <w:pPr>
        <w:pStyle w:val="Normalnumber"/>
        <w:ind w:left="1247" w:firstLine="0"/>
      </w:pPr>
      <w:r w:rsidRPr="00D52989">
        <w:t>At its</w:t>
      </w:r>
      <w:r w:rsidR="00425A73" w:rsidRPr="00D52989">
        <w:t xml:space="preserve"> first </w:t>
      </w:r>
      <w:r w:rsidR="00005808" w:rsidRPr="00D52989">
        <w:t>meeting</w:t>
      </w:r>
      <w:r w:rsidRPr="00D52989">
        <w:t>,</w:t>
      </w:r>
      <w:r w:rsidR="00005808" w:rsidRPr="00D52989">
        <w:t xml:space="preserve"> the </w:t>
      </w:r>
      <w:r w:rsidR="00425A73" w:rsidRPr="00D52989">
        <w:t xml:space="preserve">Conference </w:t>
      </w:r>
      <w:r w:rsidR="00005808" w:rsidRPr="00D52989">
        <w:t xml:space="preserve">of </w:t>
      </w:r>
      <w:r w:rsidR="00873E53" w:rsidRPr="00EB6816">
        <w:t xml:space="preserve">the </w:t>
      </w:r>
      <w:r w:rsidR="00005808" w:rsidRPr="00EB6816">
        <w:t xml:space="preserve">Parties </w:t>
      </w:r>
      <w:r w:rsidR="00733979" w:rsidRPr="00241415">
        <w:t xml:space="preserve">will </w:t>
      </w:r>
      <w:r w:rsidR="002142CD" w:rsidRPr="00241415">
        <w:t>also</w:t>
      </w:r>
      <w:r w:rsidR="00733979" w:rsidRPr="00241415">
        <w:t xml:space="preserve"> consider</w:t>
      </w:r>
      <w:r w:rsidR="00733979" w:rsidRPr="00EB6816">
        <w:t xml:space="preserve"> the offer </w:t>
      </w:r>
      <w:r w:rsidRPr="00EB6816">
        <w:t>made</w:t>
      </w:r>
      <w:r w:rsidR="00733979" w:rsidRPr="00EB6816">
        <w:t xml:space="preserve"> by the Government of Switzerland </w:t>
      </w:r>
      <w:r w:rsidR="00F14E0B" w:rsidRPr="00EB6816">
        <w:t xml:space="preserve">in 2015 </w:t>
      </w:r>
      <w:r w:rsidR="00733979" w:rsidRPr="00EB6816">
        <w:t xml:space="preserve">to host the </w:t>
      </w:r>
      <w:r w:rsidR="00EB58D7" w:rsidRPr="00EB6816">
        <w:t xml:space="preserve">permanent </w:t>
      </w:r>
      <w:r w:rsidR="00E01BA4" w:rsidRPr="00EB6816">
        <w:t xml:space="preserve">secretariat </w:t>
      </w:r>
      <w:r w:rsidR="00005808" w:rsidRPr="00EB6816">
        <w:t xml:space="preserve">of the </w:t>
      </w:r>
      <w:proofErr w:type="spellStart"/>
      <w:r w:rsidR="00005808" w:rsidRPr="00EB6816">
        <w:t>Minamata</w:t>
      </w:r>
      <w:proofErr w:type="spellEnd"/>
      <w:r w:rsidR="00005808" w:rsidRPr="00EB6816">
        <w:t xml:space="preserve"> Convention </w:t>
      </w:r>
      <w:r w:rsidR="00E01BA4" w:rsidRPr="00EB6816">
        <w:t xml:space="preserve">in Geneva. The Government of Switzerland </w:t>
      </w:r>
      <w:r w:rsidR="00F30C69" w:rsidRPr="00EB6816">
        <w:t xml:space="preserve">offered </w:t>
      </w:r>
      <w:r w:rsidR="00E01BA4" w:rsidRPr="00EB6816">
        <w:t xml:space="preserve">financial support to be provided to the </w:t>
      </w:r>
      <w:r w:rsidR="00005808" w:rsidRPr="00EB6816">
        <w:t>Convention</w:t>
      </w:r>
      <w:r w:rsidR="002142CD" w:rsidRPr="00EB6816">
        <w:t>,</w:t>
      </w:r>
      <w:r w:rsidR="00005808" w:rsidRPr="00EB6816">
        <w:t xml:space="preserve"> conditional on</w:t>
      </w:r>
      <w:r w:rsidR="00E01BA4" w:rsidRPr="00EB6816">
        <w:t xml:space="preserve"> </w:t>
      </w:r>
      <w:r w:rsidR="00005808" w:rsidRPr="00EB6816">
        <w:t>it</w:t>
      </w:r>
      <w:r w:rsidR="00873E53" w:rsidRPr="00EB6816">
        <w:t>s</w:t>
      </w:r>
      <w:r w:rsidR="00005808" w:rsidRPr="00EB6816">
        <w:t xml:space="preserve"> </w:t>
      </w:r>
      <w:r w:rsidR="00873E53" w:rsidRPr="00EB6816">
        <w:t xml:space="preserve">secretariat </w:t>
      </w:r>
      <w:r w:rsidR="00005808" w:rsidRPr="00EB6816">
        <w:t xml:space="preserve">being </w:t>
      </w:r>
      <w:r w:rsidR="00563AF5" w:rsidRPr="00EB6816">
        <w:t>merged</w:t>
      </w:r>
      <w:r w:rsidR="006D5F3A" w:rsidRPr="00EB6816">
        <w:t xml:space="preserve"> with the </w:t>
      </w:r>
      <w:r w:rsidR="00873E53" w:rsidRPr="00EB6816">
        <w:t>s</w:t>
      </w:r>
      <w:r w:rsidR="00E01BA4" w:rsidRPr="00EB6816">
        <w:t>ecretariat of the Basel, Rotterdam</w:t>
      </w:r>
      <w:r w:rsidR="00E01BA4" w:rsidRPr="00D52989">
        <w:t xml:space="preserve"> and</w:t>
      </w:r>
      <w:r w:rsidR="00005808" w:rsidRPr="00D52989">
        <w:t xml:space="preserve"> Stockholm conventions</w:t>
      </w:r>
      <w:r w:rsidR="00E01BA4" w:rsidRPr="00D52989">
        <w:t xml:space="preserve">. </w:t>
      </w:r>
    </w:p>
    <w:p w14:paraId="77D52DA7" w14:textId="7DB24239" w:rsidR="006F08B2" w:rsidRPr="00D52989" w:rsidRDefault="00E01BA4" w:rsidP="00E00CF3">
      <w:pPr>
        <w:pStyle w:val="Normalnumber"/>
        <w:ind w:left="1247" w:firstLine="0"/>
      </w:pPr>
      <w:r w:rsidRPr="00D52989">
        <w:t xml:space="preserve">At its seventh session, the intergovernmental negotiating committee considered the </w:t>
      </w:r>
      <w:r w:rsidR="00E00CF3">
        <w:t xml:space="preserve">offer made by the Government of Switzerland (UNEP/MC/COP.1/INF/7). </w:t>
      </w:r>
      <w:r w:rsidRPr="00D52989">
        <w:t>Following its deliberations</w:t>
      </w:r>
      <w:r w:rsidR="00AA1F5E">
        <w:t>,</w:t>
      </w:r>
      <w:r w:rsidR="00032A06" w:rsidRPr="00D52989">
        <w:t xml:space="preserve"> the </w:t>
      </w:r>
      <w:r w:rsidR="00DC0056" w:rsidRPr="00D52989">
        <w:t>c</w:t>
      </w:r>
      <w:r w:rsidRPr="00D52989">
        <w:t xml:space="preserve">ommittee requested </w:t>
      </w:r>
      <w:r w:rsidR="00032A06" w:rsidRPr="00D52989">
        <w:t xml:space="preserve">the Government of </w:t>
      </w:r>
      <w:r w:rsidRPr="00D52989">
        <w:t xml:space="preserve">Switzerland to further clarify the offer, including the conditionality attached to </w:t>
      </w:r>
      <w:r w:rsidR="0023189C" w:rsidRPr="00D52989">
        <w:t>it</w:t>
      </w:r>
      <w:r w:rsidRPr="00D52989">
        <w:t xml:space="preserve"> </w:t>
      </w:r>
      <w:r w:rsidR="0023189C" w:rsidRPr="00D52989">
        <w:t xml:space="preserve">and the </w:t>
      </w:r>
      <w:r w:rsidRPr="00D52989">
        <w:t xml:space="preserve">financial aspects related to the amount </w:t>
      </w:r>
      <w:r w:rsidR="00DC0056" w:rsidRPr="00D52989">
        <w:t xml:space="preserve">that </w:t>
      </w:r>
      <w:r w:rsidRPr="00D52989">
        <w:t xml:space="preserve">the Government of Switzerland would contribute. </w:t>
      </w:r>
    </w:p>
    <w:p w14:paraId="08D4DBA1" w14:textId="027C1C62" w:rsidR="00BD5B94" w:rsidRPr="00D52989" w:rsidRDefault="00A078DA" w:rsidP="00F45550">
      <w:pPr>
        <w:pStyle w:val="Normalnumber"/>
        <w:ind w:left="1247" w:firstLine="0"/>
      </w:pPr>
      <w:r w:rsidRPr="00D52989">
        <w:t>The clarification received from the Government of Switzerland</w:t>
      </w:r>
      <w:r w:rsidR="00E2313D" w:rsidRPr="00D52989">
        <w:t>, dated 27 June 2017</w:t>
      </w:r>
      <w:r w:rsidR="00DC0056" w:rsidRPr="00D52989">
        <w:t xml:space="preserve"> (see</w:t>
      </w:r>
      <w:r w:rsidR="00E2313D" w:rsidRPr="00D52989">
        <w:t xml:space="preserve"> </w:t>
      </w:r>
      <w:r w:rsidR="00495F8E" w:rsidRPr="00D52989">
        <w:t>UNEP/MC/COP.1</w:t>
      </w:r>
      <w:r w:rsidR="00DB1886" w:rsidRPr="00D52989">
        <w:t>/</w:t>
      </w:r>
      <w:r w:rsidR="00495F8E" w:rsidRPr="00D52989">
        <w:t>INF</w:t>
      </w:r>
      <w:r w:rsidR="00E2313D" w:rsidRPr="00D52989">
        <w:t>/8</w:t>
      </w:r>
      <w:r w:rsidR="00DC0056" w:rsidRPr="00D52989">
        <w:t>)</w:t>
      </w:r>
      <w:r w:rsidR="00E2313D" w:rsidRPr="00D52989">
        <w:t>,</w:t>
      </w:r>
      <w:r w:rsidR="00E278EE" w:rsidRPr="00D52989">
        <w:t xml:space="preserve"> </w:t>
      </w:r>
      <w:proofErr w:type="gramStart"/>
      <w:r w:rsidR="00BD094C" w:rsidRPr="00D52989">
        <w:t>confirm</w:t>
      </w:r>
      <w:r w:rsidR="0023189C" w:rsidRPr="00D52989">
        <w:t>ed</w:t>
      </w:r>
      <w:proofErr w:type="gramEnd"/>
      <w:r w:rsidRPr="00D52989">
        <w:t xml:space="preserve"> that the host</w:t>
      </w:r>
      <w:r w:rsidR="009176FB" w:rsidRPr="00D52989">
        <w:t xml:space="preserve"> country contribution is depende</w:t>
      </w:r>
      <w:r w:rsidRPr="00D52989">
        <w:t xml:space="preserve">nt on the </w:t>
      </w:r>
      <w:r w:rsidR="0023016B" w:rsidRPr="00D52989">
        <w:t xml:space="preserve">secretariat of the </w:t>
      </w:r>
      <w:proofErr w:type="spellStart"/>
      <w:r w:rsidRPr="00D52989">
        <w:t>Minamata</w:t>
      </w:r>
      <w:proofErr w:type="spellEnd"/>
      <w:r w:rsidRPr="00D52989">
        <w:t xml:space="preserve"> </w:t>
      </w:r>
      <w:r w:rsidR="0023016B" w:rsidRPr="00D52989">
        <w:t>Convention</w:t>
      </w:r>
      <w:r w:rsidRPr="00D52989">
        <w:t xml:space="preserve"> being m</w:t>
      </w:r>
      <w:r w:rsidR="00BD094C" w:rsidRPr="00D52989">
        <w:t xml:space="preserve">erged with the </w:t>
      </w:r>
      <w:r w:rsidR="0023016B" w:rsidRPr="00D52989">
        <w:t>s</w:t>
      </w:r>
      <w:r w:rsidRPr="00D52989">
        <w:t xml:space="preserve">ecretariat of the Basel, Rotterdam and Stockholm </w:t>
      </w:r>
      <w:r w:rsidR="00DC0056" w:rsidRPr="00D52989">
        <w:t>c</w:t>
      </w:r>
      <w:r w:rsidR="0023016B" w:rsidRPr="00D52989">
        <w:t>onventions</w:t>
      </w:r>
      <w:r w:rsidRPr="00D52989">
        <w:t xml:space="preserve">. </w:t>
      </w:r>
      <w:r w:rsidR="0023016B" w:rsidRPr="00D52989">
        <w:t xml:space="preserve">With regard to the options </w:t>
      </w:r>
      <w:r w:rsidR="0023189C" w:rsidRPr="00D52989">
        <w:t xml:space="preserve">listed in </w:t>
      </w:r>
      <w:r w:rsidR="0023016B" w:rsidRPr="00D52989">
        <w:t>para</w:t>
      </w:r>
      <w:r w:rsidR="0023189C" w:rsidRPr="00D52989">
        <w:t>graph</w:t>
      </w:r>
      <w:r w:rsidR="0023016B" w:rsidRPr="00D52989">
        <w:t xml:space="preserve"> 1</w:t>
      </w:r>
      <w:r w:rsidR="00171E78">
        <w:t>0</w:t>
      </w:r>
      <w:r w:rsidR="0023016B" w:rsidRPr="00D52989">
        <w:t xml:space="preserve"> </w:t>
      </w:r>
      <w:r w:rsidR="0023189C" w:rsidRPr="00D52989">
        <w:t>above</w:t>
      </w:r>
      <w:r w:rsidR="0023016B" w:rsidRPr="00D52989">
        <w:t>, i</w:t>
      </w:r>
      <w:r w:rsidRPr="00D52989">
        <w:t xml:space="preserve">n the case of a full merger </w:t>
      </w:r>
      <w:r w:rsidR="008B42AD" w:rsidRPr="00D52989">
        <w:t>located in Geneva</w:t>
      </w:r>
      <w:r w:rsidR="0023189C" w:rsidRPr="00D52989">
        <w:t xml:space="preserve"> (option 1</w:t>
      </w:r>
      <w:r w:rsidR="00ED3B8A" w:rsidRPr="00D52989">
        <w:t xml:space="preserve"> (</w:t>
      </w:r>
      <w:r w:rsidR="0023189C" w:rsidRPr="00D52989">
        <w:t>a)</w:t>
      </w:r>
      <w:r w:rsidR="001F1F06">
        <w:t>)</w:t>
      </w:r>
      <w:r w:rsidRPr="00D52989">
        <w:t>, the an</w:t>
      </w:r>
      <w:r w:rsidR="006F08B2" w:rsidRPr="00D52989">
        <w:t>nual host country cont</w:t>
      </w:r>
      <w:r w:rsidR="00BD094C" w:rsidRPr="00D52989">
        <w:t>ribution</w:t>
      </w:r>
      <w:r w:rsidR="00ED3B8A" w:rsidRPr="00D52989">
        <w:t xml:space="preserve"> </w:t>
      </w:r>
      <w:r w:rsidR="0023016B" w:rsidRPr="00D52989">
        <w:t xml:space="preserve">would </w:t>
      </w:r>
      <w:r w:rsidR="00BD094C" w:rsidRPr="00D52989">
        <w:t xml:space="preserve">be 2.5 million </w:t>
      </w:r>
      <w:r w:rsidR="00563AF5" w:rsidRPr="00D52989">
        <w:t xml:space="preserve">Swiss </w:t>
      </w:r>
      <w:r w:rsidR="0023016B" w:rsidRPr="00D52989">
        <w:t>f</w:t>
      </w:r>
      <w:r w:rsidR="00563AF5" w:rsidRPr="00D52989">
        <w:t>rancs</w:t>
      </w:r>
      <w:r w:rsidR="001F1F06">
        <w:t xml:space="preserve"> (where 500,000 is for joint activities with the secretariat of the Basel, Rotterdam and Stockholm conventions</w:t>
      </w:r>
      <w:r w:rsidR="002359AA">
        <w:t>)</w:t>
      </w:r>
      <w:r w:rsidR="006F08B2" w:rsidRPr="00D52989">
        <w:t>. In</w:t>
      </w:r>
      <w:r w:rsidR="00AE78DB" w:rsidRPr="00D52989">
        <w:t xml:space="preserve"> the case of a merger over time </w:t>
      </w:r>
      <w:r w:rsidR="0023189C" w:rsidRPr="00D52989">
        <w:t>(o</w:t>
      </w:r>
      <w:r w:rsidR="00AE78DB" w:rsidRPr="00D52989">
        <w:t>ption 1</w:t>
      </w:r>
      <w:r w:rsidR="00ED3B8A" w:rsidRPr="00D52989">
        <w:t xml:space="preserve"> (</w:t>
      </w:r>
      <w:r w:rsidR="00AE78DB" w:rsidRPr="00D52989">
        <w:t>b</w:t>
      </w:r>
      <w:r w:rsidR="0023189C" w:rsidRPr="00D52989">
        <w:t>)</w:t>
      </w:r>
      <w:r w:rsidR="00ED3B8A" w:rsidRPr="00D52989">
        <w:t>)</w:t>
      </w:r>
      <w:r w:rsidR="00AE78DB" w:rsidRPr="00D52989">
        <w:t xml:space="preserve">, </w:t>
      </w:r>
      <w:r w:rsidR="006F08B2" w:rsidRPr="00D52989">
        <w:t>where</w:t>
      </w:r>
      <w:r w:rsidR="00DC0056" w:rsidRPr="00D52989">
        <w:t>by</w:t>
      </w:r>
      <w:r w:rsidR="006F08B2" w:rsidRPr="00D52989">
        <w:t xml:space="preserve"> </w:t>
      </w:r>
      <w:r w:rsidR="00B8237C" w:rsidRPr="00D52989">
        <w:t>initially</w:t>
      </w:r>
      <w:r w:rsidR="006F08B2" w:rsidRPr="00D52989">
        <w:t xml:space="preserve"> a fourth </w:t>
      </w:r>
      <w:r w:rsidR="0023016B" w:rsidRPr="00D52989">
        <w:t>b</w:t>
      </w:r>
      <w:r w:rsidR="006F08B2" w:rsidRPr="00D52989">
        <w:t>ranch is created</w:t>
      </w:r>
      <w:r w:rsidR="00BD094C" w:rsidRPr="00D52989">
        <w:t xml:space="preserve"> </w:t>
      </w:r>
      <w:r w:rsidR="00DC26F3" w:rsidRPr="00D52989">
        <w:t xml:space="preserve">in Geneva, </w:t>
      </w:r>
      <w:r w:rsidR="006F08B2" w:rsidRPr="00D52989">
        <w:t>the annual contribution w</w:t>
      </w:r>
      <w:r w:rsidR="0023016B" w:rsidRPr="00D52989">
        <w:t>ould</w:t>
      </w:r>
      <w:r w:rsidR="006F08B2" w:rsidRPr="00D52989">
        <w:t xml:space="preserve"> be 2 million </w:t>
      </w:r>
      <w:r w:rsidR="00563AF5" w:rsidRPr="00D52989">
        <w:t xml:space="preserve">Swiss </w:t>
      </w:r>
      <w:r w:rsidR="0023016B" w:rsidRPr="00D52989">
        <w:t>f</w:t>
      </w:r>
      <w:r w:rsidR="00563AF5" w:rsidRPr="00D52989">
        <w:t>rancs</w:t>
      </w:r>
      <w:r w:rsidR="006F08B2" w:rsidRPr="00D52989">
        <w:t>.</w:t>
      </w:r>
      <w:r w:rsidR="006B354F" w:rsidRPr="00D52989">
        <w:t xml:space="preserve"> In the case of</w:t>
      </w:r>
      <w:r w:rsidR="006F08B2" w:rsidRPr="00D52989">
        <w:t xml:space="preserve"> </w:t>
      </w:r>
      <w:r w:rsidR="0023189C" w:rsidRPr="00D52989">
        <w:t>o</w:t>
      </w:r>
      <w:r w:rsidR="00B8237C" w:rsidRPr="00D52989">
        <w:t xml:space="preserve">ption 2, which </w:t>
      </w:r>
      <w:r w:rsidR="00F45550">
        <w:t xml:space="preserve">establishes an independent </w:t>
      </w:r>
      <w:r w:rsidR="0023016B" w:rsidRPr="00D52989">
        <w:t>s</w:t>
      </w:r>
      <w:r w:rsidR="006F08B2" w:rsidRPr="00D52989">
        <w:t>ecretariat</w:t>
      </w:r>
      <w:r w:rsidR="00B8237C" w:rsidRPr="00D52989">
        <w:t xml:space="preserve"> </w:t>
      </w:r>
      <w:r w:rsidR="00F45550">
        <w:t>for</w:t>
      </w:r>
      <w:r w:rsidR="00F45550" w:rsidRPr="00D52989">
        <w:t xml:space="preserve"> </w:t>
      </w:r>
      <w:r w:rsidR="00DC4E69" w:rsidRPr="00D52989">
        <w:t xml:space="preserve">the </w:t>
      </w:r>
      <w:proofErr w:type="spellStart"/>
      <w:r w:rsidR="00DC4E69" w:rsidRPr="00D52989">
        <w:t>Minamata</w:t>
      </w:r>
      <w:proofErr w:type="spellEnd"/>
      <w:r w:rsidR="00DC4E69" w:rsidRPr="00D52989">
        <w:t xml:space="preserve"> Convention</w:t>
      </w:r>
      <w:r w:rsidR="00AE78DB" w:rsidRPr="00D52989">
        <w:t xml:space="preserve">, </w:t>
      </w:r>
      <w:r w:rsidR="006F08B2" w:rsidRPr="00D52989">
        <w:t>no host country contribution</w:t>
      </w:r>
      <w:r w:rsidR="00641887" w:rsidRPr="00D52989">
        <w:t xml:space="preserve"> </w:t>
      </w:r>
      <w:r w:rsidR="00B8237C" w:rsidRPr="00D52989">
        <w:t>w</w:t>
      </w:r>
      <w:r w:rsidR="0023016B" w:rsidRPr="00D52989">
        <w:t>ould</w:t>
      </w:r>
      <w:r w:rsidR="00B8237C" w:rsidRPr="00D52989">
        <w:t xml:space="preserve"> be </w:t>
      </w:r>
      <w:r w:rsidR="00641887" w:rsidRPr="00D52989">
        <w:t>forthcoming</w:t>
      </w:r>
      <w:r w:rsidR="006F08B2" w:rsidRPr="00D52989">
        <w:t>.</w:t>
      </w:r>
      <w:r w:rsidR="00C07931" w:rsidRPr="00D52989">
        <w:t xml:space="preserve"> </w:t>
      </w:r>
      <w:r w:rsidR="00F45550">
        <w:t>A</w:t>
      </w:r>
      <w:r w:rsidR="00C07931" w:rsidRPr="00D52989">
        <w:t xml:space="preserve"> on</w:t>
      </w:r>
      <w:r w:rsidR="00B770A2" w:rsidRPr="00D52989">
        <w:t>e-time contribution of</w:t>
      </w:r>
      <w:r w:rsidR="00C07931" w:rsidRPr="00D52989">
        <w:t xml:space="preserve"> 100,000 </w:t>
      </w:r>
      <w:r w:rsidR="00563AF5" w:rsidRPr="00D52989">
        <w:t xml:space="preserve">Swiss </w:t>
      </w:r>
      <w:r w:rsidR="0023016B" w:rsidRPr="00D52989">
        <w:t>f</w:t>
      </w:r>
      <w:r w:rsidR="00563AF5" w:rsidRPr="00D52989">
        <w:t>rancs</w:t>
      </w:r>
      <w:r w:rsidR="00157143" w:rsidRPr="00D52989">
        <w:t xml:space="preserve"> from the Government of Switzerland </w:t>
      </w:r>
      <w:r w:rsidR="00C07931" w:rsidRPr="00D52989">
        <w:t xml:space="preserve">for joint infrastructure </w:t>
      </w:r>
      <w:r w:rsidR="00B770A2" w:rsidRPr="00D52989">
        <w:t xml:space="preserve">costs </w:t>
      </w:r>
      <w:r w:rsidR="0023189C" w:rsidRPr="00D52989">
        <w:t xml:space="preserve">would </w:t>
      </w:r>
      <w:r w:rsidR="00C07931" w:rsidRPr="00D52989">
        <w:t>appl</w:t>
      </w:r>
      <w:r w:rsidR="0023189C" w:rsidRPr="00D52989">
        <w:t>y</w:t>
      </w:r>
      <w:r w:rsidR="00C07931" w:rsidRPr="00D52989">
        <w:t xml:space="preserve"> for all options hosting the secretariat in Geneva</w:t>
      </w:r>
      <w:r w:rsidR="006B354F" w:rsidRPr="00D52989">
        <w:t>.</w:t>
      </w:r>
    </w:p>
    <w:p w14:paraId="749DC7D3" w14:textId="2C199FE1" w:rsidR="005642B6" w:rsidRPr="008162A1" w:rsidRDefault="00065928" w:rsidP="0057111C">
      <w:pPr>
        <w:pStyle w:val="CH1"/>
        <w:ind w:left="0" w:firstLine="0"/>
      </w:pPr>
      <w:r>
        <w:tab/>
      </w:r>
      <w:r w:rsidR="005642B6" w:rsidRPr="008162A1">
        <w:t>II.</w:t>
      </w:r>
      <w:r w:rsidR="005642B6" w:rsidRPr="008162A1">
        <w:tab/>
        <w:t>Implementation</w:t>
      </w:r>
    </w:p>
    <w:p w14:paraId="7CD7E17E" w14:textId="1B8F9584" w:rsidR="005642B6" w:rsidRPr="008162A1" w:rsidRDefault="005642B6" w:rsidP="00A413C1">
      <w:pPr>
        <w:pStyle w:val="CH2"/>
      </w:pPr>
      <w:r w:rsidRPr="008162A1">
        <w:tab/>
        <w:t>A.</w:t>
      </w:r>
      <w:r w:rsidRPr="008162A1">
        <w:tab/>
        <w:t>Ove</w:t>
      </w:r>
      <w:r w:rsidR="00230E02" w:rsidRPr="008162A1">
        <w:t>rview of the proposed programme of work</w:t>
      </w:r>
      <w:r w:rsidR="00A413C1">
        <w:t xml:space="preserve"> </w:t>
      </w:r>
      <w:r w:rsidR="00230E02" w:rsidRPr="008162A1">
        <w:t>and budget</w:t>
      </w:r>
      <w:r w:rsidRPr="008162A1">
        <w:t xml:space="preserve"> for the </w:t>
      </w:r>
      <w:r w:rsidR="00086F84" w:rsidRPr="007D222F">
        <w:t>period</w:t>
      </w:r>
      <w:r w:rsidRPr="008162A1">
        <w:t xml:space="preserve"> 2018–2019</w:t>
      </w:r>
    </w:p>
    <w:p w14:paraId="49958006" w14:textId="0B76DCFC" w:rsidR="00E278EE" w:rsidRDefault="00023440" w:rsidP="00C03273">
      <w:pPr>
        <w:pStyle w:val="Normalnumber"/>
        <w:ind w:left="1247" w:firstLine="0"/>
      </w:pPr>
      <w:r w:rsidRPr="008162A1">
        <w:t>The</w:t>
      </w:r>
      <w:r w:rsidR="005642B6" w:rsidRPr="008162A1">
        <w:t xml:space="preserve"> </w:t>
      </w:r>
      <w:r w:rsidRPr="008162A1">
        <w:t>proposed</w:t>
      </w:r>
      <w:r w:rsidR="005642B6" w:rsidRPr="008162A1">
        <w:t xml:space="preserve"> programme </w:t>
      </w:r>
      <w:r w:rsidR="005642B6" w:rsidRPr="00ED234F">
        <w:t>of work</w:t>
      </w:r>
      <w:r w:rsidRPr="008162A1">
        <w:t xml:space="preserve"> </w:t>
      </w:r>
      <w:r w:rsidR="00072BF1">
        <w:t xml:space="preserve">and budget </w:t>
      </w:r>
      <w:r w:rsidRPr="008162A1">
        <w:t xml:space="preserve">for the secretariat </w:t>
      </w:r>
      <w:r w:rsidR="00072BF1">
        <w:t xml:space="preserve">of </w:t>
      </w:r>
      <w:r w:rsidRPr="008162A1">
        <w:t xml:space="preserve">the </w:t>
      </w:r>
      <w:proofErr w:type="spellStart"/>
      <w:r w:rsidRPr="008162A1">
        <w:t>Minamata</w:t>
      </w:r>
      <w:proofErr w:type="spellEnd"/>
      <w:r w:rsidRPr="008162A1">
        <w:t xml:space="preserve"> Convention</w:t>
      </w:r>
      <w:r w:rsidR="005642B6" w:rsidRPr="008162A1">
        <w:t xml:space="preserve"> </w:t>
      </w:r>
      <w:r w:rsidR="00285A5C">
        <w:t>is based on</w:t>
      </w:r>
      <w:r w:rsidR="005642B6" w:rsidRPr="008162A1">
        <w:t xml:space="preserve"> the </w:t>
      </w:r>
      <w:r w:rsidR="00E278EE">
        <w:t xml:space="preserve">interim </w:t>
      </w:r>
      <w:r w:rsidR="0023016B">
        <w:t>s</w:t>
      </w:r>
      <w:r w:rsidR="005642B6" w:rsidRPr="008162A1">
        <w:t xml:space="preserve">ecretariat’s </w:t>
      </w:r>
      <w:r w:rsidR="00285A5C">
        <w:t xml:space="preserve">best </w:t>
      </w:r>
      <w:r w:rsidR="005642B6" w:rsidRPr="008162A1">
        <w:t>assessment of the a</w:t>
      </w:r>
      <w:r w:rsidR="00285A5C">
        <w:t xml:space="preserve">ctivities and resources that </w:t>
      </w:r>
      <w:r w:rsidR="005642B6" w:rsidRPr="008162A1">
        <w:t xml:space="preserve">will </w:t>
      </w:r>
      <w:r w:rsidRPr="008162A1">
        <w:t xml:space="preserve">be </w:t>
      </w:r>
      <w:r w:rsidR="005642B6" w:rsidRPr="008162A1">
        <w:t>require</w:t>
      </w:r>
      <w:r w:rsidRPr="008162A1">
        <w:t>d</w:t>
      </w:r>
      <w:r w:rsidR="005642B6" w:rsidRPr="008162A1">
        <w:t xml:space="preserve"> to support the implementation of the Convention</w:t>
      </w:r>
      <w:r w:rsidR="00E278EE">
        <w:t xml:space="preserve"> </w:t>
      </w:r>
      <w:r w:rsidR="00E278EE" w:rsidRPr="00031A11">
        <w:t>for the</w:t>
      </w:r>
      <w:r w:rsidR="00B770A2">
        <w:t xml:space="preserve"> biennium</w:t>
      </w:r>
      <w:r w:rsidR="00E278EE" w:rsidRPr="00031A11">
        <w:t xml:space="preserve"> 2018</w:t>
      </w:r>
      <w:r w:rsidR="00072BF1">
        <w:t>–</w:t>
      </w:r>
      <w:r w:rsidR="00E278EE" w:rsidRPr="00031A11">
        <w:t>2019</w:t>
      </w:r>
      <w:r w:rsidR="00E278EE">
        <w:t xml:space="preserve">. </w:t>
      </w:r>
    </w:p>
    <w:p w14:paraId="3947BB16" w14:textId="6E5988C8" w:rsidR="00285A5C" w:rsidRPr="00A74337" w:rsidRDefault="00285A5C" w:rsidP="00C03273">
      <w:pPr>
        <w:pStyle w:val="Normalnumber"/>
        <w:ind w:left="1247" w:firstLine="0"/>
      </w:pPr>
      <w:r>
        <w:t xml:space="preserve">As this is the first programme of </w:t>
      </w:r>
      <w:r w:rsidRPr="00241415">
        <w:t xml:space="preserve">work for the </w:t>
      </w:r>
      <w:r w:rsidR="0023016B" w:rsidRPr="00241415">
        <w:t>s</w:t>
      </w:r>
      <w:r w:rsidRPr="00241415">
        <w:t>ecretariat</w:t>
      </w:r>
      <w:r w:rsidR="0023016B" w:rsidRPr="00241415">
        <w:t xml:space="preserve"> of the Convention</w:t>
      </w:r>
      <w:r w:rsidRPr="00241415">
        <w:t xml:space="preserve">, </w:t>
      </w:r>
      <w:r w:rsidR="00275B02" w:rsidRPr="00241415">
        <w:t xml:space="preserve">it </w:t>
      </w:r>
      <w:r w:rsidR="009B3595" w:rsidRPr="00241415">
        <w:t>should</w:t>
      </w:r>
      <w:r w:rsidR="00275B02" w:rsidRPr="00241415">
        <w:t xml:space="preserve"> be noted that </w:t>
      </w:r>
      <w:r w:rsidR="008E5504" w:rsidRPr="00241415">
        <w:t xml:space="preserve">while </w:t>
      </w:r>
      <w:r w:rsidRPr="00241415">
        <w:t>all proposed activities of the programme of work are new</w:t>
      </w:r>
      <w:r w:rsidR="008E5504" w:rsidRPr="00241415">
        <w:t>,</w:t>
      </w:r>
      <w:r w:rsidRPr="00241415">
        <w:t xml:space="preserve"> </w:t>
      </w:r>
      <w:r w:rsidR="001117B9" w:rsidRPr="00241415">
        <w:t>the programme is</w:t>
      </w:r>
      <w:r w:rsidRPr="00241415">
        <w:t xml:space="preserve"> built</w:t>
      </w:r>
      <w:r w:rsidR="00587778" w:rsidRPr="00241415">
        <w:t xml:space="preserve"> </w:t>
      </w:r>
      <w:r w:rsidRPr="00241415">
        <w:t xml:space="preserve">on the experience gained by the interim </w:t>
      </w:r>
      <w:r w:rsidR="0023016B" w:rsidRPr="00241415">
        <w:t>s</w:t>
      </w:r>
      <w:r w:rsidRPr="00241415">
        <w:t>ecretariat since 2010</w:t>
      </w:r>
      <w:r w:rsidR="001117B9" w:rsidRPr="00241415">
        <w:t>,</w:t>
      </w:r>
      <w:r w:rsidRPr="00241415">
        <w:t xml:space="preserve"> </w:t>
      </w:r>
      <w:r w:rsidR="000E62F0" w:rsidRPr="00241415">
        <w:t>which includ</w:t>
      </w:r>
      <w:r w:rsidR="0090208D" w:rsidRPr="00241415">
        <w:t>e</w:t>
      </w:r>
      <w:r w:rsidR="009B3595" w:rsidRPr="00241415">
        <w:t>s</w:t>
      </w:r>
      <w:r w:rsidR="000E62F0" w:rsidRPr="00241415">
        <w:t xml:space="preserve"> the following</w:t>
      </w:r>
      <w:r w:rsidRPr="00241415">
        <w:t xml:space="preserve">: </w:t>
      </w:r>
    </w:p>
    <w:p w14:paraId="2B100373" w14:textId="569727FE" w:rsidR="005642B6" w:rsidRPr="00A74337" w:rsidRDefault="009B3595" w:rsidP="0002596B">
      <w:pPr>
        <w:pStyle w:val="Normalnumber"/>
        <w:numPr>
          <w:ilvl w:val="0"/>
          <w:numId w:val="77"/>
        </w:numPr>
        <w:ind w:left="1247" w:firstLine="624"/>
      </w:pPr>
      <w:r w:rsidRPr="00241415">
        <w:t>Having a</w:t>
      </w:r>
      <w:r w:rsidR="005642B6" w:rsidRPr="00241415">
        <w:t>rrange</w:t>
      </w:r>
      <w:r w:rsidR="00F92F1B" w:rsidRPr="00241415">
        <w:t>d</w:t>
      </w:r>
      <w:r w:rsidR="005642B6" w:rsidRPr="0033544C">
        <w:rPr>
          <w:b/>
        </w:rPr>
        <w:t xml:space="preserve"> </w:t>
      </w:r>
      <w:r w:rsidR="005642B6" w:rsidRPr="00241415">
        <w:t xml:space="preserve">seven meetings of the intergovernmental negotiating committee, </w:t>
      </w:r>
      <w:r w:rsidR="008162A1" w:rsidRPr="00241415">
        <w:t>the</w:t>
      </w:r>
      <w:r w:rsidR="005642B6" w:rsidRPr="00241415">
        <w:t xml:space="preserve"> meetings of the </w:t>
      </w:r>
      <w:r w:rsidR="000E62F0" w:rsidRPr="00241415">
        <w:t>committee</w:t>
      </w:r>
      <w:r w:rsidR="005642B6" w:rsidRPr="00241415">
        <w:t xml:space="preserve"> </w:t>
      </w:r>
      <w:r w:rsidR="00947BD3" w:rsidRPr="00241415">
        <w:t>B</w:t>
      </w:r>
      <w:r w:rsidR="005642B6" w:rsidRPr="00241415">
        <w:t xml:space="preserve">ureau, numerous </w:t>
      </w:r>
      <w:proofErr w:type="spellStart"/>
      <w:r w:rsidR="005642B6" w:rsidRPr="00241415">
        <w:t>intersessional</w:t>
      </w:r>
      <w:proofErr w:type="spellEnd"/>
      <w:r w:rsidR="005642B6" w:rsidRPr="00241415">
        <w:t xml:space="preserve"> meetings</w:t>
      </w:r>
      <w:r w:rsidR="008027C0" w:rsidRPr="00241415">
        <w:t xml:space="preserve"> and</w:t>
      </w:r>
      <w:r w:rsidR="000E62F0" w:rsidRPr="00241415">
        <w:t>,</w:t>
      </w:r>
      <w:r w:rsidR="008027C0" w:rsidRPr="00241415">
        <w:t xml:space="preserve"> most recently</w:t>
      </w:r>
      <w:r w:rsidR="000E62F0" w:rsidRPr="00241415">
        <w:t>,</w:t>
      </w:r>
      <w:r w:rsidR="008027C0" w:rsidRPr="00241415">
        <w:t xml:space="preserve"> </w:t>
      </w:r>
      <w:r w:rsidR="000E62F0" w:rsidRPr="00241415">
        <w:t>the</w:t>
      </w:r>
      <w:r w:rsidR="008027C0" w:rsidRPr="00241415">
        <w:t xml:space="preserve"> first meeting of the Conference of the Parties</w:t>
      </w:r>
      <w:r w:rsidR="00F92F1B" w:rsidRPr="00241415">
        <w:t>, as well as</w:t>
      </w:r>
      <w:r w:rsidR="002A4379" w:rsidRPr="00241415">
        <w:t xml:space="preserve"> regional preparatory meetings</w:t>
      </w:r>
      <w:r w:rsidR="000E62F0" w:rsidRPr="00241415">
        <w:t>;</w:t>
      </w:r>
      <w:r w:rsidR="005642B6" w:rsidRPr="00241415">
        <w:t xml:space="preserve"> </w:t>
      </w:r>
    </w:p>
    <w:p w14:paraId="47016BE4" w14:textId="0D48ACED" w:rsidR="005642B6" w:rsidRPr="00A74337" w:rsidRDefault="009B3595" w:rsidP="000E5516">
      <w:pPr>
        <w:pStyle w:val="Normalnumber"/>
        <w:numPr>
          <w:ilvl w:val="0"/>
          <w:numId w:val="77"/>
        </w:numPr>
        <w:ind w:left="1247" w:firstLine="624"/>
      </w:pPr>
      <w:r w:rsidRPr="00241415">
        <w:t>Having fac</w:t>
      </w:r>
      <w:r w:rsidR="006B354F" w:rsidRPr="00241415">
        <w:t>ilitated and provided</w:t>
      </w:r>
      <w:r w:rsidR="005642B6" w:rsidRPr="00241415">
        <w:t xml:space="preserve"> assistance to </w:t>
      </w:r>
      <w:r w:rsidR="0002540B" w:rsidRPr="00241415">
        <w:t>States</w:t>
      </w:r>
      <w:r w:rsidR="005642B6" w:rsidRPr="00241415">
        <w:t>,</w:t>
      </w:r>
      <w:r w:rsidR="00947BD3" w:rsidRPr="00241415">
        <w:t xml:space="preserve"> in </w:t>
      </w:r>
      <w:r w:rsidR="005642B6" w:rsidRPr="00241415">
        <w:t xml:space="preserve">particular developing countries and countries with economies in transition, </w:t>
      </w:r>
      <w:r w:rsidR="00762424" w:rsidRPr="00241415">
        <w:t>up</w:t>
      </w:r>
      <w:r w:rsidR="005642B6" w:rsidRPr="00241415">
        <w:t xml:space="preserve">on request, </w:t>
      </w:r>
      <w:r w:rsidR="005F22CA" w:rsidRPr="00241415">
        <w:t>to support</w:t>
      </w:r>
      <w:r w:rsidR="005642B6" w:rsidRPr="00241415">
        <w:t xml:space="preserve"> the ratification </w:t>
      </w:r>
      <w:r w:rsidR="00762424" w:rsidRPr="00241415">
        <w:t xml:space="preserve">and early implementation </w:t>
      </w:r>
      <w:r w:rsidR="005642B6" w:rsidRPr="00241415">
        <w:t>of th</w:t>
      </w:r>
      <w:r w:rsidR="00762424" w:rsidRPr="00241415">
        <w:t xml:space="preserve">e </w:t>
      </w:r>
      <w:proofErr w:type="spellStart"/>
      <w:r w:rsidR="00762424" w:rsidRPr="00241415">
        <w:t>Minamata</w:t>
      </w:r>
      <w:proofErr w:type="spellEnd"/>
      <w:r w:rsidR="00762424" w:rsidRPr="00241415">
        <w:t xml:space="preserve"> </w:t>
      </w:r>
      <w:r w:rsidR="005642B6" w:rsidRPr="00241415">
        <w:t>Convention</w:t>
      </w:r>
      <w:r w:rsidR="0002540B" w:rsidRPr="00241415">
        <w:t>;</w:t>
      </w:r>
    </w:p>
    <w:p w14:paraId="7103E02D" w14:textId="0D98FFD8" w:rsidR="005F22CA" w:rsidRPr="00A74337" w:rsidRDefault="009B3595" w:rsidP="000E5516">
      <w:pPr>
        <w:pStyle w:val="Normalnumber"/>
        <w:numPr>
          <w:ilvl w:val="0"/>
          <w:numId w:val="77"/>
        </w:numPr>
        <w:ind w:left="1247" w:firstLine="624"/>
      </w:pPr>
      <w:r w:rsidRPr="00241415">
        <w:t>Having c</w:t>
      </w:r>
      <w:r w:rsidR="005642B6" w:rsidRPr="00241415">
        <w:t>oordinated, as appropriate</w:t>
      </w:r>
      <w:r w:rsidR="005F22CA" w:rsidRPr="00241415">
        <w:t>,</w:t>
      </w:r>
      <w:r w:rsidR="005642B6" w:rsidRPr="00241415">
        <w:t xml:space="preserve"> with the secretariats of relevant international bodies, including other c</w:t>
      </w:r>
      <w:r w:rsidR="008162A1" w:rsidRPr="00241415">
        <w:t>hemical</w:t>
      </w:r>
      <w:r w:rsidR="0002596B" w:rsidRPr="00241415">
        <w:t>s</w:t>
      </w:r>
      <w:r w:rsidR="008162A1" w:rsidRPr="00241415">
        <w:t xml:space="preserve"> and waste conventions</w:t>
      </w:r>
      <w:r w:rsidR="0002540B" w:rsidRPr="00241415">
        <w:t>;</w:t>
      </w:r>
    </w:p>
    <w:p w14:paraId="0B7E9B33" w14:textId="038A009C" w:rsidR="005642B6" w:rsidRPr="00A74337" w:rsidRDefault="009B3595" w:rsidP="000E5516">
      <w:pPr>
        <w:pStyle w:val="Normalnumber"/>
        <w:numPr>
          <w:ilvl w:val="0"/>
          <w:numId w:val="77"/>
        </w:numPr>
        <w:ind w:left="1247" w:firstLine="624"/>
      </w:pPr>
      <w:r w:rsidRPr="00241415">
        <w:t>Having e</w:t>
      </w:r>
      <w:r w:rsidR="00D85155" w:rsidRPr="00241415">
        <w:t>ntered into administrative and contractual arrangements</w:t>
      </w:r>
      <w:r w:rsidR="005F22CA" w:rsidRPr="00241415">
        <w:t>,</w:t>
      </w:r>
      <w:r w:rsidR="00D85155" w:rsidRPr="00241415">
        <w:t xml:space="preserve"> as required</w:t>
      </w:r>
      <w:r w:rsidR="005F22CA" w:rsidRPr="00241415">
        <w:t>,</w:t>
      </w:r>
      <w:r w:rsidR="00D85155" w:rsidRPr="00241415">
        <w:t xml:space="preserve"> to effectively discharge </w:t>
      </w:r>
      <w:r w:rsidR="002A4379" w:rsidRPr="00241415">
        <w:t>the above</w:t>
      </w:r>
      <w:r w:rsidR="0002540B" w:rsidRPr="00241415">
        <w:t>-</w:t>
      </w:r>
      <w:r w:rsidR="002A4379" w:rsidRPr="00241415">
        <w:t>mentioned</w:t>
      </w:r>
      <w:r w:rsidR="00D85155" w:rsidRPr="00241415">
        <w:t xml:space="preserve"> functions under the overall framework of authority delegated by the Executive Director of </w:t>
      </w:r>
      <w:r w:rsidR="0002540B" w:rsidRPr="00241415">
        <w:t>UNEP;</w:t>
      </w:r>
      <w:r w:rsidR="008162A1" w:rsidRPr="00241415">
        <w:t xml:space="preserve"> </w:t>
      </w:r>
    </w:p>
    <w:p w14:paraId="352DE795" w14:textId="4E9E4C41" w:rsidR="008162A1" w:rsidRPr="008162A1" w:rsidRDefault="009B3595" w:rsidP="000E5516">
      <w:pPr>
        <w:pStyle w:val="Normalnumber"/>
        <w:numPr>
          <w:ilvl w:val="0"/>
          <w:numId w:val="77"/>
        </w:numPr>
        <w:ind w:left="1247" w:firstLine="624"/>
      </w:pPr>
      <w:r w:rsidRPr="00241415">
        <w:t>Having p</w:t>
      </w:r>
      <w:r w:rsidR="008162A1" w:rsidRPr="00241415">
        <w:t xml:space="preserve">rovided scientific and technical expertise to support and underpin the development of </w:t>
      </w:r>
      <w:r w:rsidR="005A0730" w:rsidRPr="00241415">
        <w:t xml:space="preserve">guidance, including </w:t>
      </w:r>
      <w:r w:rsidR="0090208D" w:rsidRPr="00241415">
        <w:t>on the best available tech</w:t>
      </w:r>
      <w:r w:rsidR="00E729A3" w:rsidRPr="00241415">
        <w:t>niques and</w:t>
      </w:r>
      <w:r w:rsidR="0090208D" w:rsidRPr="00241415">
        <w:t xml:space="preserve"> environmental practices</w:t>
      </w:r>
      <w:r w:rsidR="005A0730" w:rsidRPr="00241415">
        <w:t>,</w:t>
      </w:r>
      <w:r w:rsidR="008162A1" w:rsidRPr="00241415">
        <w:t xml:space="preserve"> during the intergovernmental negotiating committee process</w:t>
      </w:r>
      <w:r w:rsidR="005A0730" w:rsidRPr="00241415">
        <w:t>.</w:t>
      </w:r>
      <w:r w:rsidR="005A0730">
        <w:t xml:space="preserve"> Th</w:t>
      </w:r>
      <w:r w:rsidR="0090208D">
        <w:t>at</w:t>
      </w:r>
      <w:r w:rsidR="005A0730">
        <w:t xml:space="preserve"> guidance </w:t>
      </w:r>
      <w:r w:rsidR="00907D44">
        <w:t xml:space="preserve">will be </w:t>
      </w:r>
      <w:r w:rsidR="008162A1">
        <w:t>presented for adoption at the first meeting of the Conference</w:t>
      </w:r>
      <w:r w:rsidR="005A0730">
        <w:t>.</w:t>
      </w:r>
    </w:p>
    <w:p w14:paraId="45A473FA" w14:textId="7424FA86" w:rsidR="00C027AC" w:rsidRPr="008162A1" w:rsidRDefault="00892470" w:rsidP="00542FF9">
      <w:pPr>
        <w:pStyle w:val="Normalnumber"/>
        <w:tabs>
          <w:tab w:val="clear" w:pos="624"/>
          <w:tab w:val="left" w:pos="1701"/>
        </w:tabs>
        <w:ind w:left="1247" w:hanging="1"/>
      </w:pPr>
      <w:r>
        <w:t>T</w:t>
      </w:r>
      <w:r w:rsidR="00587778">
        <w:t xml:space="preserve">he </w:t>
      </w:r>
      <w:r w:rsidR="00C027AC" w:rsidRPr="008162A1">
        <w:t xml:space="preserve">proposed activities </w:t>
      </w:r>
      <w:r w:rsidR="007C64BE" w:rsidRPr="008162A1">
        <w:t xml:space="preserve">in the programme </w:t>
      </w:r>
      <w:r w:rsidR="007C64BE" w:rsidRPr="00241415">
        <w:rPr>
          <w:bCs/>
        </w:rPr>
        <w:t xml:space="preserve">of work </w:t>
      </w:r>
      <w:r w:rsidR="00C027AC" w:rsidRPr="00241415">
        <w:rPr>
          <w:bCs/>
        </w:rPr>
        <w:t xml:space="preserve">are </w:t>
      </w:r>
      <w:r w:rsidRPr="00241415">
        <w:rPr>
          <w:bCs/>
        </w:rPr>
        <w:t>also</w:t>
      </w:r>
      <w:r w:rsidRPr="008162A1">
        <w:t xml:space="preserve"> </w:t>
      </w:r>
      <w:r w:rsidR="00C027AC" w:rsidRPr="008162A1">
        <w:t xml:space="preserve">based on the interim </w:t>
      </w:r>
      <w:r>
        <w:t>s</w:t>
      </w:r>
      <w:r w:rsidR="00C027AC" w:rsidRPr="008162A1">
        <w:t xml:space="preserve">ecretariat’s assessment of </w:t>
      </w:r>
      <w:r w:rsidR="00BC09DB" w:rsidRPr="008162A1">
        <w:t xml:space="preserve">activities and resources required to </w:t>
      </w:r>
      <w:r w:rsidR="001117B9">
        <w:t xml:space="preserve">advance and </w:t>
      </w:r>
      <w:r w:rsidR="00BC09DB" w:rsidRPr="008162A1">
        <w:t>fulfil matters for action by the second and third meetings of the Conference</w:t>
      </w:r>
      <w:r w:rsidR="0060766F">
        <w:t xml:space="preserve"> of the Parties</w:t>
      </w:r>
      <w:r>
        <w:t>,</w:t>
      </w:r>
      <w:r w:rsidR="00336272">
        <w:t xml:space="preserve"> </w:t>
      </w:r>
      <w:r w:rsidR="00BC09DB" w:rsidRPr="008162A1">
        <w:t xml:space="preserve">as set out </w:t>
      </w:r>
      <w:r w:rsidR="00947BD3">
        <w:t>in</w:t>
      </w:r>
      <w:r w:rsidR="00BC09DB" w:rsidRPr="008162A1">
        <w:t xml:space="preserve"> the </w:t>
      </w:r>
      <w:proofErr w:type="spellStart"/>
      <w:r w:rsidR="00BC09DB" w:rsidRPr="008162A1">
        <w:t>Minamata</w:t>
      </w:r>
      <w:proofErr w:type="spellEnd"/>
      <w:r w:rsidR="00BC09DB" w:rsidRPr="008162A1">
        <w:t xml:space="preserve"> Convention and the Final Act</w:t>
      </w:r>
      <w:r w:rsidR="00234F53" w:rsidRPr="008162A1">
        <w:t xml:space="preserve">, </w:t>
      </w:r>
      <w:r w:rsidR="00E729A3">
        <w:t xml:space="preserve">as well as </w:t>
      </w:r>
      <w:r w:rsidR="00234F53" w:rsidRPr="008162A1">
        <w:t xml:space="preserve">the activities </w:t>
      </w:r>
      <w:r w:rsidR="00336272">
        <w:t xml:space="preserve">that need </w:t>
      </w:r>
      <w:r w:rsidR="00B01D71">
        <w:t xml:space="preserve">to be undertaken to assist in </w:t>
      </w:r>
      <w:r w:rsidR="00556553">
        <w:t xml:space="preserve">the </w:t>
      </w:r>
      <w:r w:rsidR="00B01D71">
        <w:t>implement</w:t>
      </w:r>
      <w:r w:rsidR="00556553">
        <w:t>ation</w:t>
      </w:r>
      <w:r w:rsidR="00234F53" w:rsidRPr="008162A1">
        <w:t xml:space="preserve"> </w:t>
      </w:r>
      <w:r w:rsidR="00556553">
        <w:t xml:space="preserve">of </w:t>
      </w:r>
      <w:r w:rsidR="00234F53" w:rsidRPr="008162A1">
        <w:t>the Convention</w:t>
      </w:r>
      <w:r w:rsidR="006F08B2" w:rsidRPr="008162A1">
        <w:t xml:space="preserve"> in the </w:t>
      </w:r>
      <w:r w:rsidR="00392075">
        <w:t xml:space="preserve">biennium </w:t>
      </w:r>
      <w:r w:rsidR="006F08B2" w:rsidRPr="008162A1">
        <w:t>2018</w:t>
      </w:r>
      <w:r w:rsidR="005C46B8">
        <w:t>–</w:t>
      </w:r>
      <w:r w:rsidR="006F08B2" w:rsidRPr="008162A1">
        <w:t>2019</w:t>
      </w:r>
      <w:r w:rsidR="00BC09DB" w:rsidRPr="008162A1">
        <w:t>.</w:t>
      </w:r>
      <w:r w:rsidR="004661C0" w:rsidRPr="008162A1">
        <w:t xml:space="preserve"> </w:t>
      </w:r>
    </w:p>
    <w:p w14:paraId="07D5B4F6" w14:textId="3012A0FB" w:rsidR="00336272" w:rsidRDefault="00020A06" w:rsidP="00C03273">
      <w:pPr>
        <w:pStyle w:val="Normalnumber"/>
        <w:ind w:left="1247" w:firstLine="0"/>
      </w:pPr>
      <w:r>
        <w:t>T</w:t>
      </w:r>
      <w:r w:rsidR="006F08B2" w:rsidRPr="008162A1">
        <w:t>he</w:t>
      </w:r>
      <w:r w:rsidR="00414C8E" w:rsidRPr="008162A1">
        <w:t xml:space="preserve"> proposed </w:t>
      </w:r>
      <w:r w:rsidR="007C64BE" w:rsidRPr="008162A1">
        <w:t xml:space="preserve">programme of work </w:t>
      </w:r>
      <w:r>
        <w:t xml:space="preserve">also </w:t>
      </w:r>
      <w:r w:rsidR="00414C8E" w:rsidRPr="008162A1">
        <w:t>draw</w:t>
      </w:r>
      <w:r w:rsidR="00E729A3">
        <w:t>s</w:t>
      </w:r>
      <w:r w:rsidR="00414C8E" w:rsidRPr="008162A1">
        <w:t xml:space="preserve"> </w:t>
      </w:r>
      <w:r w:rsidR="001117B9">
        <w:t>on</w:t>
      </w:r>
      <w:r w:rsidR="00D85155" w:rsidRPr="008162A1">
        <w:t xml:space="preserve"> the experiences </w:t>
      </w:r>
      <w:r w:rsidR="00E729A3">
        <w:t xml:space="preserve">of </w:t>
      </w:r>
      <w:r w:rsidR="00D85155" w:rsidRPr="008162A1">
        <w:t xml:space="preserve">and </w:t>
      </w:r>
      <w:r w:rsidR="00414C8E" w:rsidRPr="008162A1">
        <w:t xml:space="preserve">lessons learned </w:t>
      </w:r>
      <w:r w:rsidR="00E729A3">
        <w:t xml:space="preserve">by </w:t>
      </w:r>
      <w:r w:rsidR="00C97358">
        <w:t xml:space="preserve">the </w:t>
      </w:r>
      <w:r w:rsidR="005C46B8">
        <w:t>s</w:t>
      </w:r>
      <w:r w:rsidR="00D85155" w:rsidRPr="008162A1">
        <w:t>ecretariat of the Basel, Rotterdam and Stockholm conventions</w:t>
      </w:r>
      <w:r w:rsidR="001117B9">
        <w:t>, specifically</w:t>
      </w:r>
      <w:r w:rsidR="00D85155" w:rsidRPr="008162A1">
        <w:t xml:space="preserve"> in terms of scaling cost estimates and </w:t>
      </w:r>
      <w:r w:rsidR="001117B9">
        <w:t xml:space="preserve">the </w:t>
      </w:r>
      <w:r w:rsidR="00D85155" w:rsidRPr="008162A1">
        <w:t xml:space="preserve">consideration of </w:t>
      </w:r>
      <w:r w:rsidR="001117B9">
        <w:t>time allocation</w:t>
      </w:r>
      <w:r w:rsidR="00D85155" w:rsidRPr="008162A1">
        <w:t xml:space="preserve"> for </w:t>
      </w:r>
      <w:r w:rsidR="00B01D71">
        <w:t xml:space="preserve">the implementation of </w:t>
      </w:r>
      <w:r w:rsidR="00D85155" w:rsidRPr="008162A1">
        <w:t xml:space="preserve">activities. </w:t>
      </w:r>
    </w:p>
    <w:p w14:paraId="3F0EB12D" w14:textId="2F80224C" w:rsidR="00510281" w:rsidRPr="006C74E7" w:rsidRDefault="00827321" w:rsidP="00C03273">
      <w:pPr>
        <w:pStyle w:val="Normalnumber"/>
        <w:ind w:left="1247" w:firstLine="0"/>
      </w:pPr>
      <w:r>
        <w:t>T</w:t>
      </w:r>
      <w:r w:rsidR="00510281" w:rsidRPr="006C74E7">
        <w:t>he proposed programme of work and budget for the biennium 2018–2019</w:t>
      </w:r>
      <w:r>
        <w:t xml:space="preserve"> </w:t>
      </w:r>
      <w:r w:rsidR="00B01D71">
        <w:t xml:space="preserve">provide for </w:t>
      </w:r>
      <w:r w:rsidR="00510281" w:rsidRPr="006C74E7">
        <w:t xml:space="preserve">the permanent </w:t>
      </w:r>
      <w:r w:rsidR="005C46B8">
        <w:t>s</w:t>
      </w:r>
      <w:r w:rsidR="00510281" w:rsidRPr="006C74E7">
        <w:t xml:space="preserve">ecretariat to support and facilitate </w:t>
      </w:r>
      <w:r w:rsidR="00E729A3">
        <w:t xml:space="preserve">both </w:t>
      </w:r>
      <w:r w:rsidR="005C46B8">
        <w:t>the</w:t>
      </w:r>
      <w:r>
        <w:t xml:space="preserve"> implementation of the C</w:t>
      </w:r>
      <w:r w:rsidR="00510281" w:rsidRPr="006C74E7">
        <w:t>onven</w:t>
      </w:r>
      <w:r>
        <w:t>tion</w:t>
      </w:r>
      <w:r w:rsidR="005C46B8">
        <w:t xml:space="preserve"> by parties</w:t>
      </w:r>
      <w:r w:rsidR="00510281">
        <w:t xml:space="preserve"> and the decisions of the C</w:t>
      </w:r>
      <w:r w:rsidR="00510281" w:rsidRPr="006C74E7">
        <w:t>onference</w:t>
      </w:r>
      <w:r w:rsidR="001A0AE1">
        <w:t>. The proposed activities include</w:t>
      </w:r>
      <w:r w:rsidR="005C46B8">
        <w:t xml:space="preserve"> the following:</w:t>
      </w:r>
    </w:p>
    <w:p w14:paraId="31AFD7C7" w14:textId="13D0BA52" w:rsidR="00510281" w:rsidRPr="00A74337" w:rsidRDefault="00F21952" w:rsidP="00972D3B">
      <w:pPr>
        <w:pStyle w:val="Normalnumber"/>
        <w:numPr>
          <w:ilvl w:val="0"/>
          <w:numId w:val="0"/>
        </w:numPr>
        <w:tabs>
          <w:tab w:val="clear" w:pos="624"/>
          <w:tab w:val="left" w:pos="2127"/>
        </w:tabs>
        <w:ind w:left="1260" w:firstLine="448"/>
      </w:pPr>
      <w:r>
        <w:t>(a)</w:t>
      </w:r>
      <w:r>
        <w:tab/>
      </w:r>
      <w:r w:rsidR="00BC7643">
        <w:t>C</w:t>
      </w:r>
      <w:r w:rsidR="00510281" w:rsidRPr="006C74E7">
        <w:t>onven</w:t>
      </w:r>
      <w:r w:rsidR="00AE4A07">
        <w:t>ing</w:t>
      </w:r>
      <w:r w:rsidR="00510281" w:rsidRPr="006C74E7">
        <w:t xml:space="preserve"> </w:t>
      </w:r>
      <w:r w:rsidR="00510281" w:rsidRPr="006B354F">
        <w:t>and servic</w:t>
      </w:r>
      <w:r w:rsidR="00AE4A07">
        <w:t>ing</w:t>
      </w:r>
      <w:r w:rsidR="00510281" w:rsidRPr="006B354F">
        <w:t xml:space="preserve"> all required </w:t>
      </w:r>
      <w:r w:rsidR="00510281" w:rsidRPr="00241415">
        <w:t>meetings of the Conference</w:t>
      </w:r>
      <w:r w:rsidR="0060766F" w:rsidRPr="00241415">
        <w:t xml:space="preserve"> of the Parties</w:t>
      </w:r>
      <w:r w:rsidR="001A0AE1" w:rsidRPr="00241415">
        <w:t>;</w:t>
      </w:r>
    </w:p>
    <w:p w14:paraId="41F5AB42" w14:textId="6DECAB76" w:rsidR="00510281" w:rsidRPr="00171E78" w:rsidRDefault="00F21952">
      <w:pPr>
        <w:pStyle w:val="Normalnumber"/>
        <w:numPr>
          <w:ilvl w:val="0"/>
          <w:numId w:val="0"/>
        </w:numPr>
        <w:tabs>
          <w:tab w:val="clear" w:pos="624"/>
          <w:tab w:val="left" w:pos="2127"/>
        </w:tabs>
        <w:ind w:left="1260" w:firstLine="448"/>
      </w:pPr>
      <w:r w:rsidRPr="00241415">
        <w:t>(b)</w:t>
      </w:r>
      <w:r w:rsidRPr="00241415">
        <w:tab/>
      </w:r>
      <w:r w:rsidR="00BC7643" w:rsidRPr="00241415">
        <w:t>F</w:t>
      </w:r>
      <w:r w:rsidR="00510281" w:rsidRPr="00241415">
        <w:t>acilitat</w:t>
      </w:r>
      <w:r w:rsidR="00AE4A07" w:rsidRPr="00241415">
        <w:t>ing</w:t>
      </w:r>
      <w:r w:rsidR="00510281" w:rsidRPr="00241415">
        <w:t xml:space="preserve"> assistance to </w:t>
      </w:r>
      <w:r w:rsidR="001A0AE1" w:rsidRPr="00241415">
        <w:t>p</w:t>
      </w:r>
      <w:r w:rsidR="00510281" w:rsidRPr="00241415">
        <w:t xml:space="preserve">arties, </w:t>
      </w:r>
      <w:r w:rsidR="00947BD3" w:rsidRPr="00241415">
        <w:t xml:space="preserve">in </w:t>
      </w:r>
      <w:r w:rsidR="00510281" w:rsidRPr="00241415">
        <w:t xml:space="preserve">particular </w:t>
      </w:r>
      <w:r w:rsidR="00A74337" w:rsidRPr="00241415">
        <w:t xml:space="preserve">developing country </w:t>
      </w:r>
      <w:r w:rsidR="00796405" w:rsidRPr="00241415">
        <w:t>parties</w:t>
      </w:r>
      <w:r w:rsidR="00510281" w:rsidRPr="00241415">
        <w:t xml:space="preserve"> and</w:t>
      </w:r>
      <w:r w:rsidR="00171E78" w:rsidRPr="00241415">
        <w:t xml:space="preserve"> p</w:t>
      </w:r>
      <w:r w:rsidR="00510281" w:rsidRPr="00241415">
        <w:t xml:space="preserve">arties with economies in transition, </w:t>
      </w:r>
      <w:r w:rsidR="001A0AE1" w:rsidRPr="00241415">
        <w:t>up</w:t>
      </w:r>
      <w:r w:rsidR="00510281" w:rsidRPr="00241415">
        <w:t>on request, in the implementation of the Convention</w:t>
      </w:r>
      <w:r w:rsidR="001A0AE1" w:rsidRPr="00241415">
        <w:t>;</w:t>
      </w:r>
    </w:p>
    <w:p w14:paraId="08B7E523" w14:textId="2B7AC5FB" w:rsidR="00510281" w:rsidRPr="006C74E7" w:rsidRDefault="00F21952" w:rsidP="00972D3B">
      <w:pPr>
        <w:pStyle w:val="Normalnumber"/>
        <w:numPr>
          <w:ilvl w:val="0"/>
          <w:numId w:val="0"/>
        </w:numPr>
        <w:tabs>
          <w:tab w:val="clear" w:pos="624"/>
          <w:tab w:val="left" w:pos="2127"/>
        </w:tabs>
        <w:ind w:left="1260" w:firstLine="448"/>
      </w:pPr>
      <w:r w:rsidRPr="00171E78">
        <w:t>(c)</w:t>
      </w:r>
      <w:r w:rsidRPr="00171E78">
        <w:tab/>
      </w:r>
      <w:r w:rsidR="00BC7643" w:rsidRPr="00171E78">
        <w:t>C</w:t>
      </w:r>
      <w:r w:rsidR="00510281" w:rsidRPr="00171E78">
        <w:t>oordinat</w:t>
      </w:r>
      <w:r w:rsidR="00AE4A07">
        <w:t>ing</w:t>
      </w:r>
      <w:r w:rsidR="00510281" w:rsidRPr="00171E78">
        <w:t xml:space="preserve">, as appropriate, with </w:t>
      </w:r>
      <w:r w:rsidR="001A0AE1" w:rsidRPr="00171E78">
        <w:t xml:space="preserve">the </w:t>
      </w:r>
      <w:r w:rsidR="00510281" w:rsidRPr="00171E78">
        <w:t>secretariats of relevant international</w:t>
      </w:r>
      <w:r w:rsidR="00510281" w:rsidRPr="006C74E7">
        <w:t xml:space="preserve"> bodies, particularly chemical</w:t>
      </w:r>
      <w:r w:rsidR="0060766F">
        <w:t>s</w:t>
      </w:r>
      <w:r w:rsidR="00510281" w:rsidRPr="006C74E7">
        <w:t xml:space="preserve"> and waste conventions</w:t>
      </w:r>
      <w:r w:rsidR="001A0AE1">
        <w:t>;</w:t>
      </w:r>
    </w:p>
    <w:p w14:paraId="11DE213F" w14:textId="469F8C6C" w:rsidR="00510281" w:rsidRPr="006C74E7" w:rsidRDefault="00F21952" w:rsidP="00972D3B">
      <w:pPr>
        <w:pStyle w:val="Normalnumber"/>
        <w:numPr>
          <w:ilvl w:val="0"/>
          <w:numId w:val="0"/>
        </w:numPr>
        <w:tabs>
          <w:tab w:val="clear" w:pos="624"/>
          <w:tab w:val="left" w:pos="2127"/>
        </w:tabs>
        <w:ind w:left="1260" w:firstLine="448"/>
      </w:pPr>
      <w:r>
        <w:t>(d)</w:t>
      </w:r>
      <w:r>
        <w:tab/>
      </w:r>
      <w:r w:rsidR="00BC7643">
        <w:t>A</w:t>
      </w:r>
      <w:r w:rsidR="00510281" w:rsidRPr="006C74E7">
        <w:t>ssist</w:t>
      </w:r>
      <w:r w:rsidR="00AE4A07">
        <w:t>ing</w:t>
      </w:r>
      <w:r w:rsidR="00510281" w:rsidRPr="006C74E7">
        <w:t xml:space="preserve"> countries in the exchange of information related to the implementation of the Convention</w:t>
      </w:r>
      <w:r w:rsidR="001A0AE1">
        <w:t>;</w:t>
      </w:r>
    </w:p>
    <w:p w14:paraId="11AE23D7" w14:textId="623BB12B" w:rsidR="00510281" w:rsidRPr="006C74E7" w:rsidRDefault="00F21952" w:rsidP="00542FF9">
      <w:pPr>
        <w:pStyle w:val="Normalnumber"/>
        <w:numPr>
          <w:ilvl w:val="0"/>
          <w:numId w:val="0"/>
        </w:numPr>
        <w:tabs>
          <w:tab w:val="clear" w:pos="624"/>
          <w:tab w:val="left" w:pos="2127"/>
        </w:tabs>
        <w:ind w:left="1260" w:firstLine="448"/>
      </w:pPr>
      <w:r>
        <w:t>(e)</w:t>
      </w:r>
      <w:r>
        <w:tab/>
      </w:r>
      <w:r w:rsidR="00BC7643">
        <w:t>P</w:t>
      </w:r>
      <w:r w:rsidR="00510281" w:rsidRPr="006C74E7">
        <w:t>repar</w:t>
      </w:r>
      <w:r w:rsidR="00AE4A07">
        <w:t>ing</w:t>
      </w:r>
      <w:r w:rsidR="00510281" w:rsidRPr="006C74E7">
        <w:t xml:space="preserve"> and mak</w:t>
      </w:r>
      <w:r w:rsidR="00AE4A07">
        <w:t>ing</w:t>
      </w:r>
      <w:r w:rsidR="00510281" w:rsidRPr="006C74E7">
        <w:t xml:space="preserve"> available to </w:t>
      </w:r>
      <w:r w:rsidR="002D3A9E">
        <w:t>p</w:t>
      </w:r>
      <w:r w:rsidR="00510281" w:rsidRPr="006C74E7">
        <w:t xml:space="preserve">arties periodic reports based on the information received pursuant to </w:t>
      </w:r>
      <w:r w:rsidR="002D3A9E">
        <w:t>a</w:t>
      </w:r>
      <w:r w:rsidR="00510281" w:rsidRPr="006C74E7">
        <w:t xml:space="preserve">rticles 15 and 21 </w:t>
      </w:r>
      <w:r w:rsidR="004D63F3">
        <w:t>and other relevant information</w:t>
      </w:r>
      <w:r w:rsidR="001A0AE1">
        <w:t>;</w:t>
      </w:r>
    </w:p>
    <w:p w14:paraId="60A19A30" w14:textId="3E650E53" w:rsidR="00510281" w:rsidRPr="006C74E7" w:rsidRDefault="00F21952" w:rsidP="00972D3B">
      <w:pPr>
        <w:pStyle w:val="Normalnumber"/>
        <w:numPr>
          <w:ilvl w:val="0"/>
          <w:numId w:val="0"/>
        </w:numPr>
        <w:tabs>
          <w:tab w:val="clear" w:pos="624"/>
          <w:tab w:val="left" w:pos="2127"/>
        </w:tabs>
        <w:ind w:left="1260" w:firstLine="448"/>
      </w:pPr>
      <w:r>
        <w:t>(f)</w:t>
      </w:r>
      <w:r>
        <w:tab/>
      </w:r>
      <w:r w:rsidR="00BC7643">
        <w:t>E</w:t>
      </w:r>
      <w:r w:rsidR="00510281" w:rsidRPr="006C74E7">
        <w:t>nter</w:t>
      </w:r>
      <w:r w:rsidR="00AE4A07">
        <w:t>ing</w:t>
      </w:r>
      <w:r w:rsidR="00510281" w:rsidRPr="006C74E7">
        <w:t>, under the overall guidance of the Conference</w:t>
      </w:r>
      <w:r w:rsidR="003446A7">
        <w:t xml:space="preserve"> of the Parties</w:t>
      </w:r>
      <w:r w:rsidR="00510281" w:rsidRPr="006C74E7">
        <w:t>, into administrative and contractual arrangements as may be required for the effective discharge of its functions</w:t>
      </w:r>
      <w:r w:rsidR="001A0AE1">
        <w:t>;</w:t>
      </w:r>
    </w:p>
    <w:p w14:paraId="355F8886" w14:textId="7897B370" w:rsidR="005E577F" w:rsidRDefault="00F21952" w:rsidP="00972D3B">
      <w:pPr>
        <w:pStyle w:val="Normalnumber"/>
        <w:numPr>
          <w:ilvl w:val="0"/>
          <w:numId w:val="0"/>
        </w:numPr>
        <w:tabs>
          <w:tab w:val="clear" w:pos="624"/>
          <w:tab w:val="left" w:pos="2127"/>
        </w:tabs>
        <w:ind w:left="1260" w:firstLine="448"/>
      </w:pPr>
      <w:r>
        <w:t>(g)</w:t>
      </w:r>
      <w:r>
        <w:tab/>
      </w:r>
      <w:r w:rsidR="00BC7643">
        <w:t>P</w:t>
      </w:r>
      <w:r w:rsidR="00510281" w:rsidRPr="006C74E7">
        <w:t>erform</w:t>
      </w:r>
      <w:r w:rsidR="00AE4A07">
        <w:t>ing</w:t>
      </w:r>
      <w:r w:rsidR="00510281" w:rsidRPr="006C74E7">
        <w:t xml:space="preserve"> the other secretariat functions specified in th</w:t>
      </w:r>
      <w:r w:rsidR="002D3A9E">
        <w:t>e</w:t>
      </w:r>
      <w:r w:rsidR="00510281" w:rsidRPr="006C74E7">
        <w:t xml:space="preserve"> Conve</w:t>
      </w:r>
      <w:r w:rsidR="001A0AE1">
        <w:t>ntion</w:t>
      </w:r>
      <w:r w:rsidR="00510281" w:rsidRPr="006C74E7">
        <w:t xml:space="preserve"> and functions as may be determined by the Conference. </w:t>
      </w:r>
    </w:p>
    <w:p w14:paraId="2B76530A" w14:textId="1CE4A4B7" w:rsidR="00827321" w:rsidRDefault="00556F3A" w:rsidP="00C03273">
      <w:pPr>
        <w:pStyle w:val="Normalnumber"/>
        <w:ind w:left="1247" w:firstLine="0"/>
      </w:pPr>
      <w:r>
        <w:t xml:space="preserve">The </w:t>
      </w:r>
      <w:r w:rsidR="00ED060D">
        <w:t xml:space="preserve">proposed </w:t>
      </w:r>
      <w:r>
        <w:t xml:space="preserve">programme of work </w:t>
      </w:r>
      <w:r w:rsidR="00827321">
        <w:t>is organi</w:t>
      </w:r>
      <w:r w:rsidR="002D3A9E">
        <w:t>zed</w:t>
      </w:r>
      <w:r w:rsidR="00827321">
        <w:t xml:space="preserve"> into seven functional headings that broadly follow the </w:t>
      </w:r>
      <w:r>
        <w:t xml:space="preserve">functions of the </w:t>
      </w:r>
      <w:r w:rsidR="002D3A9E">
        <w:t>s</w:t>
      </w:r>
      <w:r w:rsidR="00827321">
        <w:t xml:space="preserve">ecretariat, namely: </w:t>
      </w:r>
    </w:p>
    <w:p w14:paraId="755C7455" w14:textId="051B423E" w:rsidR="00827321" w:rsidRPr="008162A1" w:rsidRDefault="00835746" w:rsidP="00972D3B">
      <w:pPr>
        <w:pStyle w:val="Normalnumber"/>
        <w:numPr>
          <w:ilvl w:val="0"/>
          <w:numId w:val="0"/>
        </w:numPr>
        <w:tabs>
          <w:tab w:val="clear" w:pos="624"/>
          <w:tab w:val="left" w:pos="2127"/>
        </w:tabs>
        <w:ind w:left="1260" w:firstLine="448"/>
      </w:pPr>
      <w:r>
        <w:t>(a)</w:t>
      </w:r>
      <w:r>
        <w:tab/>
      </w:r>
      <w:r w:rsidR="00827321" w:rsidRPr="008162A1">
        <w:t>Conferences and meetings;</w:t>
      </w:r>
    </w:p>
    <w:p w14:paraId="76E7C894" w14:textId="0A8FB9A8" w:rsidR="00827321" w:rsidRPr="008162A1" w:rsidRDefault="00835746" w:rsidP="00972D3B">
      <w:pPr>
        <w:pStyle w:val="Normalnumber"/>
        <w:numPr>
          <w:ilvl w:val="0"/>
          <w:numId w:val="0"/>
        </w:numPr>
        <w:tabs>
          <w:tab w:val="clear" w:pos="624"/>
          <w:tab w:val="left" w:pos="2127"/>
        </w:tabs>
        <w:ind w:left="1260" w:firstLine="448"/>
      </w:pPr>
      <w:r>
        <w:t>(b)</w:t>
      </w:r>
      <w:r>
        <w:tab/>
      </w:r>
      <w:r w:rsidR="00827321" w:rsidRPr="008162A1">
        <w:t>Capacity</w:t>
      </w:r>
      <w:r w:rsidR="002D3A9E">
        <w:t>-</w:t>
      </w:r>
      <w:r w:rsidR="00827321" w:rsidRPr="008162A1">
        <w:t>building and technical assistance;</w:t>
      </w:r>
    </w:p>
    <w:p w14:paraId="3506BE97" w14:textId="5D86DF15" w:rsidR="00827321" w:rsidRPr="008162A1" w:rsidRDefault="00835746" w:rsidP="00972D3B">
      <w:pPr>
        <w:pStyle w:val="Normalnumber"/>
        <w:numPr>
          <w:ilvl w:val="0"/>
          <w:numId w:val="0"/>
        </w:numPr>
        <w:tabs>
          <w:tab w:val="clear" w:pos="624"/>
          <w:tab w:val="left" w:pos="2127"/>
        </w:tabs>
        <w:ind w:left="1260" w:firstLine="448"/>
      </w:pPr>
      <w:r>
        <w:t>(c)</w:t>
      </w:r>
      <w:r>
        <w:tab/>
      </w:r>
      <w:r w:rsidR="00827321" w:rsidRPr="008162A1">
        <w:t>Scientific and technical activities;</w:t>
      </w:r>
    </w:p>
    <w:p w14:paraId="5ECA8530" w14:textId="305935D1" w:rsidR="00827321" w:rsidRPr="008162A1" w:rsidRDefault="00835746" w:rsidP="00972D3B">
      <w:pPr>
        <w:pStyle w:val="Normalnumber"/>
        <w:numPr>
          <w:ilvl w:val="0"/>
          <w:numId w:val="0"/>
        </w:numPr>
        <w:tabs>
          <w:tab w:val="clear" w:pos="624"/>
          <w:tab w:val="left" w:pos="2127"/>
        </w:tabs>
        <w:ind w:left="1260" w:firstLine="448"/>
      </w:pPr>
      <w:r>
        <w:t>(d)</w:t>
      </w:r>
      <w:r>
        <w:tab/>
      </w:r>
      <w:r w:rsidR="00827321" w:rsidRPr="008162A1">
        <w:t>Knowledge and information management</w:t>
      </w:r>
      <w:r w:rsidR="00BF6266">
        <w:t>,</w:t>
      </w:r>
      <w:r w:rsidR="00827321" w:rsidRPr="008162A1">
        <w:t xml:space="preserve"> and outreach;</w:t>
      </w:r>
    </w:p>
    <w:p w14:paraId="1A647694" w14:textId="4368E181" w:rsidR="00827321" w:rsidRPr="008162A1" w:rsidRDefault="00835746" w:rsidP="00972D3B">
      <w:pPr>
        <w:pStyle w:val="Normalnumber"/>
        <w:numPr>
          <w:ilvl w:val="0"/>
          <w:numId w:val="0"/>
        </w:numPr>
        <w:tabs>
          <w:tab w:val="clear" w:pos="624"/>
          <w:tab w:val="left" w:pos="2127"/>
        </w:tabs>
        <w:ind w:left="1260" w:firstLine="448"/>
      </w:pPr>
      <w:r>
        <w:t>(e)</w:t>
      </w:r>
      <w:r>
        <w:tab/>
      </w:r>
      <w:r w:rsidR="00827321" w:rsidRPr="008162A1">
        <w:t>Overall management;</w:t>
      </w:r>
    </w:p>
    <w:p w14:paraId="1B25D413" w14:textId="46D205D9" w:rsidR="00827321" w:rsidRPr="008162A1" w:rsidRDefault="00835746" w:rsidP="00972D3B">
      <w:pPr>
        <w:pStyle w:val="Normalnumber"/>
        <w:numPr>
          <w:ilvl w:val="0"/>
          <w:numId w:val="0"/>
        </w:numPr>
        <w:tabs>
          <w:tab w:val="clear" w:pos="624"/>
          <w:tab w:val="left" w:pos="2127"/>
        </w:tabs>
        <w:ind w:left="1260" w:firstLine="448"/>
      </w:pPr>
      <w:r>
        <w:t>(f)</w:t>
      </w:r>
      <w:r>
        <w:tab/>
      </w:r>
      <w:r w:rsidR="00827321" w:rsidRPr="008162A1">
        <w:t>Legal and policy activities;</w:t>
      </w:r>
    </w:p>
    <w:p w14:paraId="05C7657E" w14:textId="0AF5D117" w:rsidR="00556F3A" w:rsidRDefault="00835746" w:rsidP="00972D3B">
      <w:pPr>
        <w:pStyle w:val="Normalnumber"/>
        <w:numPr>
          <w:ilvl w:val="0"/>
          <w:numId w:val="0"/>
        </w:numPr>
        <w:tabs>
          <w:tab w:val="clear" w:pos="624"/>
          <w:tab w:val="left" w:pos="2127"/>
        </w:tabs>
        <w:ind w:left="1260" w:firstLine="448"/>
      </w:pPr>
      <w:r>
        <w:t>(g)</w:t>
      </w:r>
      <w:r>
        <w:tab/>
      </w:r>
      <w:r w:rsidR="00827321" w:rsidRPr="008162A1">
        <w:t xml:space="preserve">Office maintenance and services. </w:t>
      </w:r>
    </w:p>
    <w:p w14:paraId="12397B12" w14:textId="4EDDBDF7" w:rsidR="00A67AF2" w:rsidRDefault="00F4232E" w:rsidP="005563D9">
      <w:pPr>
        <w:pStyle w:val="CH2"/>
      </w:pPr>
      <w:r>
        <w:tab/>
      </w:r>
      <w:r w:rsidR="00AE60CF">
        <w:t>B</w:t>
      </w:r>
      <w:r w:rsidRPr="006C74E7">
        <w:t>.</w:t>
      </w:r>
      <w:r w:rsidRPr="006C74E7">
        <w:tab/>
      </w:r>
      <w:r w:rsidR="00935417">
        <w:t xml:space="preserve">Activities in the programme </w:t>
      </w:r>
      <w:r>
        <w:t>of work for the</w:t>
      </w:r>
      <w:r w:rsidR="00391F03">
        <w:t xml:space="preserve"> period</w:t>
      </w:r>
      <w:r>
        <w:t xml:space="preserve"> 2018</w:t>
      </w:r>
      <w:r w:rsidR="002D3A9E">
        <w:t>–</w:t>
      </w:r>
      <w:r>
        <w:t>2019</w:t>
      </w:r>
      <w:r w:rsidR="000A7CE7">
        <w:t xml:space="preserve"> </w:t>
      </w:r>
    </w:p>
    <w:p w14:paraId="3149758F" w14:textId="58CAB32C" w:rsidR="003660BF" w:rsidRPr="00171E78" w:rsidRDefault="002A4379" w:rsidP="00C03273">
      <w:pPr>
        <w:pStyle w:val="Normalnumber"/>
        <w:ind w:left="1247" w:firstLine="0"/>
      </w:pPr>
      <w:r>
        <w:t>According to the</w:t>
      </w:r>
      <w:r w:rsidR="00ED060D" w:rsidRPr="008162A1">
        <w:t xml:space="preserve"> United Nations financial management system </w:t>
      </w:r>
      <w:r w:rsidR="00ED060D">
        <w:t xml:space="preserve">(see further explanation below on IPSAS and </w:t>
      </w:r>
      <w:proofErr w:type="spellStart"/>
      <w:r w:rsidR="00ED060D">
        <w:t>Umoja</w:t>
      </w:r>
      <w:proofErr w:type="spellEnd"/>
      <w:r w:rsidR="00ED060D">
        <w:t>)</w:t>
      </w:r>
      <w:r w:rsidR="00762C5D">
        <w:t>,</w:t>
      </w:r>
      <w:r w:rsidR="00E729A3">
        <w:t xml:space="preserve"> </w:t>
      </w:r>
      <w:r w:rsidR="00ED060D">
        <w:t>the activities that form the programme of work serve as the basis for budgeting. In th</w:t>
      </w:r>
      <w:r w:rsidR="00E729A3">
        <w:t>at</w:t>
      </w:r>
      <w:r w:rsidR="00ED060D">
        <w:t xml:space="preserve"> regard, </w:t>
      </w:r>
      <w:r w:rsidR="00134E8E">
        <w:t xml:space="preserve">under the seven functional </w:t>
      </w:r>
      <w:r w:rsidR="00134E8E" w:rsidRPr="00171E78">
        <w:t>headings,</w:t>
      </w:r>
      <w:r w:rsidR="00ED060D" w:rsidRPr="00171E78">
        <w:t xml:space="preserve"> the proposed programme of work and </w:t>
      </w:r>
      <w:r w:rsidR="00CC7F59" w:rsidRPr="00171E78">
        <w:t>the</w:t>
      </w:r>
      <w:r w:rsidR="00ED060D" w:rsidRPr="00171E78">
        <w:t xml:space="preserve"> </w:t>
      </w:r>
      <w:r w:rsidRPr="00171E78">
        <w:t xml:space="preserve">related </w:t>
      </w:r>
      <w:r w:rsidR="00ED060D" w:rsidRPr="00171E78">
        <w:t xml:space="preserve">budget for the </w:t>
      </w:r>
      <w:proofErr w:type="spellStart"/>
      <w:r w:rsidR="00ED060D" w:rsidRPr="00171E78">
        <w:t>Minamata</w:t>
      </w:r>
      <w:proofErr w:type="spellEnd"/>
      <w:r w:rsidR="00ED060D" w:rsidRPr="00171E78">
        <w:t xml:space="preserve"> Convention is organi</w:t>
      </w:r>
      <w:r w:rsidR="00BF6266" w:rsidRPr="00171E78">
        <w:t>zed</w:t>
      </w:r>
      <w:r w:rsidR="00ED060D" w:rsidRPr="00171E78">
        <w:t xml:space="preserve"> into 16 proposed activities</w:t>
      </w:r>
      <w:r w:rsidR="000E55D9" w:rsidRPr="00171E78">
        <w:t xml:space="preserve"> (see </w:t>
      </w:r>
      <w:r w:rsidR="00BF6266" w:rsidRPr="00171E78">
        <w:t>a</w:t>
      </w:r>
      <w:r w:rsidR="00F47F83" w:rsidRPr="00171E78">
        <w:t>nnex II</w:t>
      </w:r>
      <w:r w:rsidR="000E55D9" w:rsidRPr="00171E78">
        <w:t>)</w:t>
      </w:r>
      <w:r w:rsidR="00ED060D" w:rsidRPr="00171E78">
        <w:t xml:space="preserve">. </w:t>
      </w:r>
    </w:p>
    <w:p w14:paraId="23EDA497" w14:textId="2009E841" w:rsidR="002A4379" w:rsidRPr="002B5D13" w:rsidRDefault="000E55D9" w:rsidP="000E5516">
      <w:pPr>
        <w:pStyle w:val="Normalnumber"/>
        <w:ind w:left="1247" w:firstLine="0"/>
      </w:pPr>
      <w:r w:rsidRPr="005900AA">
        <w:t xml:space="preserve">The activities constituting the </w:t>
      </w:r>
      <w:r>
        <w:t xml:space="preserve">proposed </w:t>
      </w:r>
      <w:r w:rsidRPr="005900AA">
        <w:t xml:space="preserve">programme of work </w:t>
      </w:r>
      <w:r>
        <w:t xml:space="preserve">of the Convention </w:t>
      </w:r>
      <w:r w:rsidRPr="005900AA">
        <w:t xml:space="preserve">are described below, </w:t>
      </w:r>
      <w:r w:rsidR="00D56EC9">
        <w:t>and</w:t>
      </w:r>
      <w:r w:rsidRPr="005900AA">
        <w:t xml:space="preserve"> the</w:t>
      </w:r>
      <w:r w:rsidR="00D56EC9">
        <w:t xml:space="preserve"> resources required for these activities, other than staff, </w:t>
      </w:r>
      <w:r w:rsidRPr="005900AA">
        <w:t xml:space="preserve">are set out in </w:t>
      </w:r>
      <w:r w:rsidR="00542FF9">
        <w:t xml:space="preserve">addendum 1 to the present </w:t>
      </w:r>
      <w:r w:rsidR="00542FF9" w:rsidRPr="00171E78">
        <w:t>note (</w:t>
      </w:r>
      <w:r w:rsidRPr="00171E78">
        <w:t>UNEP/MC/COP.1/21/Add</w:t>
      </w:r>
      <w:r w:rsidR="00AE60CF" w:rsidRPr="00171E78">
        <w:t>.</w:t>
      </w:r>
      <w:r w:rsidRPr="00171E78">
        <w:t>1</w:t>
      </w:r>
      <w:r w:rsidR="00542FF9" w:rsidRPr="00171E78">
        <w:t>)</w:t>
      </w:r>
      <w:r w:rsidRPr="00171E78">
        <w:t xml:space="preserve">. </w:t>
      </w:r>
      <w:r w:rsidR="00AA1F5E">
        <w:t>The c</w:t>
      </w:r>
      <w:r w:rsidR="001435BA">
        <w:t xml:space="preserve">osts are estimated </w:t>
      </w:r>
      <w:r w:rsidR="00AA1F5E">
        <w:t>on the basis of</w:t>
      </w:r>
      <w:r w:rsidR="001435BA">
        <w:t xml:space="preserve"> the secretariat being located in Geneva.</w:t>
      </w:r>
    </w:p>
    <w:p w14:paraId="41666406" w14:textId="74F1D371" w:rsidR="009D2448" w:rsidRPr="009D2448" w:rsidRDefault="002A4379" w:rsidP="00040F66">
      <w:pPr>
        <w:pStyle w:val="CH3"/>
      </w:pPr>
      <w:r>
        <w:tab/>
      </w:r>
      <w:r w:rsidR="00C16EB7">
        <w:t>1.</w:t>
      </w:r>
      <w:r w:rsidR="00431A61">
        <w:tab/>
      </w:r>
      <w:r w:rsidR="009D2448" w:rsidRPr="009D2448">
        <w:t>Conf</w:t>
      </w:r>
      <w:r w:rsidR="00C16EB7">
        <w:t>erences and meetings</w:t>
      </w:r>
      <w:r w:rsidR="000A7CE7">
        <w:t xml:space="preserve"> </w:t>
      </w:r>
    </w:p>
    <w:p w14:paraId="0DA96340" w14:textId="0C126F7F" w:rsidR="009D2448" w:rsidRDefault="00124F81">
      <w:pPr>
        <w:pStyle w:val="Normalnumber"/>
        <w:ind w:left="1247" w:firstLine="0"/>
      </w:pPr>
      <w:r>
        <w:t>The Conference of</w:t>
      </w:r>
      <w:r w:rsidR="00935417">
        <w:t xml:space="preserve"> the</w:t>
      </w:r>
      <w:r>
        <w:t xml:space="preserve"> Parties</w:t>
      </w:r>
      <w:r w:rsidR="009D2448">
        <w:t xml:space="preserve"> is the decision-making body of the </w:t>
      </w:r>
      <w:proofErr w:type="spellStart"/>
      <w:r w:rsidR="009D2448">
        <w:t>Minamata</w:t>
      </w:r>
      <w:proofErr w:type="spellEnd"/>
      <w:r w:rsidR="009D2448">
        <w:t xml:space="preserve"> Convention</w:t>
      </w:r>
      <w:r w:rsidR="00935417">
        <w:t>, as established in</w:t>
      </w:r>
      <w:r w:rsidR="009D2448">
        <w:t xml:space="preserve"> </w:t>
      </w:r>
      <w:r w:rsidR="00935417">
        <w:t>a</w:t>
      </w:r>
      <w:r w:rsidR="009D2448">
        <w:t xml:space="preserve">rticle </w:t>
      </w:r>
      <w:r w:rsidR="003446A7">
        <w:t>23</w:t>
      </w:r>
      <w:r w:rsidR="009D2448">
        <w:t xml:space="preserve">. The organization of its meetings, at intervals decided upon by the </w:t>
      </w:r>
      <w:r>
        <w:t>Conference</w:t>
      </w:r>
      <w:r w:rsidR="009D2448">
        <w:t xml:space="preserve">, is a </w:t>
      </w:r>
      <w:r w:rsidR="009D2448" w:rsidRPr="00171E78">
        <w:t xml:space="preserve">core activity of the </w:t>
      </w:r>
      <w:r w:rsidR="00935417" w:rsidRPr="00171E78">
        <w:t>s</w:t>
      </w:r>
      <w:r w:rsidR="009D2448" w:rsidRPr="00171E78">
        <w:t xml:space="preserve">ecretariat. According to the draft rules of procedure, the second and third meetings of the Conference shall be held </w:t>
      </w:r>
      <w:r w:rsidR="00935417" w:rsidRPr="00171E78">
        <w:t xml:space="preserve">in consecutive </w:t>
      </w:r>
      <w:r w:rsidR="009D2448" w:rsidRPr="00171E78">
        <w:t>year</w:t>
      </w:r>
      <w:r w:rsidR="00935417" w:rsidRPr="00171E78">
        <w:t>s</w:t>
      </w:r>
      <w:r w:rsidR="009D2448" w:rsidRPr="00171E78">
        <w:t xml:space="preserve">, and thereafter meetings shall be held every two years. The second </w:t>
      </w:r>
      <w:r w:rsidR="00935417" w:rsidRPr="00171E78">
        <w:t xml:space="preserve">and third </w:t>
      </w:r>
      <w:r w:rsidRPr="00171E78">
        <w:t>meeting</w:t>
      </w:r>
      <w:r w:rsidR="00935417" w:rsidRPr="00171E78">
        <w:t>s</w:t>
      </w:r>
      <w:r w:rsidRPr="00171E78">
        <w:t xml:space="preserve"> of the Conference</w:t>
      </w:r>
      <w:r w:rsidR="009D2448" w:rsidRPr="00171E78">
        <w:t xml:space="preserve"> </w:t>
      </w:r>
      <w:r w:rsidR="00935417" w:rsidRPr="00171E78">
        <w:t>are</w:t>
      </w:r>
      <w:r w:rsidR="009D2448" w:rsidRPr="00171E78">
        <w:t xml:space="preserve"> </w:t>
      </w:r>
      <w:r w:rsidR="00935417" w:rsidRPr="00171E78">
        <w:t xml:space="preserve">therefore </w:t>
      </w:r>
      <w:r w:rsidR="004B6AAB" w:rsidRPr="00171E78">
        <w:t>expected</w:t>
      </w:r>
      <w:r w:rsidR="009D2448">
        <w:t xml:space="preserve"> </w:t>
      </w:r>
      <w:r w:rsidR="00156829">
        <w:t xml:space="preserve">to be held </w:t>
      </w:r>
      <w:r w:rsidR="009D2448">
        <w:t>before the end of 2018</w:t>
      </w:r>
      <w:r w:rsidR="00935417">
        <w:t xml:space="preserve"> and 2019</w:t>
      </w:r>
      <w:r w:rsidR="009D2448">
        <w:t xml:space="preserve"> </w:t>
      </w:r>
      <w:r w:rsidR="00935417">
        <w:t>respectively</w:t>
      </w:r>
      <w:r w:rsidR="005A1036">
        <w:t xml:space="preserve">. </w:t>
      </w:r>
      <w:r w:rsidR="002A4379" w:rsidRPr="002A4379">
        <w:t>The costs of holding the meeting</w:t>
      </w:r>
      <w:r w:rsidR="008A25E5">
        <w:t>s</w:t>
      </w:r>
      <w:r w:rsidR="00935417" w:rsidRPr="00616984">
        <w:t>, which</w:t>
      </w:r>
      <w:r w:rsidR="002A4379" w:rsidRPr="00616984">
        <w:t xml:space="preserve"> </w:t>
      </w:r>
      <w:r w:rsidR="008A25E5">
        <w:t>are</w:t>
      </w:r>
      <w:r w:rsidR="002A4379" w:rsidRPr="00616984">
        <w:t xml:space="preserve"> a core activity of the Convention,</w:t>
      </w:r>
      <w:r w:rsidR="002A4379" w:rsidRPr="002A4379">
        <w:t xml:space="preserve"> will be funded from the General Trust Fund. </w:t>
      </w:r>
      <w:r w:rsidR="005A1036">
        <w:t xml:space="preserve">Each </w:t>
      </w:r>
      <w:r w:rsidR="00BF0346">
        <w:t>meeting</w:t>
      </w:r>
      <w:r w:rsidR="005A1036">
        <w:t xml:space="preserve"> will be preceded by preparatory meetings. Regional preparatory </w:t>
      </w:r>
      <w:r w:rsidR="005A1036" w:rsidRPr="00241415">
        <w:t xml:space="preserve">meetings are held to enable </w:t>
      </w:r>
      <w:r w:rsidR="00BF0346" w:rsidRPr="00241415">
        <w:t>p</w:t>
      </w:r>
      <w:r w:rsidR="005A1036" w:rsidRPr="00241415">
        <w:t>arties to prepare fo</w:t>
      </w:r>
      <w:r w:rsidR="00156829" w:rsidRPr="00241415">
        <w:t xml:space="preserve">r the </w:t>
      </w:r>
      <w:r w:rsidR="00E729A3" w:rsidRPr="00241415">
        <w:t xml:space="preserve">meeting of the </w:t>
      </w:r>
      <w:r w:rsidR="00BF0346" w:rsidRPr="00241415">
        <w:t>Conference</w:t>
      </w:r>
      <w:r w:rsidR="00156829" w:rsidRPr="00241415">
        <w:t xml:space="preserve">. </w:t>
      </w:r>
      <w:r w:rsidR="00BF0346" w:rsidRPr="00241415">
        <w:t>Financial s</w:t>
      </w:r>
      <w:r w:rsidR="00156829" w:rsidRPr="00241415">
        <w:t xml:space="preserve">upport </w:t>
      </w:r>
      <w:r w:rsidR="00BF0346" w:rsidRPr="00241415">
        <w:t>for the travel of</w:t>
      </w:r>
      <w:r w:rsidR="005A1036" w:rsidRPr="00241415">
        <w:t xml:space="preserve"> participants from </w:t>
      </w:r>
      <w:r w:rsidR="00301399" w:rsidRPr="00241415">
        <w:t xml:space="preserve">developing country </w:t>
      </w:r>
      <w:r w:rsidR="00BF0346" w:rsidRPr="00241415">
        <w:t xml:space="preserve">parties </w:t>
      </w:r>
      <w:r w:rsidR="00301399" w:rsidRPr="00241415">
        <w:t>or parties</w:t>
      </w:r>
      <w:r w:rsidR="005A1036" w:rsidRPr="00241415">
        <w:t xml:space="preserve"> with economies in transition allows for their full</w:t>
      </w:r>
      <w:r w:rsidR="003648B0" w:rsidRPr="00241415">
        <w:t xml:space="preserve"> and effective participatio</w:t>
      </w:r>
      <w:r w:rsidR="00156829" w:rsidRPr="00241415">
        <w:t>n and i</w:t>
      </w:r>
      <w:r w:rsidR="00E729A3" w:rsidRPr="00241415">
        <w:t>nvolvement</w:t>
      </w:r>
      <w:r w:rsidR="00E729A3">
        <w:t xml:space="preserve"> in </w:t>
      </w:r>
      <w:r w:rsidR="00156829">
        <w:t>decision-making</w:t>
      </w:r>
      <w:r w:rsidR="00BF0346">
        <w:t xml:space="preserve">. Such travel </w:t>
      </w:r>
      <w:r w:rsidR="00156829">
        <w:t>will be funded by the v</w:t>
      </w:r>
      <w:r w:rsidR="00156829" w:rsidRPr="00156829">
        <w:t xml:space="preserve">oluntary </w:t>
      </w:r>
      <w:r w:rsidR="00156829">
        <w:t xml:space="preserve">Special </w:t>
      </w:r>
      <w:r w:rsidR="00156829" w:rsidRPr="00156829">
        <w:t>Trust Fund.</w:t>
      </w:r>
    </w:p>
    <w:p w14:paraId="6338F8F5" w14:textId="3A4C0852" w:rsidR="00EC0B75" w:rsidRDefault="00C2392A" w:rsidP="000E5516">
      <w:pPr>
        <w:pStyle w:val="Normalnumber"/>
        <w:ind w:left="1247" w:firstLine="0"/>
      </w:pPr>
      <w:r>
        <w:t xml:space="preserve">It is expected </w:t>
      </w:r>
      <w:r w:rsidRPr="00C2392A">
        <w:t xml:space="preserve">that the first and second meetings of the Conference may </w:t>
      </w:r>
      <w:r w:rsidR="00BF0346">
        <w:t>establish</w:t>
      </w:r>
      <w:r w:rsidRPr="00C2392A">
        <w:t xml:space="preserve"> </w:t>
      </w:r>
      <w:proofErr w:type="spellStart"/>
      <w:r w:rsidRPr="00C2392A">
        <w:t>intersessional</w:t>
      </w:r>
      <w:proofErr w:type="spellEnd"/>
      <w:r w:rsidRPr="00C2392A">
        <w:t xml:space="preserve"> time-based expert</w:t>
      </w:r>
      <w:r>
        <w:t xml:space="preserve"> groups on technical issues, including effectiveness evaluation, interim storage of mercury and mercury compounds, establishment of waste thresholds and the preparation of guidance on the management of contaminated sites. Making arrangements to support th</w:t>
      </w:r>
      <w:r w:rsidR="00BF0346">
        <w:t>ose</w:t>
      </w:r>
      <w:r>
        <w:t xml:space="preserve"> expert groups, in line with the decisions taken by the Conference on the operation</w:t>
      </w:r>
      <w:r w:rsidR="00BF0346">
        <w:t xml:space="preserve"> of such groups</w:t>
      </w:r>
      <w:r>
        <w:t xml:space="preserve">, is considered a </w:t>
      </w:r>
      <w:r w:rsidRPr="004838E1">
        <w:t>core</w:t>
      </w:r>
      <w:r>
        <w:t xml:space="preserve"> </w:t>
      </w:r>
      <w:r w:rsidRPr="00241415">
        <w:t xml:space="preserve">activity of the </w:t>
      </w:r>
      <w:r w:rsidR="00595D8A">
        <w:t>s</w:t>
      </w:r>
      <w:r w:rsidR="000E6A75">
        <w:t>ecretariat</w:t>
      </w:r>
      <w:r w:rsidRPr="00241415">
        <w:t>.</w:t>
      </w:r>
      <w:r>
        <w:t xml:space="preserve"> </w:t>
      </w:r>
    </w:p>
    <w:p w14:paraId="40670A54" w14:textId="11E7F993" w:rsidR="00EC0B75" w:rsidRPr="007617DE" w:rsidRDefault="00EC0B75" w:rsidP="000E5516">
      <w:pPr>
        <w:pStyle w:val="Normalnumber"/>
        <w:ind w:left="1247" w:firstLine="0"/>
      </w:pPr>
      <w:r>
        <w:t xml:space="preserve">The </w:t>
      </w:r>
      <w:r w:rsidR="00BF0346">
        <w:t>s</w:t>
      </w:r>
      <w:r>
        <w:t>ecretariat will also arrange the meetings of the Bureau of the Conference</w:t>
      </w:r>
      <w:r w:rsidR="00D13BA8">
        <w:t xml:space="preserve"> of the Parties</w:t>
      </w:r>
      <w:r w:rsidR="001258EC" w:rsidRPr="007617DE">
        <w:t>. The Bureau consists</w:t>
      </w:r>
      <w:r w:rsidRPr="007617DE">
        <w:t xml:space="preserve"> of </w:t>
      </w:r>
      <w:r w:rsidR="00BF0346" w:rsidRPr="007617DE">
        <w:t>10</w:t>
      </w:r>
      <w:r w:rsidRPr="007617DE">
        <w:t xml:space="preserve"> members, </w:t>
      </w:r>
      <w:r w:rsidR="00BF0346" w:rsidRPr="007617DE">
        <w:t>with</w:t>
      </w:r>
      <w:r w:rsidRPr="007617DE">
        <w:t xml:space="preserve"> each United Nations regional group represented by two members. The Bureau is ex</w:t>
      </w:r>
      <w:r w:rsidR="00867724" w:rsidRPr="007617DE">
        <w:t xml:space="preserve">pected to meet </w:t>
      </w:r>
      <w:proofErr w:type="spellStart"/>
      <w:r w:rsidR="00867724" w:rsidRPr="007617DE">
        <w:t>intersessionally</w:t>
      </w:r>
      <w:proofErr w:type="spellEnd"/>
      <w:r w:rsidR="00867724" w:rsidRPr="007617DE">
        <w:t>, with one face</w:t>
      </w:r>
      <w:r w:rsidR="00BF0346" w:rsidRPr="007617DE">
        <w:t>-</w:t>
      </w:r>
      <w:r w:rsidR="00867724" w:rsidRPr="007617DE">
        <w:t>to</w:t>
      </w:r>
      <w:r w:rsidR="00BF0346" w:rsidRPr="007617DE">
        <w:t>-</w:t>
      </w:r>
      <w:r w:rsidR="00867724" w:rsidRPr="007617DE">
        <w:t>face meeting anticipated. Other meetings will be conducted by teleconference.</w:t>
      </w:r>
    </w:p>
    <w:p w14:paraId="24A29D73" w14:textId="7FA6BCE0" w:rsidR="00EC0B75" w:rsidRPr="007617DE" w:rsidRDefault="00EC0B75" w:rsidP="000E5516">
      <w:pPr>
        <w:pStyle w:val="Normalnumber"/>
        <w:ind w:left="1247" w:firstLine="0"/>
      </w:pPr>
      <w:r w:rsidRPr="007617DE">
        <w:t xml:space="preserve">The </w:t>
      </w:r>
      <w:r w:rsidR="00BF0346" w:rsidRPr="007617DE">
        <w:t>s</w:t>
      </w:r>
      <w:r w:rsidRPr="007617DE">
        <w:t>ecretariat will</w:t>
      </w:r>
      <w:r w:rsidR="00D13BA8">
        <w:t>,</w:t>
      </w:r>
      <w:r w:rsidRPr="007617DE">
        <w:t xml:space="preserve"> fu</w:t>
      </w:r>
      <w:r w:rsidR="00A61F1F" w:rsidRPr="007617DE">
        <w:t>rther</w:t>
      </w:r>
      <w:r w:rsidR="00D13BA8">
        <w:t>more,</w:t>
      </w:r>
      <w:r w:rsidR="00A61F1F" w:rsidRPr="007617DE">
        <w:t xml:space="preserve"> arrange for </w:t>
      </w:r>
      <w:r w:rsidR="00A61F1F" w:rsidRPr="00241415">
        <w:t xml:space="preserve">the </w:t>
      </w:r>
      <w:r w:rsidR="00595D8A" w:rsidRPr="00241415">
        <w:t>meetin</w:t>
      </w:r>
      <w:r w:rsidR="00595D8A">
        <w:t>gs</w:t>
      </w:r>
      <w:r w:rsidR="00595D8A" w:rsidRPr="007617DE">
        <w:t xml:space="preserve"> </w:t>
      </w:r>
      <w:r w:rsidRPr="007617DE">
        <w:t xml:space="preserve">of the Implementation and Compliance </w:t>
      </w:r>
      <w:r w:rsidR="00A61F1F" w:rsidRPr="007617DE">
        <w:t>Committee, which</w:t>
      </w:r>
      <w:r w:rsidRPr="007617DE">
        <w:t xml:space="preserve"> is to be established </w:t>
      </w:r>
      <w:r w:rsidR="001258EC" w:rsidRPr="007617DE">
        <w:t xml:space="preserve">as a subsidiary body </w:t>
      </w:r>
      <w:r w:rsidRPr="007617DE">
        <w:t xml:space="preserve">at the first meeting of the Conference of </w:t>
      </w:r>
      <w:r w:rsidR="00BF0346" w:rsidRPr="007617DE">
        <w:t xml:space="preserve">the </w:t>
      </w:r>
      <w:r w:rsidRPr="007617DE">
        <w:t>Parties</w:t>
      </w:r>
      <w:r w:rsidR="00BF0346" w:rsidRPr="007617DE">
        <w:t xml:space="preserve">, according to </w:t>
      </w:r>
      <w:r w:rsidR="00935417" w:rsidRPr="007617DE">
        <w:t>a</w:t>
      </w:r>
      <w:r w:rsidRPr="007617DE">
        <w:t>rticle 15</w:t>
      </w:r>
      <w:r w:rsidR="00BF0346" w:rsidRPr="007617DE">
        <w:t xml:space="preserve"> of the Convention</w:t>
      </w:r>
      <w:r w:rsidRPr="007617DE">
        <w:t>. Th</w:t>
      </w:r>
      <w:r w:rsidR="006072D1">
        <w:t>e</w:t>
      </w:r>
      <w:r w:rsidRPr="007617DE">
        <w:t xml:space="preserve"> Committee shall consist of 15 members, with representation based on the five regions of the U</w:t>
      </w:r>
      <w:r w:rsidR="001258EC" w:rsidRPr="007617DE">
        <w:t xml:space="preserve">nited Nations. </w:t>
      </w:r>
      <w:r w:rsidR="00BF0346" w:rsidRPr="007617DE">
        <w:t xml:space="preserve">The </w:t>
      </w:r>
      <w:r w:rsidR="001258EC" w:rsidRPr="007617DE">
        <w:t>first task</w:t>
      </w:r>
      <w:r w:rsidR="00BF0346" w:rsidRPr="007617DE">
        <w:t xml:space="preserve"> that th</w:t>
      </w:r>
      <w:r w:rsidR="00AA7F53">
        <w:t>e</w:t>
      </w:r>
      <w:r w:rsidR="00BF0346" w:rsidRPr="007617DE">
        <w:t xml:space="preserve"> Committee will undertake</w:t>
      </w:r>
      <w:r w:rsidR="001258EC" w:rsidRPr="007617DE">
        <w:t xml:space="preserve">, as set out in the text of the Convention, </w:t>
      </w:r>
      <w:r w:rsidRPr="007617DE">
        <w:t>is to elaborate its rules of procedure for approval by the second meeting of the Conference of Parties</w:t>
      </w:r>
      <w:r w:rsidR="001258EC" w:rsidRPr="007617DE">
        <w:t>.</w:t>
      </w:r>
      <w:r w:rsidRPr="007617DE">
        <w:t xml:space="preserve"> The Committee is expected to </w:t>
      </w:r>
      <w:r w:rsidR="00101884" w:rsidRPr="007617DE">
        <w:t>hold</w:t>
      </w:r>
      <w:r w:rsidRPr="007617DE">
        <w:t xml:space="preserve"> </w:t>
      </w:r>
      <w:proofErr w:type="spellStart"/>
      <w:r w:rsidRPr="007617DE">
        <w:t>intersessional</w:t>
      </w:r>
      <w:proofErr w:type="spellEnd"/>
      <w:r w:rsidR="00101884" w:rsidRPr="007617DE">
        <w:t xml:space="preserve"> meetings</w:t>
      </w:r>
      <w:r w:rsidR="001258EC" w:rsidRPr="007617DE">
        <w:t xml:space="preserve"> to develop the rules</w:t>
      </w:r>
      <w:r w:rsidRPr="007617DE">
        <w:t>.</w:t>
      </w:r>
    </w:p>
    <w:p w14:paraId="77841A5F" w14:textId="492D5581" w:rsidR="00EC0B75" w:rsidRDefault="00EC0B75" w:rsidP="000E5516">
      <w:pPr>
        <w:pStyle w:val="Normalnumber"/>
        <w:ind w:left="1247" w:firstLine="0"/>
      </w:pPr>
      <w:r w:rsidRPr="007617DE">
        <w:t>Most of the activities</w:t>
      </w:r>
      <w:r w:rsidRPr="003E7E49">
        <w:t xml:space="preserve"> on conference</w:t>
      </w:r>
      <w:r w:rsidR="00AA7F53">
        <w:t>s</w:t>
      </w:r>
      <w:r w:rsidRPr="003E7E49">
        <w:t xml:space="preserve"> </w:t>
      </w:r>
      <w:r w:rsidRPr="001258EC">
        <w:t xml:space="preserve">and meetings for the </w:t>
      </w:r>
      <w:r w:rsidR="00431A61">
        <w:t xml:space="preserve">biennium </w:t>
      </w:r>
      <w:r w:rsidRPr="001258EC">
        <w:t>2018</w:t>
      </w:r>
      <w:r w:rsidR="00616984">
        <w:t>–</w:t>
      </w:r>
      <w:r w:rsidRPr="001258EC">
        <w:t xml:space="preserve">2019 are core activities of the </w:t>
      </w:r>
      <w:r w:rsidR="00101884">
        <w:t>s</w:t>
      </w:r>
      <w:r w:rsidRPr="001258EC">
        <w:t xml:space="preserve">ecretariat and will therefore </w:t>
      </w:r>
      <w:r w:rsidR="00AA7F53">
        <w:t xml:space="preserve">require </w:t>
      </w:r>
      <w:r w:rsidRPr="001258EC">
        <w:t xml:space="preserve">support by the General Trust Fund. Regional </w:t>
      </w:r>
      <w:r w:rsidR="00101884">
        <w:t>p</w:t>
      </w:r>
      <w:r w:rsidRPr="001258EC">
        <w:t xml:space="preserve">reparatory </w:t>
      </w:r>
      <w:r w:rsidR="00101884">
        <w:t>m</w:t>
      </w:r>
      <w:r w:rsidRPr="001258EC">
        <w:t xml:space="preserve">eetings and supplementary meetings </w:t>
      </w:r>
      <w:r w:rsidRPr="00241415">
        <w:t>to</w:t>
      </w:r>
      <w:r w:rsidRPr="001258EC">
        <w:t xml:space="preserve"> </w:t>
      </w:r>
      <w:r w:rsidR="00C43031">
        <w:t xml:space="preserve">meetings of </w:t>
      </w:r>
      <w:r w:rsidRPr="001258EC">
        <w:t>the Conference</w:t>
      </w:r>
      <w:r w:rsidR="001258EC" w:rsidRPr="001258EC">
        <w:t xml:space="preserve"> </w:t>
      </w:r>
      <w:r w:rsidR="00D13BA8">
        <w:t xml:space="preserve">of the Parties </w:t>
      </w:r>
      <w:r w:rsidRPr="001258EC">
        <w:t>w</w:t>
      </w:r>
      <w:r w:rsidR="00616984">
        <w:t>ill</w:t>
      </w:r>
      <w:r w:rsidRPr="001258EC">
        <w:t xml:space="preserve"> be supported by the Special Trust</w:t>
      </w:r>
      <w:r w:rsidR="001258EC" w:rsidRPr="001258EC">
        <w:t xml:space="preserve"> Fund and are subject to the availability of funds.</w:t>
      </w:r>
    </w:p>
    <w:p w14:paraId="11A6EE61" w14:textId="739BDA5B" w:rsidR="00D134D2" w:rsidRPr="008B6EFE" w:rsidRDefault="00431A61" w:rsidP="00C03273">
      <w:pPr>
        <w:pStyle w:val="CH3"/>
      </w:pPr>
      <w:r>
        <w:tab/>
      </w:r>
      <w:r w:rsidR="00D134D2" w:rsidRPr="00D134D2">
        <w:t>2.</w:t>
      </w:r>
      <w:r w:rsidR="00D134D2" w:rsidRPr="00D134D2">
        <w:tab/>
        <w:t>Capacity-building and technical assistance</w:t>
      </w:r>
    </w:p>
    <w:p w14:paraId="4C13AD65" w14:textId="1BECF7A0" w:rsidR="00D134D2" w:rsidRPr="001258EC" w:rsidRDefault="008B6EFE" w:rsidP="000E5516">
      <w:pPr>
        <w:pStyle w:val="Normalnumber"/>
        <w:ind w:left="1247" w:firstLine="0"/>
      </w:pPr>
      <w:r>
        <w:t xml:space="preserve">According to </w:t>
      </w:r>
      <w:r w:rsidR="00935417">
        <w:t>a</w:t>
      </w:r>
      <w:r>
        <w:t>rticle 14</w:t>
      </w:r>
      <w:r w:rsidR="00101884">
        <w:t xml:space="preserve"> of </w:t>
      </w:r>
      <w:r w:rsidR="00101884" w:rsidRPr="00E0497B">
        <w:t>the Convention</w:t>
      </w:r>
      <w:r w:rsidR="004A5554">
        <w:t>,</w:t>
      </w:r>
      <w:r>
        <w:t xml:space="preserve"> </w:t>
      </w:r>
      <w:r w:rsidR="00101884">
        <w:t>p</w:t>
      </w:r>
      <w:r w:rsidRPr="00C44078">
        <w:t xml:space="preserve">arties </w:t>
      </w:r>
      <w:r>
        <w:t xml:space="preserve">to the </w:t>
      </w:r>
      <w:proofErr w:type="spellStart"/>
      <w:r w:rsidRPr="00241415">
        <w:t>Minamata</w:t>
      </w:r>
      <w:proofErr w:type="spellEnd"/>
      <w:r w:rsidRPr="00241415">
        <w:t xml:space="preserve"> Convention shall cooperate to provide, within their respective capabilities, timely and appropriate capacity-building and technical assistance to developing countr</w:t>
      </w:r>
      <w:r w:rsidR="00AC2410" w:rsidRPr="00241415">
        <w:t>y part</w:t>
      </w:r>
      <w:r w:rsidR="00101884" w:rsidRPr="00241415">
        <w:t>ies</w:t>
      </w:r>
      <w:r w:rsidRPr="00241415">
        <w:t xml:space="preserve">, in particular </w:t>
      </w:r>
      <w:r w:rsidR="00101884" w:rsidRPr="00241415">
        <w:t>those</w:t>
      </w:r>
      <w:r w:rsidRPr="00241415">
        <w:t xml:space="preserve"> that are least developed countries or </w:t>
      </w:r>
      <w:proofErr w:type="gramStart"/>
      <w:r w:rsidRPr="00241415">
        <w:t>small island</w:t>
      </w:r>
      <w:proofErr w:type="gramEnd"/>
      <w:r w:rsidRPr="00241415">
        <w:t xml:space="preserve"> developing States, and </w:t>
      </w:r>
      <w:r w:rsidR="00101884" w:rsidRPr="00241415">
        <w:t>p</w:t>
      </w:r>
      <w:r w:rsidRPr="00241415">
        <w:t>arties with economies in transition, to assist them in implementing their obligations under th</w:t>
      </w:r>
      <w:r w:rsidR="00101884" w:rsidRPr="00241415">
        <w:t>e</w:t>
      </w:r>
      <w:r w:rsidRPr="00241415">
        <w:t xml:space="preserve"> Convention.</w:t>
      </w:r>
      <w:r w:rsidR="006C5AA3" w:rsidRPr="00241415">
        <w:t xml:space="preserve"> The</w:t>
      </w:r>
      <w:r w:rsidR="006C5AA3">
        <w:t xml:space="preserve"> </w:t>
      </w:r>
      <w:r w:rsidR="00616984">
        <w:t>s</w:t>
      </w:r>
      <w:r>
        <w:t xml:space="preserve">ecretariat is to set up a </w:t>
      </w:r>
      <w:r w:rsidR="00040F66">
        <w:br/>
      </w:r>
      <w:r>
        <w:t>capacity-building and tech</w:t>
      </w:r>
      <w:r w:rsidR="004A5554">
        <w:t>nical assistance programme for C</w:t>
      </w:r>
      <w:r>
        <w:t>onvention implementation</w:t>
      </w:r>
      <w:r w:rsidR="006C5AA3">
        <w:t xml:space="preserve"> </w:t>
      </w:r>
      <w:r w:rsidR="00616984">
        <w:t>in</w:t>
      </w:r>
      <w:r w:rsidR="006C5AA3">
        <w:t xml:space="preserve"> response to th</w:t>
      </w:r>
      <w:r w:rsidR="00101884">
        <w:t>at</w:t>
      </w:r>
      <w:r w:rsidR="006C5AA3">
        <w:t xml:space="preserve"> request</w:t>
      </w:r>
      <w:r>
        <w:t xml:space="preserve">. </w:t>
      </w:r>
      <w:r w:rsidR="001258EC">
        <w:t xml:space="preserve">The activities </w:t>
      </w:r>
      <w:r w:rsidR="001258EC" w:rsidRPr="001258EC">
        <w:t>of th</w:t>
      </w:r>
      <w:r w:rsidR="00101884">
        <w:t>e</w:t>
      </w:r>
      <w:r w:rsidR="001258EC" w:rsidRPr="001258EC">
        <w:t xml:space="preserve"> programme will primarily be directed towards </w:t>
      </w:r>
      <w:r w:rsidR="00101884">
        <w:t xml:space="preserve">providing </w:t>
      </w:r>
      <w:r w:rsidR="001258EC" w:rsidRPr="001258EC">
        <w:t xml:space="preserve">support to </w:t>
      </w:r>
      <w:r w:rsidR="007617DE">
        <w:t>p</w:t>
      </w:r>
      <w:r w:rsidR="001258EC" w:rsidRPr="001258EC">
        <w:t xml:space="preserve">arties, but will also include support for </w:t>
      </w:r>
      <w:r w:rsidRPr="001258EC">
        <w:t>non-</w:t>
      </w:r>
      <w:r w:rsidR="007617DE">
        <w:t>p</w:t>
      </w:r>
      <w:r w:rsidRPr="001258EC">
        <w:t xml:space="preserve">arties towards early implementation and ratification. </w:t>
      </w:r>
    </w:p>
    <w:p w14:paraId="604BB83F" w14:textId="6AECAE13" w:rsidR="008B6EFE" w:rsidRDefault="00743EA7" w:rsidP="000E5516">
      <w:pPr>
        <w:pStyle w:val="Normalnumber"/>
        <w:ind w:left="1247" w:firstLine="0"/>
      </w:pPr>
      <w:r>
        <w:t>The o</w:t>
      </w:r>
      <w:r w:rsidR="008B6EFE">
        <w:t xml:space="preserve">verall </w:t>
      </w:r>
      <w:r w:rsidR="006C5AA3">
        <w:t>objective</w:t>
      </w:r>
      <w:r w:rsidR="008B6EFE">
        <w:t xml:space="preserve"> of the capacity-building and technical assistance programme will be to design, develop, strengthen and maintain</w:t>
      </w:r>
      <w:r w:rsidR="008B6EFE" w:rsidRPr="0069292D">
        <w:t xml:space="preserve"> the capabilities </w:t>
      </w:r>
      <w:r w:rsidR="00E12C01">
        <w:t>required</w:t>
      </w:r>
      <w:r w:rsidR="00E12C01" w:rsidRPr="0069292D">
        <w:t xml:space="preserve"> </w:t>
      </w:r>
      <w:r w:rsidR="008B6EFE">
        <w:t xml:space="preserve">by </w:t>
      </w:r>
      <w:r w:rsidR="007617DE">
        <w:t>p</w:t>
      </w:r>
      <w:r w:rsidR="008B6EFE">
        <w:t xml:space="preserve">arties </w:t>
      </w:r>
      <w:r w:rsidR="008B6EFE" w:rsidRPr="0069292D">
        <w:t xml:space="preserve">to meet the obligations </w:t>
      </w:r>
      <w:r w:rsidR="008B6EFE">
        <w:t xml:space="preserve">of the Convention </w:t>
      </w:r>
      <w:r w:rsidR="008B6EFE" w:rsidRPr="0069292D">
        <w:t>at the individual, organizational and systemic</w:t>
      </w:r>
      <w:r w:rsidR="008B6EFE">
        <w:t xml:space="preserve"> levels.</w:t>
      </w:r>
    </w:p>
    <w:p w14:paraId="781A72D3" w14:textId="38F66738" w:rsidR="008B6EFE" w:rsidRDefault="008B6EFE" w:rsidP="000E5516">
      <w:pPr>
        <w:pStyle w:val="Normalnumber"/>
        <w:ind w:left="1247" w:firstLine="0"/>
      </w:pPr>
      <w:r>
        <w:t xml:space="preserve">The capacity-building and technical assistance programme will include </w:t>
      </w:r>
      <w:r w:rsidRPr="003E2DB0">
        <w:t>cross-cutting activities</w:t>
      </w:r>
      <w:r>
        <w:t xml:space="preserve"> to support national coordination, institutional capacities, national legislation and information exchange. Th</w:t>
      </w:r>
      <w:r w:rsidR="00101884">
        <w:t>ose</w:t>
      </w:r>
      <w:r>
        <w:t xml:space="preserve"> activities will also support a needs and impact assessment, and the development of tools and methodologies</w:t>
      </w:r>
      <w:r w:rsidR="00A44139">
        <w:t xml:space="preserve"> as needed to support implementation. </w:t>
      </w:r>
      <w:r>
        <w:t>Furthermore</w:t>
      </w:r>
      <w:r w:rsidRPr="00616984">
        <w:t xml:space="preserve">, the </w:t>
      </w:r>
      <w:r w:rsidR="00A05BF6" w:rsidRPr="00796405">
        <w:t>s</w:t>
      </w:r>
      <w:r w:rsidRPr="00616984">
        <w:t>ecretariat wil</w:t>
      </w:r>
      <w:r w:rsidR="00A44139" w:rsidRPr="00616984">
        <w:t xml:space="preserve">l deliver capacity-building based on the needs and impact assessment. The </w:t>
      </w:r>
      <w:r w:rsidR="00A05BF6" w:rsidRPr="00796405">
        <w:t>s</w:t>
      </w:r>
      <w:r w:rsidR="00A44139" w:rsidRPr="00616984">
        <w:t>ecretariat</w:t>
      </w:r>
      <w:r w:rsidR="00A44139">
        <w:t xml:space="preserve"> also has to </w:t>
      </w:r>
      <w:r>
        <w:t xml:space="preserve">stand ready to respond to specific capacity-building activities on request. </w:t>
      </w:r>
    </w:p>
    <w:p w14:paraId="6EC2535A" w14:textId="459E680E" w:rsidR="00CE7657" w:rsidRDefault="008B6EFE" w:rsidP="000E5516">
      <w:pPr>
        <w:pStyle w:val="Normalnumber"/>
        <w:ind w:left="1247" w:firstLine="0"/>
      </w:pPr>
      <w:r>
        <w:t xml:space="preserve">All activities </w:t>
      </w:r>
      <w:r w:rsidR="00A05BF6">
        <w:t>relating to</w:t>
      </w:r>
      <w:r>
        <w:t xml:space="preserve"> capacity-building and technical assistance for the </w:t>
      </w:r>
      <w:r w:rsidR="00A05BF6">
        <w:t xml:space="preserve">biennium </w:t>
      </w:r>
      <w:r w:rsidR="00C03273">
        <w:br/>
      </w:r>
      <w:r>
        <w:t>2018</w:t>
      </w:r>
      <w:r w:rsidR="00A05BF6">
        <w:t>–</w:t>
      </w:r>
      <w:r>
        <w:t xml:space="preserve">2019 </w:t>
      </w:r>
      <w:r w:rsidR="00A44139">
        <w:t>will</w:t>
      </w:r>
      <w:r>
        <w:t xml:space="preserve"> be </w:t>
      </w:r>
      <w:r w:rsidR="00A44139">
        <w:t>funded through</w:t>
      </w:r>
      <w:r>
        <w:t xml:space="preserve"> the </w:t>
      </w:r>
      <w:r w:rsidR="00A05BF6">
        <w:t xml:space="preserve">voluntary </w:t>
      </w:r>
      <w:r>
        <w:t xml:space="preserve">Special Trust Fund. </w:t>
      </w:r>
    </w:p>
    <w:p w14:paraId="0E4E32BD" w14:textId="124E0A4B" w:rsidR="00CE7657" w:rsidRPr="00CE7657" w:rsidRDefault="00431A61" w:rsidP="00C03273">
      <w:pPr>
        <w:pStyle w:val="CH3"/>
      </w:pPr>
      <w:r>
        <w:tab/>
      </w:r>
      <w:r w:rsidR="00CE7657" w:rsidRPr="00CE7657">
        <w:t>3.</w:t>
      </w:r>
      <w:r w:rsidR="00CE7657" w:rsidRPr="00CE7657">
        <w:tab/>
      </w:r>
      <w:r w:rsidR="002738BA" w:rsidRPr="00F9731F">
        <w:t>Scientific and technical activities</w:t>
      </w:r>
    </w:p>
    <w:p w14:paraId="61F1A4DA" w14:textId="6CE47E1A" w:rsidR="00CE7657" w:rsidRDefault="002738BA" w:rsidP="000E5516">
      <w:pPr>
        <w:pStyle w:val="Normalnumber"/>
        <w:ind w:left="1247" w:firstLine="0"/>
      </w:pPr>
      <w:r>
        <w:t xml:space="preserve">The </w:t>
      </w:r>
      <w:r w:rsidR="00810469">
        <w:t>s</w:t>
      </w:r>
      <w:r w:rsidR="00743EA7" w:rsidRPr="002E73EF">
        <w:t>ecretariat</w:t>
      </w:r>
      <w:r w:rsidRPr="002E73EF">
        <w:t xml:space="preserve"> is tasked </w:t>
      </w:r>
      <w:r w:rsidR="008A54FB">
        <w:t>with</w:t>
      </w:r>
      <w:r w:rsidRPr="002E73EF">
        <w:t xml:space="preserve"> provid</w:t>
      </w:r>
      <w:r w:rsidR="008A54FB">
        <w:t>ing</w:t>
      </w:r>
      <w:r w:rsidRPr="002E73EF">
        <w:t xml:space="preserve"> </w:t>
      </w:r>
      <w:r w:rsidRPr="00E0497B">
        <w:t>scientific and technical</w:t>
      </w:r>
      <w:r w:rsidRPr="002E73EF">
        <w:t xml:space="preserve"> support to </w:t>
      </w:r>
      <w:r w:rsidR="007617DE">
        <w:t>p</w:t>
      </w:r>
      <w:r w:rsidRPr="002E73EF">
        <w:t xml:space="preserve">arties </w:t>
      </w:r>
      <w:r w:rsidR="007617DE">
        <w:t>to</w:t>
      </w:r>
      <w:r w:rsidRPr="002E73EF">
        <w:t xml:space="preserve"> the Convention</w:t>
      </w:r>
      <w:r w:rsidR="00CE48AD">
        <w:t>, including</w:t>
      </w:r>
      <w:r w:rsidR="008A54FB">
        <w:t xml:space="preserve"> </w:t>
      </w:r>
      <w:r w:rsidR="00A349AC">
        <w:t xml:space="preserve">the </w:t>
      </w:r>
      <w:r w:rsidR="002E73EF" w:rsidRPr="002E73EF">
        <w:t>further development of guidance documents and draft guidelines as required by the Convention</w:t>
      </w:r>
      <w:r w:rsidR="002E73EF">
        <w:t>. Th</w:t>
      </w:r>
      <w:r w:rsidR="008A54FB">
        <w:t>e areas of work</w:t>
      </w:r>
      <w:r w:rsidR="002E73EF">
        <w:t xml:space="preserve"> include</w:t>
      </w:r>
      <w:r w:rsidR="002E73EF" w:rsidRPr="002E73EF">
        <w:t xml:space="preserve"> emission</w:t>
      </w:r>
      <w:r w:rsidR="008A54FB">
        <w:t>s</w:t>
      </w:r>
      <w:r w:rsidR="002E73EF" w:rsidRPr="002E73EF">
        <w:t xml:space="preserve"> and releases of mercury and mercury compounds, interim storage, waste and contaminated sites</w:t>
      </w:r>
      <w:r w:rsidR="008A54FB">
        <w:t>.</w:t>
      </w:r>
      <w:r w:rsidR="002E73EF" w:rsidRPr="002E73EF">
        <w:t xml:space="preserve"> The </w:t>
      </w:r>
      <w:r w:rsidR="008A54FB">
        <w:t>s</w:t>
      </w:r>
      <w:r w:rsidR="002E73EF" w:rsidRPr="002E73EF">
        <w:t>ecretariat will p</w:t>
      </w:r>
      <w:r w:rsidRPr="002E73EF">
        <w:t>rovide</w:t>
      </w:r>
      <w:r w:rsidR="008A54FB" w:rsidRPr="002E73EF">
        <w:t xml:space="preserve"> balanced</w:t>
      </w:r>
      <w:r w:rsidR="001F1F06">
        <w:t>,</w:t>
      </w:r>
      <w:r w:rsidR="008A54FB" w:rsidRPr="002E73EF">
        <w:t xml:space="preserve"> evidence-based reports</w:t>
      </w:r>
      <w:r w:rsidR="008A54FB">
        <w:t xml:space="preserve"> and </w:t>
      </w:r>
      <w:r w:rsidRPr="002E73EF">
        <w:t xml:space="preserve">scientific and technical analyses to facilitate decision-making and </w:t>
      </w:r>
      <w:r w:rsidR="008A54FB">
        <w:t xml:space="preserve">support the implementation of </w:t>
      </w:r>
      <w:r w:rsidRPr="002E73EF">
        <w:t>the Convention</w:t>
      </w:r>
      <w:r w:rsidR="00A349AC">
        <w:t>; produce</w:t>
      </w:r>
      <w:r w:rsidR="008A54FB">
        <w:t xml:space="preserve"> </w:t>
      </w:r>
      <w:r w:rsidR="002E0BC4">
        <w:t>p</w:t>
      </w:r>
      <w:r w:rsidRPr="002E73EF">
        <w:t>olicy and technical analyses on cross-cutting issues</w:t>
      </w:r>
      <w:r w:rsidR="00A349AC">
        <w:t>;</w:t>
      </w:r>
      <w:r w:rsidRPr="002E73EF">
        <w:t xml:space="preserve"> and </w:t>
      </w:r>
      <w:r w:rsidR="00A349AC">
        <w:t>coordinate and take part in</w:t>
      </w:r>
      <w:r w:rsidRPr="002E73EF">
        <w:t xml:space="preserve"> collaborat</w:t>
      </w:r>
      <w:r w:rsidR="00A349AC">
        <w:t>ive efforts</w:t>
      </w:r>
      <w:r w:rsidRPr="002E73EF">
        <w:t xml:space="preserve"> with partners in support of the Convention. </w:t>
      </w:r>
      <w:r w:rsidR="002E73EF">
        <w:t xml:space="preserve">Lastly, scientific and technical support will also underpin strategic communication </w:t>
      </w:r>
      <w:r w:rsidRPr="002E73EF">
        <w:t>outreach</w:t>
      </w:r>
      <w:r w:rsidR="002E73EF">
        <w:t xml:space="preserve"> for the Convention</w:t>
      </w:r>
      <w:r>
        <w:t xml:space="preserve">. </w:t>
      </w:r>
    </w:p>
    <w:p w14:paraId="36674CC5" w14:textId="68630CB4" w:rsidR="00C10042" w:rsidRDefault="00C10042" w:rsidP="000E5516">
      <w:pPr>
        <w:pStyle w:val="Normalnumber"/>
        <w:ind w:left="1247" w:firstLine="0"/>
      </w:pPr>
      <w:r>
        <w:t xml:space="preserve">Under the Convention, the Conference of the Parties is expected to undertake an evaluation of the effectiveness of the Convention no later than six years after </w:t>
      </w:r>
      <w:r w:rsidR="00096574">
        <w:t xml:space="preserve">its </w:t>
      </w:r>
      <w:r>
        <w:t xml:space="preserve">entry into force. The work is to commence at the first meeting with the initiation of the establishment of arrangements to provide </w:t>
      </w:r>
      <w:proofErr w:type="gramStart"/>
      <w:r>
        <w:t>itself</w:t>
      </w:r>
      <w:proofErr w:type="gramEnd"/>
      <w:r>
        <w:t xml:space="preserve"> with monitoring data. The secretariat is expected to be tasked with assisting th</w:t>
      </w:r>
      <w:r w:rsidR="00096574">
        <w:t>at</w:t>
      </w:r>
      <w:r>
        <w:t xml:space="preserve"> process, through the development of draft documents, as required, as well as </w:t>
      </w:r>
      <w:r w:rsidR="00096574">
        <w:t xml:space="preserve">the </w:t>
      </w:r>
      <w:r>
        <w:t>coordinati</w:t>
      </w:r>
      <w:r w:rsidR="00096574">
        <w:t>on</w:t>
      </w:r>
      <w:r>
        <w:t xml:space="preserve"> </w:t>
      </w:r>
      <w:r w:rsidR="00096574">
        <w:t xml:space="preserve">of </w:t>
      </w:r>
      <w:r>
        <w:t xml:space="preserve">input and the arrangement of meetings of any expert groups that may be established. </w:t>
      </w:r>
    </w:p>
    <w:p w14:paraId="06B88E07" w14:textId="14C6A881" w:rsidR="002738BA" w:rsidRDefault="00A271B3" w:rsidP="00E0497B">
      <w:pPr>
        <w:pStyle w:val="Normalnumber"/>
        <w:ind w:left="1247" w:firstLine="0"/>
      </w:pPr>
      <w:r w:rsidRPr="00A271B3">
        <w:t xml:space="preserve">The first meeting of the Conference of the Parties will </w:t>
      </w:r>
      <w:r w:rsidRPr="00787E85">
        <w:t xml:space="preserve">agree </w:t>
      </w:r>
      <w:r w:rsidR="00AC2410" w:rsidRPr="00787E85">
        <w:t xml:space="preserve">on </w:t>
      </w:r>
      <w:r w:rsidRPr="00787E85">
        <w:t>the structure</w:t>
      </w:r>
      <w:r w:rsidRPr="00A271B3">
        <w:t xml:space="preserve"> and content of the reporting format as well </w:t>
      </w:r>
      <w:r>
        <w:t xml:space="preserve">as the frequency of reporting. </w:t>
      </w:r>
      <w:r w:rsidRPr="00A271B3">
        <w:t xml:space="preserve">The </w:t>
      </w:r>
      <w:r w:rsidR="00096574">
        <w:t>s</w:t>
      </w:r>
      <w:r w:rsidRPr="00A271B3">
        <w:t xml:space="preserve">ecretariat will support the process of reporting, including through </w:t>
      </w:r>
      <w:r>
        <w:t xml:space="preserve">the </w:t>
      </w:r>
      <w:r w:rsidRPr="00A271B3">
        <w:t>develop</w:t>
      </w:r>
      <w:r w:rsidR="00096574">
        <w:t>ment of</w:t>
      </w:r>
      <w:r w:rsidRPr="00A271B3">
        <w:t xml:space="preserve"> an online tool for use by </w:t>
      </w:r>
      <w:r w:rsidR="00096574">
        <w:t>p</w:t>
      </w:r>
      <w:r w:rsidRPr="00A271B3">
        <w:t>arties</w:t>
      </w:r>
      <w:r w:rsidR="00431574">
        <w:t>. The secretariat will also provide</w:t>
      </w:r>
      <w:r w:rsidRPr="00A271B3">
        <w:t xml:space="preserve"> information, </w:t>
      </w:r>
      <w:r w:rsidR="001F1F06">
        <w:t xml:space="preserve">and </w:t>
      </w:r>
      <w:r w:rsidR="00616984">
        <w:t xml:space="preserve">other </w:t>
      </w:r>
      <w:r w:rsidRPr="00A271B3">
        <w:t xml:space="preserve">tools and guidance on reporting as required. </w:t>
      </w:r>
    </w:p>
    <w:p w14:paraId="1D2FFE3E" w14:textId="3877418E" w:rsidR="007B6BE2" w:rsidRDefault="002738BA" w:rsidP="000E5516">
      <w:pPr>
        <w:pStyle w:val="Normalnumber"/>
        <w:ind w:left="1247" w:firstLine="0"/>
      </w:pPr>
      <w:r>
        <w:t xml:space="preserve">The scientific and technical activities for the </w:t>
      </w:r>
      <w:r w:rsidR="00431574">
        <w:t xml:space="preserve">biennium </w:t>
      </w:r>
      <w:r>
        <w:t>2018</w:t>
      </w:r>
      <w:r w:rsidR="00616984">
        <w:t>–</w:t>
      </w:r>
      <w:r>
        <w:t xml:space="preserve">2019 are expected </w:t>
      </w:r>
      <w:r w:rsidR="00431574">
        <w:t xml:space="preserve">to </w:t>
      </w:r>
      <w:r w:rsidR="00A271B3">
        <w:t xml:space="preserve">be covered </w:t>
      </w:r>
      <w:r w:rsidR="00431574" w:rsidRPr="00C03273">
        <w:t>by the budgetary allocation for</w:t>
      </w:r>
      <w:r w:rsidR="00A271B3" w:rsidRPr="00C03273">
        <w:t xml:space="preserve"> staff costs</w:t>
      </w:r>
      <w:r w:rsidR="00A271B3">
        <w:t xml:space="preserve">, </w:t>
      </w:r>
      <w:r w:rsidR="00E12C01">
        <w:t xml:space="preserve">with the </w:t>
      </w:r>
      <w:r w:rsidR="00A271B3">
        <w:t>except</w:t>
      </w:r>
      <w:r w:rsidR="00E12C01">
        <w:t>ion of</w:t>
      </w:r>
      <w:r w:rsidR="00A271B3">
        <w:t xml:space="preserve"> an amount set aside for the </w:t>
      </w:r>
      <w:r w:rsidR="00431574">
        <w:t xml:space="preserve">development of an </w:t>
      </w:r>
      <w:r w:rsidR="00A271B3">
        <w:t>online tool.</w:t>
      </w:r>
    </w:p>
    <w:p w14:paraId="659E2407" w14:textId="63733686" w:rsidR="00EF5CEC" w:rsidRPr="00EF5CEC" w:rsidRDefault="00431A61" w:rsidP="00040F66">
      <w:pPr>
        <w:pStyle w:val="CH3"/>
      </w:pPr>
      <w:r>
        <w:tab/>
      </w:r>
      <w:r w:rsidR="0078236F">
        <w:t>4.</w:t>
      </w:r>
      <w:r w:rsidR="0078236F">
        <w:tab/>
      </w:r>
      <w:r w:rsidR="00EF5CEC" w:rsidRPr="00EF5CEC">
        <w:t>Knowledge and information management, and outreach</w:t>
      </w:r>
      <w:r w:rsidR="000A7CE7">
        <w:t xml:space="preserve"> </w:t>
      </w:r>
    </w:p>
    <w:p w14:paraId="3FFF0B8E" w14:textId="243B167C" w:rsidR="00EF5CEC" w:rsidRDefault="004A5554">
      <w:pPr>
        <w:pStyle w:val="Normalnumber"/>
        <w:ind w:left="1247" w:firstLine="0"/>
      </w:pPr>
      <w:r>
        <w:t xml:space="preserve">The </w:t>
      </w:r>
      <w:r w:rsidR="00431574">
        <w:t>s</w:t>
      </w:r>
      <w:r w:rsidRPr="005430EF">
        <w:t xml:space="preserve">ecretariat </w:t>
      </w:r>
      <w:r w:rsidR="00431574">
        <w:t>will</w:t>
      </w:r>
      <w:r>
        <w:t xml:space="preserve"> support the </w:t>
      </w:r>
      <w:r w:rsidRPr="00C43031">
        <w:t xml:space="preserve">knowledge and information management </w:t>
      </w:r>
      <w:r w:rsidR="00AC2410" w:rsidRPr="00241415">
        <w:t xml:space="preserve">activities </w:t>
      </w:r>
      <w:r w:rsidRPr="00C43031">
        <w:t>of the Convention</w:t>
      </w:r>
      <w:r w:rsidR="00431574">
        <w:t xml:space="preserve"> as stipulated in a</w:t>
      </w:r>
      <w:r>
        <w:t>rticle 17. Effective knowledge and information management is a cornerstone of implementation efforts</w:t>
      </w:r>
      <w:r w:rsidR="00006B07">
        <w:t xml:space="preserve">, as it allows </w:t>
      </w:r>
      <w:r w:rsidR="00924EA9">
        <w:t xml:space="preserve">parties </w:t>
      </w:r>
      <w:r w:rsidR="00006B07">
        <w:t>to exchange information with each other, and builds the repository of knowledge on implement</w:t>
      </w:r>
      <w:r w:rsidR="00924EA9">
        <w:t xml:space="preserve">ation of </w:t>
      </w:r>
      <w:r w:rsidR="00006B07">
        <w:t>the Convention in different national and regional contexts</w:t>
      </w:r>
      <w:r w:rsidR="00A378FB">
        <w:t xml:space="preserve">, including on lessons learned through South-South and North-South </w:t>
      </w:r>
      <w:r w:rsidR="00A61F1F">
        <w:t>collaboration</w:t>
      </w:r>
      <w:r>
        <w:t xml:space="preserve">. The development of a </w:t>
      </w:r>
      <w:r w:rsidR="0045139F">
        <w:t xml:space="preserve">dedicated, flexible and accessible </w:t>
      </w:r>
      <w:r>
        <w:t xml:space="preserve">knowledge and information management system for the Convention is </w:t>
      </w:r>
      <w:proofErr w:type="gramStart"/>
      <w:r>
        <w:t>key</w:t>
      </w:r>
      <w:proofErr w:type="gramEnd"/>
      <w:r>
        <w:t xml:space="preserve"> in this regard. </w:t>
      </w:r>
    </w:p>
    <w:p w14:paraId="143D199E" w14:textId="500CC293" w:rsidR="00924EA9" w:rsidRDefault="00924EA9" w:rsidP="000E5516">
      <w:pPr>
        <w:pStyle w:val="Normalnumber"/>
        <w:ind w:left="1247" w:firstLine="0"/>
      </w:pPr>
      <w:r>
        <w:t>T</w:t>
      </w:r>
      <w:r w:rsidR="004A5554">
        <w:t xml:space="preserve">he </w:t>
      </w:r>
      <w:r>
        <w:t>s</w:t>
      </w:r>
      <w:r w:rsidR="004A5554">
        <w:t xml:space="preserve">ecretariat is also tasked with raising </w:t>
      </w:r>
      <w:r>
        <w:t xml:space="preserve">awareness </w:t>
      </w:r>
      <w:r w:rsidR="004A5554">
        <w:t xml:space="preserve">about the Convention through strategic communication and outreach. The long-term sustainability of the Convention </w:t>
      </w:r>
      <w:r w:rsidR="00041C0C">
        <w:t>will</w:t>
      </w:r>
      <w:r w:rsidR="004A5554">
        <w:t xml:space="preserve"> be enhanced if policymakers and </w:t>
      </w:r>
      <w:r>
        <w:t>the general public</w:t>
      </w:r>
      <w:r w:rsidR="004A5554">
        <w:t xml:space="preserve"> are aware </w:t>
      </w:r>
      <w:r w:rsidR="00616984">
        <w:t xml:space="preserve">of </w:t>
      </w:r>
      <w:r w:rsidR="004A5554">
        <w:t xml:space="preserve">and informed about the importance of </w:t>
      </w:r>
      <w:r w:rsidR="00616984">
        <w:t>i</w:t>
      </w:r>
      <w:r>
        <w:t>t</w:t>
      </w:r>
      <w:r w:rsidR="004A5554">
        <w:t xml:space="preserve">s aims, </w:t>
      </w:r>
      <w:r w:rsidR="00A378FB">
        <w:t>the</w:t>
      </w:r>
      <w:r>
        <w:t xml:space="preserve"> relevance</w:t>
      </w:r>
      <w:r w:rsidR="00EF16A3">
        <w:t xml:space="preserve"> </w:t>
      </w:r>
      <w:r w:rsidR="00A378FB">
        <w:t>of th</w:t>
      </w:r>
      <w:r w:rsidR="00EF16A3">
        <w:t>ose</w:t>
      </w:r>
      <w:r w:rsidR="00A378FB">
        <w:t xml:space="preserve"> aims </w:t>
      </w:r>
      <w:r w:rsidR="004A5554">
        <w:t xml:space="preserve">to everyday life and the </w:t>
      </w:r>
      <w:proofErr w:type="spellStart"/>
      <w:r w:rsidR="004A5554">
        <w:t>interlinkages</w:t>
      </w:r>
      <w:proofErr w:type="spellEnd"/>
      <w:r w:rsidR="004A5554">
        <w:t xml:space="preserve"> between the </w:t>
      </w:r>
      <w:r>
        <w:t xml:space="preserve">work of the </w:t>
      </w:r>
      <w:r w:rsidR="004A5554">
        <w:t xml:space="preserve">Convention and various other sectors. </w:t>
      </w:r>
    </w:p>
    <w:p w14:paraId="21C1C60B" w14:textId="153C05F8" w:rsidR="00FC4067" w:rsidRDefault="004A5554" w:rsidP="000E5516">
      <w:pPr>
        <w:pStyle w:val="Normalnumber"/>
        <w:ind w:left="1247" w:firstLine="0"/>
      </w:pPr>
      <w:r>
        <w:t xml:space="preserve">The development and dissemination of materials and publications (including e-publications) </w:t>
      </w:r>
      <w:r w:rsidR="00924EA9">
        <w:t>are</w:t>
      </w:r>
      <w:r>
        <w:t xml:space="preserve"> </w:t>
      </w:r>
      <w:proofErr w:type="gramStart"/>
      <w:r>
        <w:t>key</w:t>
      </w:r>
      <w:proofErr w:type="gramEnd"/>
      <w:r>
        <w:t xml:space="preserve"> to </w:t>
      </w:r>
      <w:r w:rsidR="00924EA9">
        <w:t>awareness-raising</w:t>
      </w:r>
      <w:r>
        <w:t xml:space="preserve"> efforts</w:t>
      </w:r>
      <w:r w:rsidR="00924EA9">
        <w:t xml:space="preserve">, and </w:t>
      </w:r>
      <w:r w:rsidR="00221FE2">
        <w:t xml:space="preserve">should </w:t>
      </w:r>
      <w:r w:rsidR="00FC4067">
        <w:t>include the publication and dissemination of the convention text, rules of procedure</w:t>
      </w:r>
      <w:r w:rsidR="00E12C01">
        <w:t xml:space="preserve"> and </w:t>
      </w:r>
      <w:r w:rsidR="00FC4067">
        <w:t xml:space="preserve">financial rules, as well as fact sheets and other core publications. </w:t>
      </w:r>
    </w:p>
    <w:p w14:paraId="441098C8" w14:textId="16081C83" w:rsidR="00FC4067" w:rsidRDefault="00FC4067" w:rsidP="000E5516">
      <w:pPr>
        <w:pStyle w:val="Normalnumber"/>
        <w:ind w:left="1247" w:firstLine="0"/>
      </w:pPr>
      <w:r w:rsidRPr="007617DE">
        <w:t>As</w:t>
      </w:r>
      <w:r w:rsidR="007617DE">
        <w:t xml:space="preserve"> this is</w:t>
      </w:r>
      <w:r w:rsidRPr="007617DE">
        <w:t xml:space="preserve"> a new </w:t>
      </w:r>
      <w:r w:rsidR="00E12C01">
        <w:t>c</w:t>
      </w:r>
      <w:r w:rsidRPr="007617DE">
        <w:t xml:space="preserve">onvention, a strategic communication campaign </w:t>
      </w:r>
      <w:r w:rsidR="001F183F" w:rsidRPr="007617DE">
        <w:t xml:space="preserve">will also need to be developed, which should </w:t>
      </w:r>
      <w:r w:rsidRPr="007617DE">
        <w:t>includ</w:t>
      </w:r>
      <w:r w:rsidR="001F183F" w:rsidRPr="007617DE">
        <w:t>e</w:t>
      </w:r>
      <w:r w:rsidRPr="007617DE">
        <w:t xml:space="preserve"> </w:t>
      </w:r>
      <w:r w:rsidR="001F183F" w:rsidRPr="007617DE">
        <w:t xml:space="preserve">a </w:t>
      </w:r>
      <w:r w:rsidRPr="007617DE">
        <w:t>social media profile</w:t>
      </w:r>
      <w:r>
        <w:t>, a visual identity</w:t>
      </w:r>
      <w:r w:rsidR="00D241A1">
        <w:t>, branding</w:t>
      </w:r>
      <w:r>
        <w:t xml:space="preserve"> and logo, and related multimedia elements </w:t>
      </w:r>
      <w:r w:rsidR="001F183F">
        <w:t>for publicity purposes</w:t>
      </w:r>
      <w:r>
        <w:t xml:space="preserve">. </w:t>
      </w:r>
    </w:p>
    <w:p w14:paraId="616D30F5" w14:textId="4FF04062" w:rsidR="00FC4067" w:rsidRDefault="00FC4067" w:rsidP="000E5516">
      <w:pPr>
        <w:pStyle w:val="Normalnumber"/>
        <w:ind w:left="1247" w:firstLine="0"/>
      </w:pPr>
      <w:r>
        <w:t xml:space="preserve">The knowledge and information management </w:t>
      </w:r>
      <w:r w:rsidR="00631C77">
        <w:t>functions</w:t>
      </w:r>
      <w:r>
        <w:t xml:space="preserve">, as well as strategic communication and outreach activities for the </w:t>
      </w:r>
      <w:r w:rsidR="001F183F">
        <w:t xml:space="preserve">biennium </w:t>
      </w:r>
      <w:r>
        <w:t>2018</w:t>
      </w:r>
      <w:r w:rsidR="006801E3">
        <w:t>–</w:t>
      </w:r>
      <w:r>
        <w:t xml:space="preserve">2019 are a core part of the work </w:t>
      </w:r>
      <w:r w:rsidR="001F183F">
        <w:t xml:space="preserve">of the secretariat </w:t>
      </w:r>
      <w:r>
        <w:t xml:space="preserve">and </w:t>
      </w:r>
      <w:r w:rsidR="001F183F">
        <w:t>will</w:t>
      </w:r>
      <w:r>
        <w:t xml:space="preserve"> </w:t>
      </w:r>
      <w:r w:rsidR="00E12C01">
        <w:t xml:space="preserve">primarily </w:t>
      </w:r>
      <w:r>
        <w:t xml:space="preserve">be supported from the General Trust Fund. </w:t>
      </w:r>
    </w:p>
    <w:p w14:paraId="4BFD7E59" w14:textId="6C3472C8" w:rsidR="00C07F78" w:rsidRDefault="00431A61" w:rsidP="00C03273">
      <w:pPr>
        <w:pStyle w:val="CH3"/>
      </w:pPr>
      <w:r>
        <w:tab/>
      </w:r>
      <w:r w:rsidR="00C07F78" w:rsidRPr="00762832">
        <w:t>5.</w:t>
      </w:r>
      <w:r w:rsidR="00C07F78" w:rsidRPr="00762832">
        <w:tab/>
        <w:t>Overall management</w:t>
      </w:r>
      <w:r w:rsidR="000A7CE7">
        <w:t xml:space="preserve"> </w:t>
      </w:r>
    </w:p>
    <w:p w14:paraId="2896BF7E" w14:textId="3ABC3040" w:rsidR="00C07F78" w:rsidRDefault="001F183F" w:rsidP="000E5516">
      <w:pPr>
        <w:pStyle w:val="Normalnumber"/>
        <w:ind w:left="1247" w:firstLine="0"/>
      </w:pPr>
      <w:r>
        <w:t>Providing e</w:t>
      </w:r>
      <w:r w:rsidR="00C07F78">
        <w:t xml:space="preserve">ffective support to </w:t>
      </w:r>
      <w:r w:rsidRPr="002D21EA">
        <w:t>p</w:t>
      </w:r>
      <w:r w:rsidR="00C07F78" w:rsidRPr="002D21EA">
        <w:t xml:space="preserve">arties </w:t>
      </w:r>
      <w:r w:rsidRPr="002D21EA">
        <w:t>to</w:t>
      </w:r>
      <w:r>
        <w:t xml:space="preserve"> the Convention </w:t>
      </w:r>
      <w:r w:rsidR="00C07F78">
        <w:t xml:space="preserve">requires responsive </w:t>
      </w:r>
      <w:r w:rsidR="00346ACA">
        <w:t xml:space="preserve">and strategic </w:t>
      </w:r>
      <w:r w:rsidR="00C07F78">
        <w:t xml:space="preserve">executive </w:t>
      </w:r>
      <w:r w:rsidR="00346ACA">
        <w:t xml:space="preserve">direction. It also requires coherence in the </w:t>
      </w:r>
      <w:r w:rsidR="00C07F78">
        <w:t xml:space="preserve">management of staff, </w:t>
      </w:r>
      <w:r>
        <w:t xml:space="preserve">in the </w:t>
      </w:r>
      <w:r w:rsidR="00C07F78">
        <w:t xml:space="preserve">delivery of secretariat functions and </w:t>
      </w:r>
      <w:r>
        <w:t xml:space="preserve">in </w:t>
      </w:r>
      <w:r w:rsidR="00C07F78">
        <w:t>finan</w:t>
      </w:r>
      <w:r w:rsidR="00D01CCB">
        <w:t>cial resources</w:t>
      </w:r>
      <w:r w:rsidR="00C07F78">
        <w:t>. In th</w:t>
      </w:r>
      <w:r w:rsidR="00B5080A">
        <w:t>at</w:t>
      </w:r>
      <w:r w:rsidR="00C07F78">
        <w:t xml:space="preserve"> regard, </w:t>
      </w:r>
      <w:r>
        <w:t xml:space="preserve">the </w:t>
      </w:r>
      <w:r w:rsidR="00046ED2">
        <w:t>h</w:t>
      </w:r>
      <w:r w:rsidR="00C07F78" w:rsidRPr="001F183F">
        <w:t xml:space="preserve">ead of the </w:t>
      </w:r>
      <w:r>
        <w:t>s</w:t>
      </w:r>
      <w:r w:rsidR="00C07F78" w:rsidRPr="001F183F">
        <w:t>ecretariat</w:t>
      </w:r>
      <w:r w:rsidR="00C07F78">
        <w:t xml:space="preserve"> provides strategic planning and management, ensures effective </w:t>
      </w:r>
      <w:r w:rsidR="00B5080A">
        <w:t xml:space="preserve">flows of </w:t>
      </w:r>
      <w:r w:rsidR="00C07F78">
        <w:t>information and monitors progress in the implementation of the programme of work.</w:t>
      </w:r>
    </w:p>
    <w:p w14:paraId="11E8B333" w14:textId="4A3F35ED" w:rsidR="00C07F78" w:rsidRDefault="00C07F78" w:rsidP="002D21EA">
      <w:pPr>
        <w:pStyle w:val="Normalnumber"/>
        <w:ind w:left="1247" w:firstLine="0"/>
      </w:pPr>
      <w:r>
        <w:t xml:space="preserve">The </w:t>
      </w:r>
      <w:r w:rsidR="00046ED2">
        <w:t>h</w:t>
      </w:r>
      <w:r>
        <w:t xml:space="preserve">ead of the </w:t>
      </w:r>
      <w:r w:rsidR="00046ED2">
        <w:t>s</w:t>
      </w:r>
      <w:r>
        <w:t xml:space="preserve">ecretariat is tasked </w:t>
      </w:r>
      <w:r w:rsidR="00046ED2">
        <w:t>with</w:t>
      </w:r>
      <w:r>
        <w:t xml:space="preserve"> ensur</w:t>
      </w:r>
      <w:r w:rsidR="00046ED2">
        <w:t>ing</w:t>
      </w:r>
      <w:r>
        <w:t xml:space="preserve"> the coherence of meetings, prioriti</w:t>
      </w:r>
      <w:r w:rsidR="00046ED2">
        <w:t>zing and organizing its</w:t>
      </w:r>
      <w:r>
        <w:t xml:space="preserve"> work, </w:t>
      </w:r>
      <w:r w:rsidR="00046ED2">
        <w:t xml:space="preserve">using its resources </w:t>
      </w:r>
      <w:r>
        <w:t>efficient</w:t>
      </w:r>
      <w:r w:rsidR="00046ED2">
        <w:t>ly</w:t>
      </w:r>
      <w:r>
        <w:t xml:space="preserve"> </w:t>
      </w:r>
      <w:r w:rsidR="00046ED2">
        <w:t xml:space="preserve">and ensuring </w:t>
      </w:r>
      <w:r>
        <w:t xml:space="preserve">consistency </w:t>
      </w:r>
      <w:r w:rsidR="002D21EA">
        <w:t xml:space="preserve">in </w:t>
      </w:r>
      <w:r w:rsidR="00046ED2">
        <w:t>its</w:t>
      </w:r>
      <w:r>
        <w:t xml:space="preserve"> procedures</w:t>
      </w:r>
      <w:r w:rsidR="00046ED2">
        <w:t>,</w:t>
      </w:r>
      <w:r>
        <w:t xml:space="preserve"> the </w:t>
      </w:r>
      <w:r w:rsidR="00190B61">
        <w:t xml:space="preserve">overall </w:t>
      </w:r>
      <w:r>
        <w:t xml:space="preserve">aim of </w:t>
      </w:r>
      <w:r w:rsidR="00046ED2">
        <w:t xml:space="preserve">which is </w:t>
      </w:r>
      <w:r>
        <w:t xml:space="preserve">efficiency and effectiveness of processes and structures </w:t>
      </w:r>
      <w:r w:rsidR="00046ED2">
        <w:t>in order</w:t>
      </w:r>
      <w:r>
        <w:t xml:space="preserve"> to best support </w:t>
      </w:r>
      <w:r w:rsidR="00046ED2">
        <w:t xml:space="preserve">the implementation of the </w:t>
      </w:r>
      <w:r>
        <w:t>Convention.</w:t>
      </w:r>
    </w:p>
    <w:p w14:paraId="6270CBE6" w14:textId="7101D217" w:rsidR="00C07F78" w:rsidRDefault="00257D31" w:rsidP="000E5516">
      <w:pPr>
        <w:pStyle w:val="Normalnumber"/>
        <w:ind w:left="1247" w:firstLine="0"/>
      </w:pPr>
      <w:r>
        <w:t>T</w:t>
      </w:r>
      <w:r w:rsidR="00C07F78">
        <w:t xml:space="preserve">he </w:t>
      </w:r>
      <w:r w:rsidR="00046ED2">
        <w:t>h</w:t>
      </w:r>
      <w:r w:rsidR="00C07F78">
        <w:t xml:space="preserve">ead of the </w:t>
      </w:r>
      <w:r w:rsidR="00046ED2">
        <w:t>s</w:t>
      </w:r>
      <w:r w:rsidR="00C07F78">
        <w:t xml:space="preserve">ecretariat </w:t>
      </w:r>
      <w:r>
        <w:t>must also</w:t>
      </w:r>
      <w:r w:rsidR="00C07F78">
        <w:t xml:space="preserve"> ensure </w:t>
      </w:r>
      <w:r w:rsidR="00D815A6">
        <w:t xml:space="preserve">that </w:t>
      </w:r>
      <w:r w:rsidR="00046ED2" w:rsidRPr="006062D7">
        <w:t>its</w:t>
      </w:r>
      <w:r w:rsidR="00C07F78" w:rsidRPr="006062D7">
        <w:t xml:space="preserve"> work</w:t>
      </w:r>
      <w:r w:rsidR="00C07F78">
        <w:t xml:space="preserve"> is adequately funded. </w:t>
      </w:r>
      <w:r w:rsidR="00046ED2">
        <w:t>The p</w:t>
      </w:r>
      <w:r w:rsidR="00C07F78">
        <w:t xml:space="preserve">reparation </w:t>
      </w:r>
      <w:r w:rsidR="00046ED2">
        <w:t xml:space="preserve">and monitoring </w:t>
      </w:r>
      <w:r w:rsidR="00C07F78">
        <w:t>of the budget and</w:t>
      </w:r>
      <w:r w:rsidR="00046ED2">
        <w:t>, in particular,</w:t>
      </w:r>
      <w:r w:rsidR="00C07F78">
        <w:t xml:space="preserve"> </w:t>
      </w:r>
      <w:r>
        <w:t xml:space="preserve">the </w:t>
      </w:r>
      <w:r w:rsidR="00C07F78">
        <w:t>mobili</w:t>
      </w:r>
      <w:r w:rsidR="0038432C">
        <w:t>zation</w:t>
      </w:r>
      <w:r>
        <w:t xml:space="preserve"> of resources</w:t>
      </w:r>
      <w:r w:rsidR="00C07F78">
        <w:t xml:space="preserve"> are core functions in th</w:t>
      </w:r>
      <w:r w:rsidR="0038432C">
        <w:t>at</w:t>
      </w:r>
      <w:r w:rsidR="00C07F78">
        <w:t xml:space="preserve"> regard. Furthermore, the </w:t>
      </w:r>
      <w:r w:rsidR="0038432C">
        <w:t>h</w:t>
      </w:r>
      <w:r w:rsidR="00C07F78">
        <w:t xml:space="preserve">ead of the </w:t>
      </w:r>
      <w:r w:rsidR="0038432C">
        <w:t>s</w:t>
      </w:r>
      <w:r w:rsidR="00C07F78">
        <w:t xml:space="preserve">ecretariat is tasked </w:t>
      </w:r>
      <w:r w:rsidR="0038432C">
        <w:t>with</w:t>
      </w:r>
      <w:r w:rsidR="00C07F78">
        <w:t xml:space="preserve"> build</w:t>
      </w:r>
      <w:r w:rsidR="0038432C">
        <w:t>ing</w:t>
      </w:r>
      <w:r w:rsidR="00C07F78">
        <w:t xml:space="preserve"> and strengthen</w:t>
      </w:r>
      <w:r w:rsidR="0038432C">
        <w:t>ing</w:t>
      </w:r>
      <w:r w:rsidR="00C07F78">
        <w:t xml:space="preserve"> relations with donors for the overall allocation of resources </w:t>
      </w:r>
      <w:r>
        <w:t>for</w:t>
      </w:r>
      <w:r w:rsidR="00C07F78">
        <w:t xml:space="preserve"> the implementation of the Convention</w:t>
      </w:r>
      <w:r w:rsidR="006801E3">
        <w:t>, which</w:t>
      </w:r>
      <w:r w:rsidR="00C07F78">
        <w:t xml:space="preserve"> </w:t>
      </w:r>
      <w:r w:rsidR="0038432C">
        <w:t>involv</w:t>
      </w:r>
      <w:r w:rsidR="006801E3">
        <w:t>es</w:t>
      </w:r>
      <w:r w:rsidR="00C07F78">
        <w:t xml:space="preserve"> </w:t>
      </w:r>
      <w:r w:rsidR="00190B61">
        <w:t xml:space="preserve">both </w:t>
      </w:r>
      <w:r w:rsidR="00C07F78">
        <w:t>traditional and non-traditional fund</w:t>
      </w:r>
      <w:r w:rsidR="00190B61">
        <w:t>ing sources</w:t>
      </w:r>
      <w:r w:rsidR="00C07F78">
        <w:t xml:space="preserve">, </w:t>
      </w:r>
      <w:r>
        <w:t>and</w:t>
      </w:r>
      <w:r w:rsidR="006801E3">
        <w:t xml:space="preserve"> </w:t>
      </w:r>
      <w:r w:rsidR="00C07F78">
        <w:t>the Global Environment Facility</w:t>
      </w:r>
      <w:r w:rsidR="0038432C">
        <w:t>,</w:t>
      </w:r>
      <w:r w:rsidR="00C07F78">
        <w:t xml:space="preserve"> which forms part of the financial mechanism</w:t>
      </w:r>
      <w:r w:rsidR="00190B61">
        <w:t xml:space="preserve"> of the Convention</w:t>
      </w:r>
      <w:r w:rsidR="00C07F78">
        <w:t xml:space="preserve">. </w:t>
      </w:r>
    </w:p>
    <w:p w14:paraId="2B7F6498" w14:textId="7604A2FB" w:rsidR="00C07F78" w:rsidRDefault="00C07F78" w:rsidP="000E5516">
      <w:pPr>
        <w:pStyle w:val="Normalnumber"/>
        <w:ind w:left="1247" w:firstLine="0"/>
      </w:pPr>
      <w:r>
        <w:t xml:space="preserve">Effective implementation support also </w:t>
      </w:r>
      <w:r w:rsidRPr="00E0497B">
        <w:t>requires coordination</w:t>
      </w:r>
      <w:r>
        <w:t xml:space="preserve"> and cooperation by the </w:t>
      </w:r>
      <w:r w:rsidR="00A621DE">
        <w:t>s</w:t>
      </w:r>
      <w:r>
        <w:t>ecretariat with the chemical</w:t>
      </w:r>
      <w:r w:rsidR="00E747FB">
        <w:t>s</w:t>
      </w:r>
      <w:r>
        <w:t xml:space="preserve"> and waste cluster and with the broader sustainable development and environment</w:t>
      </w:r>
      <w:r w:rsidR="00DB5243">
        <w:t>al</w:t>
      </w:r>
      <w:r>
        <w:t xml:space="preserve"> agenda, including through </w:t>
      </w:r>
      <w:r w:rsidR="00DB5243">
        <w:t>UNEP,</w:t>
      </w:r>
      <w:r>
        <w:t xml:space="preserve"> othe</w:t>
      </w:r>
      <w:r w:rsidR="00313772">
        <w:t>r related and appropriate for</w:t>
      </w:r>
      <w:r w:rsidR="00DB5243">
        <w:t>ums</w:t>
      </w:r>
      <w:r w:rsidR="00313772">
        <w:t>, and with partner institutions</w:t>
      </w:r>
      <w:r w:rsidR="004865B6">
        <w:t>,</w:t>
      </w:r>
      <w:r w:rsidR="00313772">
        <w:t xml:space="preserve"> </w:t>
      </w:r>
      <w:r w:rsidR="00DB5243">
        <w:t>including</w:t>
      </w:r>
      <w:r w:rsidR="00313772">
        <w:t xml:space="preserve"> the World Health Organi</w:t>
      </w:r>
      <w:r w:rsidR="00DB5243">
        <w:t>zation</w:t>
      </w:r>
      <w:r w:rsidR="00313772">
        <w:t>.</w:t>
      </w:r>
    </w:p>
    <w:p w14:paraId="741A812D" w14:textId="4CF8CC3A" w:rsidR="00C07F78" w:rsidRDefault="00257D31" w:rsidP="000E5516">
      <w:pPr>
        <w:pStyle w:val="Normalnumber"/>
        <w:ind w:left="1247" w:firstLine="0"/>
      </w:pPr>
      <w:r>
        <w:t>S</w:t>
      </w:r>
      <w:r w:rsidR="00C07F78">
        <w:t xml:space="preserve">taff travel for the </w:t>
      </w:r>
      <w:r>
        <w:t xml:space="preserve">biennium </w:t>
      </w:r>
      <w:r w:rsidR="00C07F78">
        <w:t>2018</w:t>
      </w:r>
      <w:r w:rsidR="006801E3">
        <w:t>–</w:t>
      </w:r>
      <w:r w:rsidR="00C07F78">
        <w:t>2019</w:t>
      </w:r>
      <w:r>
        <w:t>,</w:t>
      </w:r>
      <w:r w:rsidR="006801E3">
        <w:t xml:space="preserve"> </w:t>
      </w:r>
      <w:r w:rsidR="00C07F78">
        <w:t xml:space="preserve">in support of activities for Convention implementation and </w:t>
      </w:r>
      <w:r>
        <w:t xml:space="preserve">in </w:t>
      </w:r>
      <w:r w:rsidR="00C07F78">
        <w:t>respon</w:t>
      </w:r>
      <w:r>
        <w:t>se</w:t>
      </w:r>
      <w:r w:rsidR="00C07F78">
        <w:t xml:space="preserve"> to the needs of the Convention and its subsidiary bodies</w:t>
      </w:r>
      <w:r w:rsidR="002C01DD">
        <w:t>, may be required</w:t>
      </w:r>
      <w:r w:rsidR="00C07F78">
        <w:t xml:space="preserve">. </w:t>
      </w:r>
    </w:p>
    <w:p w14:paraId="66FFA417" w14:textId="3D49862E" w:rsidR="003D18D9" w:rsidRDefault="003D18D9" w:rsidP="000E5516">
      <w:pPr>
        <w:pStyle w:val="Normalnumber"/>
        <w:ind w:left="1247" w:firstLine="0"/>
      </w:pPr>
      <w:r>
        <w:t xml:space="preserve">It </w:t>
      </w:r>
      <w:r w:rsidR="002C01DD">
        <w:t xml:space="preserve">should </w:t>
      </w:r>
      <w:r>
        <w:t xml:space="preserve">be noted that </w:t>
      </w:r>
      <w:r w:rsidR="00B66DD4">
        <w:t>a</w:t>
      </w:r>
      <w:r>
        <w:t xml:space="preserve"> specific international </w:t>
      </w:r>
      <w:r w:rsidRPr="007A741D">
        <w:t>programme is</w:t>
      </w:r>
      <w:r>
        <w:t xml:space="preserve"> to be established at the first </w:t>
      </w:r>
      <w:r w:rsidR="00D815A6">
        <w:t xml:space="preserve">meeting of the </w:t>
      </w:r>
      <w:r>
        <w:t>Conference</w:t>
      </w:r>
      <w:r w:rsidR="007A741D">
        <w:t xml:space="preserve"> of the Parties</w:t>
      </w:r>
      <w:r>
        <w:t xml:space="preserve">, </w:t>
      </w:r>
      <w:r w:rsidR="00B66DD4">
        <w:t>which</w:t>
      </w:r>
      <w:r w:rsidR="004865B6">
        <w:t>,</w:t>
      </w:r>
      <w:r w:rsidR="00B66DD4">
        <w:t xml:space="preserve"> together with </w:t>
      </w:r>
      <w:r>
        <w:t>the Global Envir</w:t>
      </w:r>
      <w:r w:rsidR="00D815A6">
        <w:t xml:space="preserve">onment Facility Trust Fund </w:t>
      </w:r>
      <w:r w:rsidR="002C01DD">
        <w:t xml:space="preserve">will </w:t>
      </w:r>
      <w:r w:rsidR="00D815A6">
        <w:t>form</w:t>
      </w:r>
      <w:r>
        <w:t xml:space="preserve"> the financial mechanism </w:t>
      </w:r>
      <w:r w:rsidR="004865B6">
        <w:t xml:space="preserve">for </w:t>
      </w:r>
      <w:r>
        <w:t xml:space="preserve">the Convention. The location of </w:t>
      </w:r>
      <w:r w:rsidR="00B66DD4">
        <w:t>th</w:t>
      </w:r>
      <w:r w:rsidR="002C01DD">
        <w:t xml:space="preserve">e </w:t>
      </w:r>
      <w:r>
        <w:t xml:space="preserve">programme </w:t>
      </w:r>
      <w:r w:rsidR="00D815A6">
        <w:t xml:space="preserve">and its </w:t>
      </w:r>
      <w:r>
        <w:t xml:space="preserve">secretariat </w:t>
      </w:r>
      <w:r w:rsidR="00F93325">
        <w:t>has</w:t>
      </w:r>
      <w:r>
        <w:t xml:space="preserve"> </w:t>
      </w:r>
      <w:r w:rsidR="006801E3">
        <w:t>yet</w:t>
      </w:r>
      <w:r w:rsidR="00D815A6">
        <w:t xml:space="preserve"> </w:t>
      </w:r>
      <w:r>
        <w:t>to be decided</w:t>
      </w:r>
      <w:r w:rsidR="002C01DD">
        <w:t xml:space="preserve"> (see UNEP/MC/COP.1/</w:t>
      </w:r>
      <w:r w:rsidR="002C01DD" w:rsidRPr="007617DE">
        <w:t xml:space="preserve">9 and </w:t>
      </w:r>
      <w:r w:rsidR="004865B6">
        <w:t>UNEP/MC/COP.1/</w:t>
      </w:r>
      <w:r w:rsidR="004865B6" w:rsidRPr="007617DE">
        <w:t>9</w:t>
      </w:r>
      <w:r w:rsidR="004865B6">
        <w:t>/</w:t>
      </w:r>
      <w:r w:rsidR="002C01DD" w:rsidRPr="007617DE">
        <w:t>Add.1</w:t>
      </w:r>
      <w:r w:rsidR="002C01DD">
        <w:t>)</w:t>
      </w:r>
      <w:r>
        <w:t xml:space="preserve">. </w:t>
      </w:r>
      <w:r w:rsidR="002C01DD">
        <w:t>I</w:t>
      </w:r>
      <w:r>
        <w:t>t is expected that the secretariat and its operations will be funded through</w:t>
      </w:r>
      <w:r w:rsidR="00380C51">
        <w:t xml:space="preserve"> volun</w:t>
      </w:r>
      <w:r w:rsidR="00060625">
        <w:t>t</w:t>
      </w:r>
      <w:r w:rsidR="00380C51">
        <w:t>ary</w:t>
      </w:r>
      <w:r>
        <w:t xml:space="preserve"> contributions</w:t>
      </w:r>
      <w:r w:rsidR="002506FD">
        <w:t xml:space="preserve">. </w:t>
      </w:r>
    </w:p>
    <w:p w14:paraId="5DC94C64" w14:textId="44AB3F57" w:rsidR="002506FD" w:rsidRPr="00800B13" w:rsidRDefault="00431A61" w:rsidP="00C03273">
      <w:pPr>
        <w:pStyle w:val="CH3"/>
      </w:pPr>
      <w:r>
        <w:tab/>
      </w:r>
      <w:r w:rsidR="002506FD" w:rsidRPr="002506FD">
        <w:t>6.</w:t>
      </w:r>
      <w:r w:rsidR="002506FD" w:rsidRPr="002506FD">
        <w:tab/>
        <w:t>Legal and policy activities</w:t>
      </w:r>
    </w:p>
    <w:p w14:paraId="458C5599" w14:textId="24C6FFE9" w:rsidR="002506FD" w:rsidRDefault="0036498C" w:rsidP="00C03273">
      <w:pPr>
        <w:pStyle w:val="Normalnumber"/>
        <w:keepNext/>
        <w:keepLines/>
        <w:ind w:left="1247" w:firstLine="0"/>
      </w:pPr>
      <w:r>
        <w:t xml:space="preserve">Legal </w:t>
      </w:r>
      <w:r w:rsidRPr="009176E7">
        <w:t xml:space="preserve">and </w:t>
      </w:r>
      <w:r w:rsidRPr="00E0497B">
        <w:t>policy activities</w:t>
      </w:r>
      <w:r w:rsidRPr="009176E7">
        <w:t xml:space="preserve"> underpin </w:t>
      </w:r>
      <w:r w:rsidR="009E6C89">
        <w:t>many</w:t>
      </w:r>
      <w:r w:rsidRPr="009176E7">
        <w:t xml:space="preserve"> of the functions of the </w:t>
      </w:r>
      <w:r w:rsidR="00242A25">
        <w:t>s</w:t>
      </w:r>
      <w:r w:rsidRPr="009176E7">
        <w:t>ecretariat</w:t>
      </w:r>
      <w:r w:rsidR="00242A25">
        <w:t>, including</w:t>
      </w:r>
      <w:r w:rsidRPr="009176E7">
        <w:t xml:space="preserve"> </w:t>
      </w:r>
      <w:r w:rsidR="009E6C89">
        <w:t xml:space="preserve">both </w:t>
      </w:r>
      <w:r w:rsidRPr="009176E7">
        <w:t>generic</w:t>
      </w:r>
      <w:r w:rsidR="00242A25">
        <w:t xml:space="preserve"> and </w:t>
      </w:r>
      <w:r w:rsidRPr="009176E7">
        <w:t>Convention-specific activities</w:t>
      </w:r>
      <w:r w:rsidR="003017C8">
        <w:t xml:space="preserve">. </w:t>
      </w:r>
      <w:r w:rsidR="009E6C89">
        <w:t xml:space="preserve">Such </w:t>
      </w:r>
      <w:r w:rsidR="003017C8">
        <w:t xml:space="preserve">activities </w:t>
      </w:r>
      <w:r w:rsidR="00242A25">
        <w:t xml:space="preserve">include providing </w:t>
      </w:r>
      <w:r w:rsidR="003017C8">
        <w:t>legal and policy advice</w:t>
      </w:r>
      <w:r w:rsidRPr="009176E7">
        <w:t xml:space="preserve"> </w:t>
      </w:r>
      <w:r w:rsidR="00242A25">
        <w:t xml:space="preserve">on a range of subjects, including </w:t>
      </w:r>
      <w:r w:rsidRPr="009176E7">
        <w:t>the implementation an</w:t>
      </w:r>
      <w:r>
        <w:t>d development of the C</w:t>
      </w:r>
      <w:r w:rsidR="003017C8">
        <w:t xml:space="preserve">onvention, </w:t>
      </w:r>
      <w:r w:rsidRPr="009176E7">
        <w:t>international cooperation activit</w:t>
      </w:r>
      <w:r w:rsidR="003017C8">
        <w:t xml:space="preserve">ies on legal and policy matters, and the </w:t>
      </w:r>
      <w:r w:rsidRPr="000A7CE7">
        <w:t>corporate legal activities</w:t>
      </w:r>
      <w:r w:rsidR="00267C93" w:rsidRPr="000A7CE7">
        <w:t xml:space="preserve"> </w:t>
      </w:r>
      <w:r w:rsidR="00242A25" w:rsidRPr="000A7CE7">
        <w:t>of</w:t>
      </w:r>
      <w:r w:rsidR="00267C93" w:rsidRPr="000A7CE7">
        <w:t xml:space="preserve"> the </w:t>
      </w:r>
      <w:r w:rsidR="00242A25" w:rsidRPr="000A7CE7">
        <w:t>s</w:t>
      </w:r>
      <w:r w:rsidRPr="000A7CE7">
        <w:t>ecretariat</w:t>
      </w:r>
      <w:r>
        <w:t xml:space="preserve">. </w:t>
      </w:r>
    </w:p>
    <w:p w14:paraId="1C55340B" w14:textId="20EB74D2" w:rsidR="0036498C" w:rsidRDefault="0036498C" w:rsidP="000E5516">
      <w:pPr>
        <w:pStyle w:val="Normalnumber"/>
        <w:ind w:left="1247" w:firstLine="0"/>
      </w:pPr>
      <w:r>
        <w:t xml:space="preserve">Legal </w:t>
      </w:r>
      <w:r w:rsidR="00157143">
        <w:t xml:space="preserve">and policy </w:t>
      </w:r>
      <w:r>
        <w:t xml:space="preserve">activities of the </w:t>
      </w:r>
      <w:r w:rsidR="00242A25">
        <w:t>s</w:t>
      </w:r>
      <w:r>
        <w:t xml:space="preserve">ecretariat also </w:t>
      </w:r>
      <w:r w:rsidRPr="00126184">
        <w:t xml:space="preserve">include </w:t>
      </w:r>
      <w:r w:rsidR="005260AD" w:rsidRPr="00126184">
        <w:t>providing</w:t>
      </w:r>
      <w:r w:rsidR="005260AD">
        <w:t xml:space="preserve"> </w:t>
      </w:r>
      <w:r>
        <w:t xml:space="preserve">specific support to </w:t>
      </w:r>
      <w:r w:rsidR="0067546B">
        <w:t>the Convention</w:t>
      </w:r>
      <w:r w:rsidR="005260AD">
        <w:t>,</w:t>
      </w:r>
      <w:r w:rsidR="0067546B">
        <w:t xml:space="preserve"> </w:t>
      </w:r>
      <w:r>
        <w:t>ensur</w:t>
      </w:r>
      <w:r w:rsidR="005260AD">
        <w:t>ing</w:t>
      </w:r>
      <w:r>
        <w:t xml:space="preserve"> the coherence of </w:t>
      </w:r>
      <w:r w:rsidR="0067546B">
        <w:t>its conferences and</w:t>
      </w:r>
      <w:r>
        <w:t xml:space="preserve"> meetings, </w:t>
      </w:r>
      <w:r w:rsidR="00242A25">
        <w:t xml:space="preserve">its </w:t>
      </w:r>
      <w:r>
        <w:t>organi</w:t>
      </w:r>
      <w:r w:rsidR="00242A25">
        <w:t>zation</w:t>
      </w:r>
      <w:r>
        <w:t xml:space="preserve"> of work</w:t>
      </w:r>
      <w:r w:rsidR="0067546B">
        <w:t xml:space="preserve"> </w:t>
      </w:r>
      <w:r>
        <w:t xml:space="preserve">and </w:t>
      </w:r>
      <w:r w:rsidR="0067546B">
        <w:t xml:space="preserve">the </w:t>
      </w:r>
      <w:r>
        <w:t xml:space="preserve">consistency of </w:t>
      </w:r>
      <w:r w:rsidR="00242A25">
        <w:t xml:space="preserve">its </w:t>
      </w:r>
      <w:r w:rsidR="000D2FC2">
        <w:t xml:space="preserve">processes and </w:t>
      </w:r>
      <w:r>
        <w:t xml:space="preserve">procedures. </w:t>
      </w:r>
      <w:r w:rsidR="00157143">
        <w:t>Such</w:t>
      </w:r>
      <w:r>
        <w:t xml:space="preserve"> activities also include </w:t>
      </w:r>
      <w:r w:rsidR="005260AD">
        <w:t xml:space="preserve">providing </w:t>
      </w:r>
      <w:proofErr w:type="spellStart"/>
      <w:r>
        <w:t>intersessional</w:t>
      </w:r>
      <w:proofErr w:type="spellEnd"/>
      <w:r>
        <w:t xml:space="preserve"> support to the Implementation and Compliance Committee that will be established at the first </w:t>
      </w:r>
      <w:r w:rsidR="00F753AF">
        <w:t xml:space="preserve">meeting of the </w:t>
      </w:r>
      <w:r w:rsidR="002B687B">
        <w:t>Conference of the Parties, including support</w:t>
      </w:r>
      <w:r w:rsidR="005260AD">
        <w:t xml:space="preserve"> for </w:t>
      </w:r>
      <w:r w:rsidR="002B687B">
        <w:t>the development of terms of reference.</w:t>
      </w:r>
    </w:p>
    <w:p w14:paraId="59800AA4" w14:textId="23EA7004" w:rsidR="0036498C" w:rsidRPr="00C43031" w:rsidRDefault="0036498C" w:rsidP="000E5516">
      <w:pPr>
        <w:pStyle w:val="Normalnumber"/>
        <w:ind w:left="1247" w:firstLine="0"/>
      </w:pPr>
      <w:r>
        <w:t xml:space="preserve">The legal and policy activities for the </w:t>
      </w:r>
      <w:r w:rsidR="00157143">
        <w:t xml:space="preserve">biennium </w:t>
      </w:r>
      <w:r>
        <w:t>2018</w:t>
      </w:r>
      <w:r w:rsidR="000A7CE7">
        <w:t>–</w:t>
      </w:r>
      <w:r>
        <w:t xml:space="preserve">2019 are expected </w:t>
      </w:r>
      <w:r w:rsidR="00CB6384">
        <w:t xml:space="preserve">be covered </w:t>
      </w:r>
      <w:r w:rsidR="00157143" w:rsidRPr="00C03273">
        <w:t xml:space="preserve">by the budgetary allocation for </w:t>
      </w:r>
      <w:r w:rsidR="00CB6384" w:rsidRPr="00C03273">
        <w:t>staff costs</w:t>
      </w:r>
      <w:r w:rsidR="009D11BF">
        <w:t>.</w:t>
      </w:r>
      <w:r w:rsidR="00157143">
        <w:t xml:space="preserve"> </w:t>
      </w:r>
      <w:r w:rsidR="00A03726" w:rsidRPr="00C43031">
        <w:t>No</w:t>
      </w:r>
      <w:r w:rsidR="00A03726" w:rsidRPr="00241415">
        <w:t xml:space="preserve"> </w:t>
      </w:r>
      <w:r w:rsidR="009D11BF" w:rsidRPr="00241415">
        <w:t xml:space="preserve">requirement for </w:t>
      </w:r>
      <w:proofErr w:type="spellStart"/>
      <w:r w:rsidR="00A03726" w:rsidRPr="0033544C">
        <w:rPr>
          <w:lang w:val="fr-FR"/>
        </w:rPr>
        <w:t>additional</w:t>
      </w:r>
      <w:proofErr w:type="spellEnd"/>
      <w:r w:rsidR="00A03726" w:rsidRPr="0033544C">
        <w:rPr>
          <w:lang w:val="fr-FR"/>
        </w:rPr>
        <w:t xml:space="preserve"> </w:t>
      </w:r>
      <w:r w:rsidR="00CB6384" w:rsidRPr="0033544C">
        <w:rPr>
          <w:lang w:val="fr-FR"/>
        </w:rPr>
        <w:t xml:space="preserve">expertise </w:t>
      </w:r>
      <w:proofErr w:type="spellStart"/>
      <w:r w:rsidR="00106A80" w:rsidRPr="0033544C">
        <w:rPr>
          <w:lang w:val="fr-FR"/>
        </w:rPr>
        <w:t>is</w:t>
      </w:r>
      <w:proofErr w:type="spellEnd"/>
      <w:r w:rsidR="00106A80" w:rsidRPr="0033544C">
        <w:rPr>
          <w:lang w:val="fr-FR"/>
        </w:rPr>
        <w:t xml:space="preserve"> </w:t>
      </w:r>
      <w:proofErr w:type="spellStart"/>
      <w:r w:rsidR="00106A80" w:rsidRPr="0033544C">
        <w:rPr>
          <w:lang w:val="fr-FR"/>
        </w:rPr>
        <w:t>anticipated</w:t>
      </w:r>
      <w:proofErr w:type="spellEnd"/>
      <w:r w:rsidR="00106A80" w:rsidRPr="0033544C">
        <w:rPr>
          <w:b/>
          <w:lang w:val="fr-FR"/>
        </w:rPr>
        <w:t xml:space="preserve">. </w:t>
      </w:r>
      <w:r w:rsidR="00CB6384" w:rsidRPr="0033544C">
        <w:rPr>
          <w:b/>
          <w:lang w:val="fr-FR"/>
        </w:rPr>
        <w:t xml:space="preserve"> </w:t>
      </w:r>
    </w:p>
    <w:p w14:paraId="0C273B42" w14:textId="13152D1B" w:rsidR="0036498C" w:rsidRPr="00F60C9B" w:rsidRDefault="00431A61" w:rsidP="00040F66">
      <w:pPr>
        <w:pStyle w:val="CH3"/>
      </w:pPr>
      <w:r>
        <w:tab/>
      </w:r>
      <w:r w:rsidR="0036498C" w:rsidRPr="00F60C9B">
        <w:t>7.</w:t>
      </w:r>
      <w:r w:rsidR="0036498C" w:rsidRPr="00F60C9B">
        <w:tab/>
        <w:t>Office maintenance and services</w:t>
      </w:r>
      <w:r w:rsidR="000A7CE7" w:rsidRPr="00F60C9B">
        <w:t xml:space="preserve"> </w:t>
      </w:r>
    </w:p>
    <w:p w14:paraId="4C7E60F7" w14:textId="65E0F040" w:rsidR="00446662" w:rsidRPr="00F60C9B" w:rsidRDefault="00446662" w:rsidP="00253274">
      <w:pPr>
        <w:pStyle w:val="Normalnumber"/>
        <w:tabs>
          <w:tab w:val="clear" w:pos="624"/>
          <w:tab w:val="left" w:pos="1701"/>
        </w:tabs>
        <w:ind w:left="1247" w:hanging="1"/>
      </w:pPr>
      <w:r w:rsidRPr="00F60C9B">
        <w:t xml:space="preserve">A well-functioning secretariat requires the provision of office facilities, office furniture and supplies, as well as related office space maintenance, utilities and administration fees. </w:t>
      </w:r>
      <w:r w:rsidR="00E010AD" w:rsidRPr="00F60C9B">
        <w:t>It</w:t>
      </w:r>
      <w:r w:rsidR="00253274" w:rsidRPr="00F60C9B">
        <w:t xml:space="preserve"> also</w:t>
      </w:r>
      <w:r w:rsidRPr="00F60C9B">
        <w:t xml:space="preserve"> requires a suitable information infrastructure, e</w:t>
      </w:r>
      <w:r w:rsidR="005324E7" w:rsidRPr="00F60C9B">
        <w:t xml:space="preserve">quipment and </w:t>
      </w:r>
      <w:proofErr w:type="spellStart"/>
      <w:r w:rsidR="005324E7" w:rsidRPr="00F60C9B">
        <w:t>ongoing</w:t>
      </w:r>
      <w:proofErr w:type="spellEnd"/>
      <w:r w:rsidR="005324E7" w:rsidRPr="00F60C9B">
        <w:t xml:space="preserve"> support in th</w:t>
      </w:r>
      <w:r w:rsidR="00253274" w:rsidRPr="00F60C9B">
        <w:t>at</w:t>
      </w:r>
      <w:r w:rsidR="005324E7" w:rsidRPr="00F60C9B">
        <w:t xml:space="preserve"> regard.</w:t>
      </w:r>
      <w:r w:rsidR="00253274" w:rsidRPr="00F60C9B">
        <w:t xml:space="preserve"> W</w:t>
      </w:r>
      <w:r w:rsidR="005324E7" w:rsidRPr="00F60C9B">
        <w:t xml:space="preserve">hile an overall estimate of operational requirements can be made, there </w:t>
      </w:r>
      <w:r w:rsidR="00F60C9B">
        <w:t>is likely to</w:t>
      </w:r>
      <w:r w:rsidR="00F60C9B" w:rsidRPr="00F60C9B">
        <w:t xml:space="preserve"> </w:t>
      </w:r>
      <w:r w:rsidR="005324E7" w:rsidRPr="00F60C9B">
        <w:t xml:space="preserve">be a difference in </w:t>
      </w:r>
      <w:r w:rsidR="00253274" w:rsidRPr="00F60C9B">
        <w:t xml:space="preserve">such </w:t>
      </w:r>
      <w:r w:rsidR="005324E7" w:rsidRPr="00F60C9B">
        <w:t>costs depending on the duty station</w:t>
      </w:r>
      <w:r w:rsidR="00C63695">
        <w:t xml:space="preserve"> proposed</w:t>
      </w:r>
      <w:r w:rsidR="005324E7" w:rsidRPr="00F60C9B">
        <w:t xml:space="preserve">. </w:t>
      </w:r>
    </w:p>
    <w:p w14:paraId="59C94EC9" w14:textId="08F882F5" w:rsidR="00EC5915" w:rsidRPr="006C1CFF" w:rsidRDefault="009262E4" w:rsidP="00040F66">
      <w:pPr>
        <w:pStyle w:val="CH2"/>
      </w:pPr>
      <w:r>
        <w:tab/>
      </w:r>
      <w:r w:rsidR="0001018F">
        <w:t>C</w:t>
      </w:r>
      <w:r w:rsidR="00EC5915" w:rsidRPr="00EC5915">
        <w:t>.</w:t>
      </w:r>
      <w:r w:rsidR="00EC5915" w:rsidRPr="00EC5915">
        <w:tab/>
      </w:r>
      <w:r w:rsidR="002D3A9E" w:rsidRPr="006C1CFF">
        <w:t xml:space="preserve">Staffing </w:t>
      </w:r>
      <w:r w:rsidR="00EC5915" w:rsidRPr="006C1CFF">
        <w:t>requirements for the</w:t>
      </w:r>
      <w:r w:rsidR="00391F03">
        <w:t xml:space="preserve"> period</w:t>
      </w:r>
      <w:r w:rsidR="00EC5915" w:rsidRPr="006C1CFF">
        <w:t xml:space="preserve"> 2018-2019 </w:t>
      </w:r>
    </w:p>
    <w:p w14:paraId="18D14C5C" w14:textId="42227C8F" w:rsidR="00EC5915" w:rsidRPr="006C1CFF" w:rsidRDefault="009262E4" w:rsidP="00972D3B">
      <w:pPr>
        <w:pStyle w:val="Normalnumber"/>
        <w:tabs>
          <w:tab w:val="clear" w:pos="624"/>
          <w:tab w:val="left" w:pos="1701"/>
        </w:tabs>
        <w:ind w:left="1247" w:hanging="1"/>
      </w:pPr>
      <w:r w:rsidRPr="006C1CFF">
        <w:t xml:space="preserve">As </w:t>
      </w:r>
      <w:r w:rsidR="00253274" w:rsidRPr="006C1CFF">
        <w:t>noted earlier</w:t>
      </w:r>
      <w:r w:rsidRPr="006C1CFF">
        <w:t xml:space="preserve">, the </w:t>
      </w:r>
      <w:r w:rsidRPr="00241415">
        <w:t xml:space="preserve">arrangements for </w:t>
      </w:r>
      <w:r w:rsidR="00C63695" w:rsidRPr="00241415">
        <w:t>the</w:t>
      </w:r>
      <w:r w:rsidR="00C63695" w:rsidRPr="006C1CFF">
        <w:t xml:space="preserve"> way in which </w:t>
      </w:r>
      <w:r w:rsidR="006E1A6B" w:rsidRPr="006C1CFF">
        <w:t xml:space="preserve">the Executive Director </w:t>
      </w:r>
      <w:r w:rsidR="00C5160B" w:rsidRPr="006C1CFF">
        <w:t xml:space="preserve">will </w:t>
      </w:r>
      <w:r w:rsidR="006E1A6B" w:rsidRPr="006C1CFF">
        <w:t xml:space="preserve">perform the functions of </w:t>
      </w:r>
      <w:r w:rsidRPr="006C1CFF">
        <w:t xml:space="preserve">the </w:t>
      </w:r>
      <w:r w:rsidR="00C5160B" w:rsidRPr="006C1CFF">
        <w:t>s</w:t>
      </w:r>
      <w:r w:rsidRPr="006C1CFF">
        <w:t xml:space="preserve">ecretariat are to be decided at the first meeting of the Conference of the Parties. </w:t>
      </w:r>
      <w:r w:rsidR="00C5160B" w:rsidRPr="006C1CFF">
        <w:t>T</w:t>
      </w:r>
      <w:r w:rsidRPr="006C1CFF">
        <w:t xml:space="preserve">he location of the </w:t>
      </w:r>
      <w:r w:rsidR="00C5160B" w:rsidRPr="006C1CFF">
        <w:t>s</w:t>
      </w:r>
      <w:r w:rsidRPr="006C1CFF">
        <w:t xml:space="preserve">ecretariat is also to be decided </w:t>
      </w:r>
      <w:r w:rsidR="00C5160B" w:rsidRPr="006C1CFF">
        <w:t>at that</w:t>
      </w:r>
      <w:r w:rsidRPr="006C1CFF">
        <w:t xml:space="preserve"> </w:t>
      </w:r>
      <w:r w:rsidR="00DB3E2D" w:rsidRPr="006C1CFF">
        <w:t>meeting</w:t>
      </w:r>
      <w:r w:rsidRPr="006C1CFF">
        <w:t xml:space="preserve">. </w:t>
      </w:r>
    </w:p>
    <w:p w14:paraId="5D0854DA" w14:textId="0CC00991" w:rsidR="00EC5915" w:rsidRDefault="009262E4" w:rsidP="008D2E58">
      <w:pPr>
        <w:pStyle w:val="Normalnumber"/>
        <w:tabs>
          <w:tab w:val="clear" w:pos="624"/>
          <w:tab w:val="left" w:pos="1701"/>
        </w:tabs>
        <w:ind w:left="1247" w:hanging="1"/>
      </w:pPr>
      <w:r>
        <w:t xml:space="preserve">As </w:t>
      </w:r>
      <w:r w:rsidR="008D2E58">
        <w:t>indicated in document</w:t>
      </w:r>
      <w:r>
        <w:t xml:space="preserve"> </w:t>
      </w:r>
      <w:r w:rsidR="00DB3E2D">
        <w:t>UNEP/MC/COP.1/14</w:t>
      </w:r>
      <w:r w:rsidR="008D2E58">
        <w:t>,</w:t>
      </w:r>
      <w:r w:rsidR="00DB3E2D">
        <w:t xml:space="preserve"> </w:t>
      </w:r>
      <w:r>
        <w:t xml:space="preserve">the staffing complement </w:t>
      </w:r>
      <w:r w:rsidR="008D2E58">
        <w:t xml:space="preserve">will differ </w:t>
      </w:r>
      <w:r w:rsidR="00144B2F">
        <w:t xml:space="preserve">depending on </w:t>
      </w:r>
      <w:r w:rsidR="008D2E58">
        <w:t>the</w:t>
      </w:r>
      <w:r w:rsidRPr="006E1A6B">
        <w:t xml:space="preserve"> secretariat arrangement option </w:t>
      </w:r>
      <w:r w:rsidR="008D2E58">
        <w:t>chosen</w:t>
      </w:r>
      <w:r w:rsidR="008E3B0C" w:rsidRPr="006E1A6B">
        <w:t xml:space="preserve">, </w:t>
      </w:r>
      <w:r w:rsidR="008D2E58">
        <w:t xml:space="preserve">and </w:t>
      </w:r>
      <w:r w:rsidR="00A05457">
        <w:t xml:space="preserve">if a standalone secretariat arrangement is selected </w:t>
      </w:r>
      <w:r w:rsidR="008E3B0C" w:rsidRPr="006E1A6B">
        <w:t>t</w:t>
      </w:r>
      <w:r w:rsidRPr="006E1A6B">
        <w:t xml:space="preserve">he </w:t>
      </w:r>
      <w:r w:rsidR="008E3B0C" w:rsidRPr="006E1A6B">
        <w:t xml:space="preserve">resources </w:t>
      </w:r>
      <w:r w:rsidR="00144B2F">
        <w:t xml:space="preserve">required </w:t>
      </w:r>
      <w:r w:rsidR="006E1A6B" w:rsidRPr="006E1A6B">
        <w:t xml:space="preserve">for staff </w:t>
      </w:r>
      <w:r w:rsidR="008D2E58">
        <w:t xml:space="preserve">will </w:t>
      </w:r>
      <w:r w:rsidR="006E1A6B" w:rsidRPr="006E1A6B">
        <w:t>a</w:t>
      </w:r>
      <w:r w:rsidR="006E1A6B">
        <w:t>l</w:t>
      </w:r>
      <w:r w:rsidRPr="006E1A6B">
        <w:t>so differ</w:t>
      </w:r>
      <w:r w:rsidR="008D2E58">
        <w:t>, depending on the</w:t>
      </w:r>
      <w:r w:rsidRPr="006E1A6B">
        <w:t xml:space="preserve"> duty station</w:t>
      </w:r>
      <w:r w:rsidR="008D2E58">
        <w:t xml:space="preserve"> selected</w:t>
      </w:r>
      <w:r w:rsidR="0028454A" w:rsidRPr="006E1A6B">
        <w:t xml:space="preserve"> (see </w:t>
      </w:r>
      <w:r w:rsidR="00E02022" w:rsidRPr="00C43031">
        <w:t>UNEP/MC/COP.1/21/Add.2</w:t>
      </w:r>
      <w:r w:rsidR="00306438" w:rsidRPr="006E1A6B">
        <w:t>)</w:t>
      </w:r>
      <w:r w:rsidR="008D2E58">
        <w:t>.</w:t>
      </w:r>
      <w:r w:rsidRPr="006E1A6B">
        <w:t xml:space="preserve"> The </w:t>
      </w:r>
      <w:r w:rsidR="008D2E58">
        <w:t>various</w:t>
      </w:r>
      <w:r w:rsidRPr="006E1A6B">
        <w:t xml:space="preserve"> scenarios </w:t>
      </w:r>
      <w:r>
        <w:t>are summari</w:t>
      </w:r>
      <w:r w:rsidR="008D2E58">
        <w:t>z</w:t>
      </w:r>
      <w:r>
        <w:t xml:space="preserve">ed below. </w:t>
      </w:r>
    </w:p>
    <w:p w14:paraId="1ECC00D5" w14:textId="1906E9CF" w:rsidR="003D246F" w:rsidRPr="003D246F" w:rsidRDefault="00E010AD" w:rsidP="00F1703D">
      <w:pPr>
        <w:pStyle w:val="CH3"/>
      </w:pPr>
      <w:r>
        <w:tab/>
      </w:r>
      <w:r w:rsidR="00040F66">
        <w:tab/>
      </w:r>
      <w:r w:rsidR="003D246F" w:rsidRPr="003D246F">
        <w:t>Option 1(a)</w:t>
      </w:r>
      <w:r w:rsidR="00F1703D">
        <w:t xml:space="preserve"> </w:t>
      </w:r>
      <w:r w:rsidR="00787E85">
        <w:t>(merger)</w:t>
      </w:r>
      <w:r w:rsidR="00F1703D">
        <w:t>:</w:t>
      </w:r>
      <w:r w:rsidR="003D246F" w:rsidRPr="003D246F">
        <w:t xml:space="preserve"> Merging the secretariat </w:t>
      </w:r>
      <w:r w:rsidR="00F1703D">
        <w:t xml:space="preserve">functions </w:t>
      </w:r>
      <w:r w:rsidR="003D246F" w:rsidRPr="003D246F">
        <w:t xml:space="preserve">of the </w:t>
      </w:r>
      <w:proofErr w:type="spellStart"/>
      <w:r w:rsidR="003D246F" w:rsidRPr="003D246F">
        <w:t>Minamata</w:t>
      </w:r>
      <w:proofErr w:type="spellEnd"/>
      <w:r w:rsidR="003D246F" w:rsidRPr="003D246F">
        <w:t xml:space="preserve"> Convention </w:t>
      </w:r>
      <w:r w:rsidR="00F1703D">
        <w:t>into</w:t>
      </w:r>
      <w:r w:rsidR="00F1703D" w:rsidRPr="003D246F">
        <w:t xml:space="preserve"> </w:t>
      </w:r>
      <w:r w:rsidR="003D246F" w:rsidRPr="003D246F">
        <w:t xml:space="preserve">the secretariat of the Basel, Rotterdam and Stockholm </w:t>
      </w:r>
      <w:r>
        <w:t>c</w:t>
      </w:r>
      <w:r w:rsidR="003D246F" w:rsidRPr="003D246F">
        <w:t>onventions</w:t>
      </w:r>
      <w:r w:rsidR="007F5C9D">
        <w:t>,</w:t>
      </w:r>
      <w:r w:rsidR="003D246F" w:rsidRPr="003D246F">
        <w:t xml:space="preserve"> utilizing its current structure</w:t>
      </w:r>
      <w:r w:rsidR="00F1703D">
        <w:t xml:space="preserve"> (</w:t>
      </w:r>
      <w:r w:rsidR="00787E85">
        <w:t>l</w:t>
      </w:r>
      <w:r w:rsidR="00F1703D">
        <w:t xml:space="preserve">ocation: </w:t>
      </w:r>
      <w:r w:rsidR="003D246F" w:rsidRPr="003D246F">
        <w:t>Geneva</w:t>
      </w:r>
      <w:r w:rsidR="00F1703D">
        <w:t>)</w:t>
      </w:r>
      <w:r w:rsidR="000A7CE7">
        <w:t xml:space="preserve"> </w:t>
      </w:r>
    </w:p>
    <w:p w14:paraId="2E58163A" w14:textId="2638175A" w:rsidR="003D246F" w:rsidRPr="003D246F" w:rsidRDefault="003D246F" w:rsidP="00F1703D">
      <w:pPr>
        <w:pStyle w:val="Normalnumber"/>
        <w:tabs>
          <w:tab w:val="clear" w:pos="624"/>
          <w:tab w:val="left" w:pos="1701"/>
        </w:tabs>
        <w:ind w:left="1247" w:hanging="1"/>
      </w:pPr>
      <w:r w:rsidRPr="003D246F">
        <w:t xml:space="preserve">Under </w:t>
      </w:r>
      <w:r w:rsidRPr="003D246F">
        <w:rPr>
          <w:rFonts w:eastAsia="MS Mincho"/>
        </w:rPr>
        <w:t>option</w:t>
      </w:r>
      <w:r w:rsidR="007F5C9D">
        <w:rPr>
          <w:rFonts w:eastAsia="MS Mincho"/>
        </w:rPr>
        <w:t xml:space="preserve"> 1(a)</w:t>
      </w:r>
      <w:r w:rsidRPr="003D246F">
        <w:rPr>
          <w:rFonts w:eastAsia="MS Mincho"/>
        </w:rPr>
        <w:t xml:space="preserve">, the functions of the </w:t>
      </w:r>
      <w:r w:rsidR="007F5C9D">
        <w:rPr>
          <w:rFonts w:eastAsia="MS Mincho"/>
        </w:rPr>
        <w:t>s</w:t>
      </w:r>
      <w:r w:rsidRPr="003D246F">
        <w:rPr>
          <w:rFonts w:eastAsia="MS Mincho"/>
        </w:rPr>
        <w:t xml:space="preserve">ecretariat of the </w:t>
      </w:r>
      <w:proofErr w:type="spellStart"/>
      <w:r w:rsidRPr="003D246F">
        <w:rPr>
          <w:rFonts w:eastAsia="MS Mincho"/>
        </w:rPr>
        <w:t>Minamata</w:t>
      </w:r>
      <w:proofErr w:type="spellEnd"/>
      <w:r w:rsidRPr="003D246F">
        <w:rPr>
          <w:rFonts w:eastAsia="MS Mincho"/>
        </w:rPr>
        <w:t xml:space="preserve"> Convention would be incorporated into the merged </w:t>
      </w:r>
      <w:r w:rsidR="007F5C9D">
        <w:rPr>
          <w:rFonts w:eastAsia="MS Mincho"/>
        </w:rPr>
        <w:t xml:space="preserve">secretariat of the </w:t>
      </w:r>
      <w:r w:rsidR="006E1A6B">
        <w:rPr>
          <w:rFonts w:eastAsia="MS Mincho"/>
        </w:rPr>
        <w:t>Basel, Rotterdam and Stockholm conventions</w:t>
      </w:r>
      <w:r w:rsidR="007F5C9D">
        <w:rPr>
          <w:rFonts w:eastAsia="MS Mincho"/>
        </w:rPr>
        <w:t>,</w:t>
      </w:r>
      <w:r w:rsidRPr="003D246F">
        <w:rPr>
          <w:rFonts w:eastAsia="MS Mincho"/>
        </w:rPr>
        <w:t xml:space="preserve"> and the sharing of time and related costs of all posts in the merged secretariat would be determined and approved by the conferences of the parties to the four conventions. </w:t>
      </w:r>
      <w:r w:rsidR="006E1A6B">
        <w:rPr>
          <w:rFonts w:eastAsia="MS Mincho"/>
        </w:rPr>
        <w:t>The next meeting</w:t>
      </w:r>
      <w:r w:rsidR="006C21B1">
        <w:rPr>
          <w:rFonts w:eastAsia="MS Mincho"/>
        </w:rPr>
        <w:t>s</w:t>
      </w:r>
      <w:r w:rsidR="006E1A6B">
        <w:rPr>
          <w:rFonts w:eastAsia="MS Mincho"/>
        </w:rPr>
        <w:t xml:space="preserve"> of the</w:t>
      </w:r>
      <w:r w:rsidR="006C21B1">
        <w:rPr>
          <w:rFonts w:eastAsia="MS Mincho"/>
        </w:rPr>
        <w:t xml:space="preserve"> conferences of the parties to the</w:t>
      </w:r>
      <w:r w:rsidR="006E1A6B">
        <w:rPr>
          <w:rFonts w:eastAsia="MS Mincho"/>
        </w:rPr>
        <w:t xml:space="preserve"> Basel, Rotterdam and Stockholm </w:t>
      </w:r>
      <w:r w:rsidR="00C0015A">
        <w:rPr>
          <w:rFonts w:eastAsia="MS Mincho"/>
        </w:rPr>
        <w:t>c</w:t>
      </w:r>
      <w:r w:rsidR="006E1A6B">
        <w:rPr>
          <w:rFonts w:eastAsia="MS Mincho"/>
        </w:rPr>
        <w:t xml:space="preserve">onventions </w:t>
      </w:r>
      <w:r w:rsidR="006C21B1">
        <w:rPr>
          <w:rFonts w:eastAsia="MS Mincho"/>
        </w:rPr>
        <w:t>will be held</w:t>
      </w:r>
      <w:r w:rsidR="006E1A6B">
        <w:rPr>
          <w:rFonts w:eastAsia="MS Mincho"/>
        </w:rPr>
        <w:t xml:space="preserve"> in 2019. </w:t>
      </w:r>
      <w:r w:rsidR="00892DFA">
        <w:rPr>
          <w:rFonts w:eastAsia="MS Mincho"/>
        </w:rPr>
        <w:t>Under this option, it is</w:t>
      </w:r>
      <w:r w:rsidRPr="003D246F">
        <w:rPr>
          <w:rFonts w:eastAsia="MS Mincho"/>
        </w:rPr>
        <w:t xml:space="preserve"> envisaged that the </w:t>
      </w:r>
      <w:proofErr w:type="spellStart"/>
      <w:r w:rsidRPr="003D246F">
        <w:rPr>
          <w:rFonts w:eastAsia="MS Mincho"/>
        </w:rPr>
        <w:t>Minamata</w:t>
      </w:r>
      <w:proofErr w:type="spellEnd"/>
      <w:r w:rsidRPr="003D246F">
        <w:rPr>
          <w:rFonts w:eastAsia="MS Mincho"/>
        </w:rPr>
        <w:t xml:space="preserve"> Convention </w:t>
      </w:r>
      <w:r w:rsidR="007F5C9D">
        <w:rPr>
          <w:rFonts w:eastAsia="MS Mincho"/>
        </w:rPr>
        <w:t xml:space="preserve">would </w:t>
      </w:r>
      <w:r w:rsidRPr="003D246F">
        <w:rPr>
          <w:rFonts w:eastAsia="MS Mincho"/>
        </w:rPr>
        <w:t>pay for 20 per cent of the post</w:t>
      </w:r>
      <w:r w:rsidR="00030C1A">
        <w:rPr>
          <w:rFonts w:eastAsia="MS Mincho"/>
        </w:rPr>
        <w:t>s</w:t>
      </w:r>
      <w:r w:rsidRPr="003D246F">
        <w:rPr>
          <w:rFonts w:eastAsia="MS Mincho"/>
        </w:rPr>
        <w:t xml:space="preserve"> of Executive Secretary</w:t>
      </w:r>
      <w:r w:rsidR="00144B2F">
        <w:rPr>
          <w:rFonts w:eastAsia="MS Mincho"/>
        </w:rPr>
        <w:t xml:space="preserve"> and </w:t>
      </w:r>
      <w:r w:rsidRPr="003D246F">
        <w:rPr>
          <w:rFonts w:eastAsia="MS Mincho"/>
        </w:rPr>
        <w:t xml:space="preserve">Deputy </w:t>
      </w:r>
      <w:r w:rsidRPr="00972D3B">
        <w:t>Executive</w:t>
      </w:r>
      <w:r w:rsidRPr="003D246F">
        <w:rPr>
          <w:rFonts w:eastAsia="MS Mincho"/>
        </w:rPr>
        <w:t xml:space="preserve"> Secretary, as well as 20 per cent of the remaining posts currently budgeted in the general trust funds of the three conventions. The percentage for the </w:t>
      </w:r>
      <w:proofErr w:type="spellStart"/>
      <w:r w:rsidRPr="003D246F">
        <w:rPr>
          <w:rFonts w:eastAsia="MS Mincho"/>
        </w:rPr>
        <w:t>Minamata</w:t>
      </w:r>
      <w:proofErr w:type="spellEnd"/>
      <w:r w:rsidRPr="003D246F">
        <w:rPr>
          <w:rFonts w:eastAsia="MS Mincho"/>
        </w:rPr>
        <w:t xml:space="preserve"> Convention has been determined </w:t>
      </w:r>
      <w:r w:rsidR="00144B2F">
        <w:rPr>
          <w:rFonts w:eastAsia="MS Mincho"/>
        </w:rPr>
        <w:t>at</w:t>
      </w:r>
      <w:r w:rsidR="00030C1A" w:rsidRPr="003D246F">
        <w:rPr>
          <w:rFonts w:eastAsia="MS Mincho"/>
        </w:rPr>
        <w:t xml:space="preserve"> </w:t>
      </w:r>
      <w:r w:rsidRPr="003D246F">
        <w:rPr>
          <w:rFonts w:eastAsia="MS Mincho"/>
        </w:rPr>
        <w:t xml:space="preserve">20 per cent, </w:t>
      </w:r>
      <w:r w:rsidR="006C1CFF" w:rsidRPr="003D246F">
        <w:rPr>
          <w:rFonts w:eastAsia="MS Mincho"/>
        </w:rPr>
        <w:t>considering</w:t>
      </w:r>
      <w:r w:rsidRPr="003D246F">
        <w:rPr>
          <w:rFonts w:eastAsia="MS Mincho"/>
        </w:rPr>
        <w:t xml:space="preserve"> the expected level of activity of the respective conventions. </w:t>
      </w:r>
      <w:r w:rsidR="008C34E6">
        <w:rPr>
          <w:rFonts w:eastAsia="MS Mincho"/>
        </w:rPr>
        <w:t xml:space="preserve">The remaining 80 per cent staff time will be allocated for the implementation of the Basel, Rotterdam and Stockholm </w:t>
      </w:r>
      <w:r w:rsidR="00E931AE">
        <w:rPr>
          <w:rFonts w:eastAsia="MS Mincho"/>
        </w:rPr>
        <w:t>c</w:t>
      </w:r>
      <w:r w:rsidR="008C34E6">
        <w:rPr>
          <w:rFonts w:eastAsia="MS Mincho"/>
        </w:rPr>
        <w:t>onvention</w:t>
      </w:r>
      <w:r w:rsidR="00E931AE">
        <w:rPr>
          <w:rFonts w:eastAsia="MS Mincho"/>
        </w:rPr>
        <w:t>s</w:t>
      </w:r>
      <w:r w:rsidR="008C34E6">
        <w:rPr>
          <w:rFonts w:eastAsia="MS Mincho"/>
        </w:rPr>
        <w:t>.</w:t>
      </w:r>
    </w:p>
    <w:p w14:paraId="63276EAC" w14:textId="68FE710F" w:rsidR="0028454A" w:rsidRPr="00241415" w:rsidRDefault="001170F8" w:rsidP="00F1703D">
      <w:pPr>
        <w:pStyle w:val="Normalnumber"/>
        <w:tabs>
          <w:tab w:val="clear" w:pos="624"/>
          <w:tab w:val="left" w:pos="1701"/>
        </w:tabs>
        <w:ind w:left="1247" w:hanging="1"/>
      </w:pPr>
      <w:r w:rsidRPr="006F17FD">
        <w:t xml:space="preserve">In </w:t>
      </w:r>
      <w:r w:rsidR="00030C1A">
        <w:rPr>
          <w:rFonts w:eastAsia="MS Mincho"/>
        </w:rPr>
        <w:t xml:space="preserve">addition </w:t>
      </w:r>
      <w:r w:rsidR="006F17FD" w:rsidRPr="006F17FD">
        <w:rPr>
          <w:rFonts w:eastAsia="MS Mincho"/>
        </w:rPr>
        <w:t xml:space="preserve">to the </w:t>
      </w:r>
      <w:r w:rsidR="006E1A6B">
        <w:rPr>
          <w:rFonts w:eastAsia="MS Mincho"/>
        </w:rPr>
        <w:t xml:space="preserve">existing staff complement in the </w:t>
      </w:r>
      <w:r w:rsidR="00030C1A">
        <w:rPr>
          <w:rFonts w:eastAsia="MS Mincho"/>
        </w:rPr>
        <w:t>s</w:t>
      </w:r>
      <w:r w:rsidRPr="006F17FD">
        <w:rPr>
          <w:rFonts w:eastAsia="MS Mincho"/>
        </w:rPr>
        <w:t xml:space="preserve">ecretariat of the Basel, Rotterdam and </w:t>
      </w:r>
      <w:r w:rsidRPr="00972D3B">
        <w:t>Stockholm</w:t>
      </w:r>
      <w:r w:rsidRPr="006F17FD">
        <w:rPr>
          <w:rFonts w:eastAsia="MS Mincho"/>
        </w:rPr>
        <w:t xml:space="preserve"> conventions, the following new positions are expected to be required for programmatic support to the </w:t>
      </w:r>
      <w:proofErr w:type="spellStart"/>
      <w:r w:rsidRPr="006F17FD">
        <w:rPr>
          <w:rFonts w:eastAsia="MS Mincho"/>
        </w:rPr>
        <w:t>Minamata</w:t>
      </w:r>
      <w:proofErr w:type="spellEnd"/>
      <w:r w:rsidRPr="006F17FD">
        <w:rPr>
          <w:rFonts w:eastAsia="MS Mincho"/>
        </w:rPr>
        <w:t xml:space="preserve"> </w:t>
      </w:r>
      <w:r w:rsidRPr="006C21B1">
        <w:rPr>
          <w:rFonts w:eastAsia="MS Mincho"/>
        </w:rPr>
        <w:t xml:space="preserve">Convention: </w:t>
      </w:r>
      <w:r w:rsidR="00F1703D">
        <w:rPr>
          <w:rFonts w:eastAsia="MS Mincho"/>
        </w:rPr>
        <w:t>two</w:t>
      </w:r>
      <w:r w:rsidR="00F1703D" w:rsidRPr="006C21B1">
        <w:rPr>
          <w:rFonts w:eastAsia="MS Mincho"/>
        </w:rPr>
        <w:t xml:space="preserve"> </w:t>
      </w:r>
      <w:r w:rsidRPr="006C21B1">
        <w:rPr>
          <w:rFonts w:eastAsia="MS Mincho"/>
        </w:rPr>
        <w:t>P-4</w:t>
      </w:r>
      <w:r w:rsidR="00F1703D">
        <w:rPr>
          <w:rFonts w:eastAsia="MS Mincho"/>
        </w:rPr>
        <w:t xml:space="preserve"> posts</w:t>
      </w:r>
      <w:r w:rsidRPr="006C21B1">
        <w:rPr>
          <w:rFonts w:eastAsia="MS Mincho"/>
        </w:rPr>
        <w:t xml:space="preserve"> (</w:t>
      </w:r>
      <w:r w:rsidR="00F1703D">
        <w:rPr>
          <w:rFonts w:eastAsia="MS Mincho"/>
        </w:rPr>
        <w:t xml:space="preserve">one for </w:t>
      </w:r>
      <w:r w:rsidRPr="006C21B1">
        <w:rPr>
          <w:rFonts w:eastAsia="MS Mincho"/>
        </w:rPr>
        <w:t>scientific</w:t>
      </w:r>
      <w:r w:rsidR="00F1703D">
        <w:rPr>
          <w:rFonts w:eastAsia="MS Mincho"/>
        </w:rPr>
        <w:t xml:space="preserve"> support and one for capacity-development and technical support</w:t>
      </w:r>
      <w:r w:rsidRPr="006C21B1">
        <w:rPr>
          <w:rFonts w:eastAsia="MS Mincho"/>
        </w:rPr>
        <w:t xml:space="preserve">), </w:t>
      </w:r>
      <w:r w:rsidR="00F1703D">
        <w:rPr>
          <w:rFonts w:eastAsia="MS Mincho"/>
        </w:rPr>
        <w:t>three</w:t>
      </w:r>
      <w:r w:rsidR="00F1703D" w:rsidRPr="006C21B1">
        <w:rPr>
          <w:rFonts w:eastAsia="MS Mincho"/>
        </w:rPr>
        <w:t xml:space="preserve"> </w:t>
      </w:r>
      <w:r w:rsidRPr="006C21B1">
        <w:rPr>
          <w:rFonts w:eastAsia="MS Mincho"/>
        </w:rPr>
        <w:t>P-3</w:t>
      </w:r>
      <w:r w:rsidR="00F1703D">
        <w:rPr>
          <w:rFonts w:eastAsia="MS Mincho"/>
        </w:rPr>
        <w:t xml:space="preserve"> posts</w:t>
      </w:r>
      <w:r w:rsidRPr="006C21B1">
        <w:rPr>
          <w:rFonts w:eastAsia="MS Mincho"/>
        </w:rPr>
        <w:t xml:space="preserve"> (</w:t>
      </w:r>
      <w:r w:rsidR="00030C1A" w:rsidRPr="006C21B1">
        <w:rPr>
          <w:rFonts w:eastAsia="MS Mincho"/>
        </w:rPr>
        <w:t xml:space="preserve">one for </w:t>
      </w:r>
      <w:r w:rsidR="00F1703D">
        <w:rPr>
          <w:rFonts w:eastAsia="MS Mincho"/>
        </w:rPr>
        <w:t xml:space="preserve">capacity-building and </w:t>
      </w:r>
      <w:r w:rsidRPr="006C21B1">
        <w:rPr>
          <w:rFonts w:eastAsia="MS Mincho"/>
        </w:rPr>
        <w:t>technical assistance</w:t>
      </w:r>
      <w:r w:rsidR="00F1703D">
        <w:rPr>
          <w:rFonts w:eastAsia="MS Mincho"/>
        </w:rPr>
        <w:t xml:space="preserve">, one for scientific support </w:t>
      </w:r>
      <w:r w:rsidR="00E02D1B" w:rsidRPr="006C21B1">
        <w:rPr>
          <w:rFonts w:eastAsia="MS Mincho"/>
        </w:rPr>
        <w:t xml:space="preserve">and one for </w:t>
      </w:r>
      <w:r w:rsidR="00F1703D">
        <w:rPr>
          <w:rFonts w:eastAsia="MS Mincho"/>
        </w:rPr>
        <w:t>conference</w:t>
      </w:r>
      <w:r w:rsidR="00F1703D" w:rsidRPr="006C21B1">
        <w:rPr>
          <w:rFonts w:eastAsia="MS Mincho"/>
        </w:rPr>
        <w:t xml:space="preserve"> </w:t>
      </w:r>
      <w:r w:rsidR="00E02D1B" w:rsidRPr="006C21B1">
        <w:rPr>
          <w:rFonts w:eastAsia="MS Mincho"/>
        </w:rPr>
        <w:t>coordination</w:t>
      </w:r>
      <w:r w:rsidRPr="006C21B1">
        <w:rPr>
          <w:rFonts w:eastAsia="MS Mincho"/>
        </w:rPr>
        <w:t>)</w:t>
      </w:r>
      <w:r w:rsidRPr="006F17FD">
        <w:rPr>
          <w:rFonts w:eastAsia="MS Mincho"/>
        </w:rPr>
        <w:t xml:space="preserve"> and </w:t>
      </w:r>
      <w:r w:rsidR="00886920">
        <w:rPr>
          <w:rFonts w:eastAsia="MS Mincho"/>
        </w:rPr>
        <w:t>four</w:t>
      </w:r>
      <w:r w:rsidRPr="006F17FD">
        <w:rPr>
          <w:rFonts w:eastAsia="MS Mincho"/>
        </w:rPr>
        <w:t xml:space="preserve"> General Service posts. These p</w:t>
      </w:r>
      <w:r w:rsidR="006E0667">
        <w:rPr>
          <w:rFonts w:eastAsia="MS Mincho"/>
        </w:rPr>
        <w:t xml:space="preserve">osts </w:t>
      </w:r>
      <w:r w:rsidR="00F1703D">
        <w:rPr>
          <w:rFonts w:eastAsia="MS Mincho"/>
        </w:rPr>
        <w:t>w</w:t>
      </w:r>
      <w:r w:rsidR="00787E85">
        <w:rPr>
          <w:rFonts w:eastAsia="MS Mincho"/>
        </w:rPr>
        <w:t>ould</w:t>
      </w:r>
      <w:r w:rsidR="00F1703D">
        <w:rPr>
          <w:rFonts w:eastAsia="MS Mincho"/>
        </w:rPr>
        <w:t xml:space="preserve"> service all</w:t>
      </w:r>
      <w:r w:rsidRPr="006F17FD">
        <w:rPr>
          <w:rFonts w:eastAsia="MS Mincho"/>
        </w:rPr>
        <w:t xml:space="preserve"> four conventions </w:t>
      </w:r>
      <w:r w:rsidR="00F1703D">
        <w:rPr>
          <w:rFonts w:eastAsia="MS Mincho"/>
        </w:rPr>
        <w:t>and</w:t>
      </w:r>
      <w:r w:rsidR="006E1A6B">
        <w:rPr>
          <w:rFonts w:eastAsia="MS Mincho"/>
        </w:rPr>
        <w:t xml:space="preserve"> </w:t>
      </w:r>
      <w:r w:rsidRPr="006F17FD">
        <w:rPr>
          <w:rFonts w:eastAsia="MS Mincho"/>
        </w:rPr>
        <w:t xml:space="preserve">would </w:t>
      </w:r>
      <w:r w:rsidR="006E1A6B">
        <w:rPr>
          <w:rFonts w:eastAsia="MS Mincho"/>
        </w:rPr>
        <w:t xml:space="preserve">be </w:t>
      </w:r>
      <w:r w:rsidRPr="006F17FD">
        <w:rPr>
          <w:rFonts w:eastAsia="MS Mincho"/>
        </w:rPr>
        <w:t xml:space="preserve">covered by </w:t>
      </w:r>
      <w:r w:rsidR="006E0667">
        <w:rPr>
          <w:rFonts w:eastAsia="MS Mincho"/>
        </w:rPr>
        <w:t>a</w:t>
      </w:r>
      <w:r w:rsidRPr="006F17FD">
        <w:rPr>
          <w:rFonts w:eastAsia="MS Mincho"/>
        </w:rPr>
        <w:t xml:space="preserve"> cost-sharing arrangement </w:t>
      </w:r>
      <w:r w:rsidR="00F1703D">
        <w:rPr>
          <w:rFonts w:eastAsia="MS Mincho"/>
        </w:rPr>
        <w:t>among</w:t>
      </w:r>
      <w:r w:rsidR="00F1703D" w:rsidRPr="006F17FD">
        <w:rPr>
          <w:rFonts w:eastAsia="MS Mincho"/>
        </w:rPr>
        <w:t xml:space="preserve"> </w:t>
      </w:r>
      <w:r w:rsidRPr="006F17FD">
        <w:rPr>
          <w:rFonts w:eastAsia="MS Mincho"/>
        </w:rPr>
        <w:t xml:space="preserve">the four conventions, </w:t>
      </w:r>
      <w:r w:rsidR="006C1CFF">
        <w:rPr>
          <w:rFonts w:eastAsia="MS Mincho"/>
        </w:rPr>
        <w:t>that is</w:t>
      </w:r>
      <w:r w:rsidR="00E02D1B">
        <w:rPr>
          <w:rFonts w:eastAsia="MS Mincho"/>
        </w:rPr>
        <w:t>,</w:t>
      </w:r>
      <w:r w:rsidRPr="006F17FD">
        <w:rPr>
          <w:rFonts w:eastAsia="MS Mincho"/>
        </w:rPr>
        <w:t xml:space="preserve"> the </w:t>
      </w:r>
      <w:proofErr w:type="spellStart"/>
      <w:r w:rsidRPr="006F17FD">
        <w:rPr>
          <w:rFonts w:eastAsia="MS Mincho"/>
        </w:rPr>
        <w:t>Minamata</w:t>
      </w:r>
      <w:proofErr w:type="spellEnd"/>
      <w:r w:rsidRPr="006F17FD">
        <w:rPr>
          <w:rFonts w:eastAsia="MS Mincho"/>
        </w:rPr>
        <w:t xml:space="preserve"> Convention would be expected to cover </w:t>
      </w:r>
      <w:r w:rsidR="00E02D1B" w:rsidRPr="00ED3B8A">
        <w:rPr>
          <w:rFonts w:eastAsia="MS Mincho"/>
        </w:rPr>
        <w:t>20 per cent</w:t>
      </w:r>
      <w:r w:rsidRPr="006F17FD">
        <w:rPr>
          <w:rFonts w:eastAsia="MS Mincho"/>
        </w:rPr>
        <w:t xml:space="preserve"> of </w:t>
      </w:r>
      <w:r w:rsidR="006C1CFF">
        <w:rPr>
          <w:rFonts w:eastAsia="MS Mincho"/>
        </w:rPr>
        <w:t xml:space="preserve">the cost of </w:t>
      </w:r>
      <w:r w:rsidRPr="006F17FD">
        <w:rPr>
          <w:rFonts w:eastAsia="MS Mincho"/>
        </w:rPr>
        <w:t>the posts</w:t>
      </w:r>
      <w:r w:rsidR="008C34E6">
        <w:rPr>
          <w:rFonts w:eastAsia="MS Mincho"/>
        </w:rPr>
        <w:t xml:space="preserve"> currently budgeted in the general trust fund</w:t>
      </w:r>
      <w:r w:rsidR="00F1703D">
        <w:rPr>
          <w:rFonts w:eastAsia="MS Mincho"/>
        </w:rPr>
        <w:t>s</w:t>
      </w:r>
      <w:r w:rsidR="008C34E6">
        <w:rPr>
          <w:rFonts w:eastAsia="MS Mincho"/>
        </w:rPr>
        <w:t xml:space="preserve"> of the Basel, Rotterdam and Stockholm conventions, as well as the new posts established</w:t>
      </w:r>
      <w:r w:rsidRPr="006F17FD">
        <w:rPr>
          <w:rFonts w:eastAsia="MS Mincho"/>
        </w:rPr>
        <w:t>.</w:t>
      </w:r>
    </w:p>
    <w:p w14:paraId="11E565A1" w14:textId="7C897A4F" w:rsidR="00F1703D" w:rsidRPr="008626B7" w:rsidRDefault="00F1703D" w:rsidP="00F1703D">
      <w:pPr>
        <w:pStyle w:val="Normalnumber"/>
        <w:tabs>
          <w:tab w:val="clear" w:pos="624"/>
          <w:tab w:val="left" w:pos="1701"/>
        </w:tabs>
        <w:ind w:left="1247" w:hanging="1"/>
      </w:pPr>
      <w:r>
        <w:rPr>
          <w:rFonts w:eastAsia="MS Mincho"/>
        </w:rPr>
        <w:t xml:space="preserve">Furthermore, the cost savings for the Basel, Rotterdam and Stockholm convention parties generated by this option could be partially reinvested to </w:t>
      </w:r>
      <w:r w:rsidRPr="00CD399C">
        <w:rPr>
          <w:rFonts w:eastAsia="MS Mincho"/>
        </w:rPr>
        <w:t xml:space="preserve">strengthen the </w:t>
      </w:r>
      <w:r w:rsidR="00CD399C" w:rsidRPr="00CD399C">
        <w:rPr>
          <w:rFonts w:eastAsia="MS Mincho"/>
        </w:rPr>
        <w:t xml:space="preserve">structure </w:t>
      </w:r>
      <w:r w:rsidRPr="00CD399C">
        <w:rPr>
          <w:rFonts w:eastAsia="MS Mincho"/>
        </w:rPr>
        <w:t xml:space="preserve">of the joint secretariat </w:t>
      </w:r>
      <w:r w:rsidR="00561324" w:rsidRPr="00CD399C">
        <w:rPr>
          <w:rFonts w:eastAsia="MS Mincho"/>
        </w:rPr>
        <w:t>by</w:t>
      </w:r>
      <w:r w:rsidRPr="00CD399C">
        <w:rPr>
          <w:rFonts w:eastAsia="MS Mincho"/>
        </w:rPr>
        <w:t xml:space="preserve"> hir</w:t>
      </w:r>
      <w:r w:rsidR="00561324" w:rsidRPr="00CD399C">
        <w:rPr>
          <w:rFonts w:eastAsia="MS Mincho"/>
        </w:rPr>
        <w:t>ing</w:t>
      </w:r>
      <w:r w:rsidRPr="00CD399C">
        <w:rPr>
          <w:rFonts w:eastAsia="MS Mincho"/>
        </w:rPr>
        <w:t xml:space="preserve"> the equivalent of 1.5 P-3 </w:t>
      </w:r>
      <w:r w:rsidR="00CD399C">
        <w:rPr>
          <w:rFonts w:eastAsia="MS Mincho"/>
        </w:rPr>
        <w:t>p</w:t>
      </w:r>
      <w:r w:rsidRPr="00CD399C">
        <w:rPr>
          <w:rFonts w:eastAsia="MS Mincho"/>
        </w:rPr>
        <w:t xml:space="preserve">rogramme </w:t>
      </w:r>
      <w:r w:rsidR="00CD399C">
        <w:rPr>
          <w:rFonts w:eastAsia="MS Mincho"/>
        </w:rPr>
        <w:t>o</w:t>
      </w:r>
      <w:r w:rsidRPr="00CD399C">
        <w:rPr>
          <w:rFonts w:eastAsia="MS Mincho"/>
        </w:rPr>
        <w:t xml:space="preserve">fficers (to cover </w:t>
      </w:r>
      <w:r w:rsidR="009C7695" w:rsidRPr="00CD399C">
        <w:rPr>
          <w:rFonts w:eastAsia="MS Mincho"/>
        </w:rPr>
        <w:t>the costs of functions</w:t>
      </w:r>
      <w:r w:rsidR="009C7695">
        <w:rPr>
          <w:rFonts w:eastAsia="MS Mincho"/>
        </w:rPr>
        <w:t xml:space="preserve"> such as legal support, knowledge management, outreach and information technology services). </w:t>
      </w:r>
    </w:p>
    <w:p w14:paraId="63CAEED9" w14:textId="12FAC288" w:rsidR="00F62ED2" w:rsidRPr="00F62ED2" w:rsidRDefault="00E010AD" w:rsidP="009C7695">
      <w:pPr>
        <w:pStyle w:val="CH3"/>
      </w:pPr>
      <w:r>
        <w:tab/>
      </w:r>
      <w:r w:rsidR="00040F66">
        <w:tab/>
      </w:r>
      <w:r w:rsidR="00F62ED2" w:rsidRPr="00F62ED2">
        <w:t>Option 1(b)</w:t>
      </w:r>
      <w:r w:rsidR="009C7695">
        <w:t xml:space="preserve"> </w:t>
      </w:r>
      <w:r w:rsidR="00787E85">
        <w:t>(branch)</w:t>
      </w:r>
      <w:r w:rsidR="009C7695">
        <w:t>:</w:t>
      </w:r>
      <w:r w:rsidR="00F62ED2" w:rsidRPr="00F62ED2">
        <w:t xml:space="preserve"> Merging the secretariat of the </w:t>
      </w:r>
      <w:proofErr w:type="spellStart"/>
      <w:r w:rsidR="00F62ED2" w:rsidRPr="00F62ED2">
        <w:t>Minamata</w:t>
      </w:r>
      <w:proofErr w:type="spellEnd"/>
      <w:r w:rsidR="00F62ED2" w:rsidRPr="00F62ED2">
        <w:t xml:space="preserve"> Convention with the secretariat of the Basel, Rotterdam and Stockholm </w:t>
      </w:r>
      <w:r>
        <w:t>c</w:t>
      </w:r>
      <w:r w:rsidR="00F62ED2" w:rsidRPr="00F62ED2">
        <w:t xml:space="preserve">onventions by creating, in the interim, a </w:t>
      </w:r>
      <w:proofErr w:type="spellStart"/>
      <w:r w:rsidR="009C7695">
        <w:t>Minamata</w:t>
      </w:r>
      <w:proofErr w:type="spellEnd"/>
      <w:r w:rsidR="009C7695">
        <w:t xml:space="preserve"> Convention</w:t>
      </w:r>
      <w:r w:rsidR="009C7695" w:rsidRPr="00F62ED2">
        <w:t xml:space="preserve"> </w:t>
      </w:r>
      <w:r w:rsidR="00CD399C">
        <w:t>b</w:t>
      </w:r>
      <w:r w:rsidR="00F62ED2" w:rsidRPr="00F62ED2">
        <w:t>ranch</w:t>
      </w:r>
      <w:r w:rsidR="009C7695">
        <w:t xml:space="preserve"> (</w:t>
      </w:r>
      <w:r w:rsidR="00561324">
        <w:t>l</w:t>
      </w:r>
      <w:r w:rsidR="00F62ED2" w:rsidRPr="00F62ED2">
        <w:t>ocat</w:t>
      </w:r>
      <w:r w:rsidR="009C7695">
        <w:t xml:space="preserve">ion: </w:t>
      </w:r>
      <w:r w:rsidR="00F62ED2" w:rsidRPr="00F62ED2">
        <w:t>Geneva</w:t>
      </w:r>
      <w:r w:rsidR="009C7695">
        <w:t>)</w:t>
      </w:r>
      <w:r w:rsidR="000A7CE7">
        <w:t xml:space="preserve"> </w:t>
      </w:r>
    </w:p>
    <w:p w14:paraId="0538AD96" w14:textId="4473BCCF" w:rsidR="003E0D97" w:rsidRPr="00241415" w:rsidRDefault="003E0D97" w:rsidP="007D08BC">
      <w:pPr>
        <w:pStyle w:val="Normalnumber"/>
        <w:tabs>
          <w:tab w:val="clear" w:pos="624"/>
          <w:tab w:val="left" w:pos="1701"/>
        </w:tabs>
        <w:ind w:left="1247" w:hanging="1"/>
      </w:pPr>
      <w:r>
        <w:t xml:space="preserve">Under this option, a </w:t>
      </w:r>
      <w:proofErr w:type="spellStart"/>
      <w:r>
        <w:t>Minamata</w:t>
      </w:r>
      <w:proofErr w:type="spellEnd"/>
      <w:r>
        <w:t xml:space="preserve"> Convention </w:t>
      </w:r>
      <w:r w:rsidR="00CD399C">
        <w:t>b</w:t>
      </w:r>
      <w:r>
        <w:t xml:space="preserve">ranch would be established under the Executive Secretary of the secretariat of the Basel, Rotterdam and Stockholm conventions and the </w:t>
      </w:r>
      <w:proofErr w:type="spellStart"/>
      <w:r>
        <w:t>Minamata</w:t>
      </w:r>
      <w:proofErr w:type="spellEnd"/>
      <w:r w:rsidR="004619A1">
        <w:t xml:space="preserve"> Convention. </w:t>
      </w:r>
      <w:r w:rsidR="00561324">
        <w:t>T</w:t>
      </w:r>
      <w:r w:rsidR="00D67A2D">
        <w:t>he Deputy Executive Secretary and the Chief of the Conventions Operations Branch</w:t>
      </w:r>
      <w:r w:rsidR="00561324">
        <w:t xml:space="preserve"> would also provide support to the </w:t>
      </w:r>
      <w:proofErr w:type="spellStart"/>
      <w:r w:rsidR="00561324">
        <w:t>Minamata</w:t>
      </w:r>
      <w:proofErr w:type="spellEnd"/>
      <w:r w:rsidR="00561324">
        <w:t xml:space="preserve"> Convention </w:t>
      </w:r>
      <w:r w:rsidR="00CD399C">
        <w:t>b</w:t>
      </w:r>
      <w:r w:rsidR="00561324">
        <w:t>ranch</w:t>
      </w:r>
      <w:r w:rsidR="00D67A2D">
        <w:t xml:space="preserve">. </w:t>
      </w:r>
    </w:p>
    <w:p w14:paraId="6153C10F" w14:textId="2C5C2410" w:rsidR="00F62ED2" w:rsidRPr="00B93E9C" w:rsidRDefault="00D67A2D" w:rsidP="00D67A2D">
      <w:pPr>
        <w:pStyle w:val="Normalnumber"/>
        <w:tabs>
          <w:tab w:val="clear" w:pos="624"/>
          <w:tab w:val="left" w:pos="1701"/>
        </w:tabs>
        <w:ind w:left="1247" w:hanging="1"/>
      </w:pPr>
      <w:r>
        <w:rPr>
          <w:rFonts w:eastAsia="MS Mincho"/>
        </w:rPr>
        <w:t>Similar to option 1(a)</w:t>
      </w:r>
      <w:r w:rsidR="007429A0">
        <w:rPr>
          <w:rFonts w:eastAsia="MS Mincho"/>
        </w:rPr>
        <w:t>, according to which</w:t>
      </w:r>
      <w:r>
        <w:rPr>
          <w:rFonts w:eastAsia="MS Mincho"/>
        </w:rPr>
        <w:t xml:space="preserve"> the existing staff of the secretariat of the Basel, Rotterdam </w:t>
      </w:r>
      <w:r w:rsidRPr="00F03A66">
        <w:rPr>
          <w:rFonts w:eastAsia="MS Mincho"/>
        </w:rPr>
        <w:t xml:space="preserve">and Stockholm conventions would take on functions for the </w:t>
      </w:r>
      <w:proofErr w:type="spellStart"/>
      <w:r w:rsidRPr="00F03A66">
        <w:rPr>
          <w:rFonts w:eastAsia="MS Mincho"/>
        </w:rPr>
        <w:t>Minamata</w:t>
      </w:r>
      <w:proofErr w:type="spellEnd"/>
      <w:r w:rsidRPr="00F03A66">
        <w:rPr>
          <w:rFonts w:eastAsia="MS Mincho"/>
        </w:rPr>
        <w:t xml:space="preserve"> Convention </w:t>
      </w:r>
      <w:r w:rsidR="00F03A66" w:rsidRPr="00F03A66">
        <w:rPr>
          <w:rFonts w:eastAsia="MS Mincho"/>
        </w:rPr>
        <w:t xml:space="preserve">with the costs of </w:t>
      </w:r>
      <w:r w:rsidRPr="00F03A66">
        <w:rPr>
          <w:rFonts w:eastAsia="MS Mincho"/>
        </w:rPr>
        <w:t>their positions shared among the four conventions</w:t>
      </w:r>
      <w:r w:rsidR="00AA5D6E">
        <w:rPr>
          <w:rFonts w:eastAsia="MS Mincho"/>
        </w:rPr>
        <w:t>, f</w:t>
      </w:r>
      <w:r>
        <w:rPr>
          <w:rFonts w:eastAsia="MS Mincho"/>
        </w:rPr>
        <w:t xml:space="preserve">or </w:t>
      </w:r>
      <w:r w:rsidR="0028454A" w:rsidRPr="00FE7493">
        <w:rPr>
          <w:rFonts w:eastAsia="MS Mincho"/>
        </w:rPr>
        <w:t xml:space="preserve">option </w:t>
      </w:r>
      <w:r w:rsidR="00B17475">
        <w:rPr>
          <w:rFonts w:eastAsia="MS Mincho"/>
        </w:rPr>
        <w:t>1</w:t>
      </w:r>
      <w:r w:rsidR="00AA5D6E">
        <w:rPr>
          <w:rFonts w:eastAsia="MS Mincho"/>
        </w:rPr>
        <w:t xml:space="preserve"> </w:t>
      </w:r>
      <w:r w:rsidR="00B17475">
        <w:rPr>
          <w:rFonts w:eastAsia="MS Mincho"/>
        </w:rPr>
        <w:t>(b)</w:t>
      </w:r>
      <w:r>
        <w:rPr>
          <w:rFonts w:eastAsia="MS Mincho"/>
        </w:rPr>
        <w:t xml:space="preserve"> </w:t>
      </w:r>
      <w:r w:rsidR="007429A0">
        <w:rPr>
          <w:rFonts w:eastAsia="MS Mincho"/>
        </w:rPr>
        <w:t>(branch)</w:t>
      </w:r>
      <w:r>
        <w:rPr>
          <w:rFonts w:eastAsia="MS Mincho"/>
        </w:rPr>
        <w:t>, th</w:t>
      </w:r>
      <w:r w:rsidR="00DE1551">
        <w:rPr>
          <w:rFonts w:eastAsia="MS Mincho"/>
        </w:rPr>
        <w:t>o</w:t>
      </w:r>
      <w:r>
        <w:rPr>
          <w:rFonts w:eastAsia="MS Mincho"/>
        </w:rPr>
        <w:t>se</w:t>
      </w:r>
      <w:r w:rsidR="00DE1551">
        <w:rPr>
          <w:rFonts w:eastAsia="MS Mincho"/>
        </w:rPr>
        <w:t xml:space="preserve"> costs</w:t>
      </w:r>
      <w:r>
        <w:rPr>
          <w:rFonts w:eastAsia="MS Mincho"/>
        </w:rPr>
        <w:t xml:space="preserve"> </w:t>
      </w:r>
      <w:r w:rsidR="00BE2B42">
        <w:rPr>
          <w:rFonts w:eastAsia="MS Mincho"/>
        </w:rPr>
        <w:t>are</w:t>
      </w:r>
      <w:r>
        <w:rPr>
          <w:rFonts w:eastAsia="MS Mincho"/>
        </w:rPr>
        <w:t xml:space="preserve"> </w:t>
      </w:r>
      <w:r w:rsidR="0028454A" w:rsidRPr="00886920">
        <w:rPr>
          <w:rFonts w:eastAsia="MS Mincho"/>
        </w:rPr>
        <w:t xml:space="preserve">estimated to amount to </w:t>
      </w:r>
      <w:r w:rsidR="00FE7493" w:rsidRPr="00886920">
        <w:rPr>
          <w:rFonts w:eastAsia="MS Mincho"/>
        </w:rPr>
        <w:t>4</w:t>
      </w:r>
      <w:r w:rsidR="0028454A" w:rsidRPr="00886920">
        <w:rPr>
          <w:rFonts w:eastAsia="MS Mincho"/>
        </w:rPr>
        <w:t>0 per cent of a D-2 post (Executive Secre</w:t>
      </w:r>
      <w:r w:rsidR="00FE7493" w:rsidRPr="00886920">
        <w:rPr>
          <w:rFonts w:eastAsia="MS Mincho"/>
        </w:rPr>
        <w:t xml:space="preserve">tary), </w:t>
      </w:r>
      <w:r w:rsidR="00886920" w:rsidRPr="00886920">
        <w:rPr>
          <w:rFonts w:eastAsia="MS Mincho"/>
        </w:rPr>
        <w:t>20 per cent of a D-1</w:t>
      </w:r>
      <w:r w:rsidR="00B17475">
        <w:rPr>
          <w:rFonts w:eastAsia="MS Mincho"/>
        </w:rPr>
        <w:t xml:space="preserve"> </w:t>
      </w:r>
      <w:r w:rsidR="0028454A" w:rsidRPr="00886920">
        <w:rPr>
          <w:rFonts w:eastAsia="MS Mincho"/>
        </w:rPr>
        <w:t xml:space="preserve">post </w:t>
      </w:r>
      <w:r w:rsidR="00FE7493" w:rsidRPr="00886920">
        <w:rPr>
          <w:rFonts w:eastAsia="MS Mincho"/>
        </w:rPr>
        <w:t xml:space="preserve">(Deputy Executive </w:t>
      </w:r>
      <w:r w:rsidR="00FE7493" w:rsidRPr="007B7237">
        <w:rPr>
          <w:rFonts w:eastAsia="MS Mincho"/>
        </w:rPr>
        <w:t xml:space="preserve">Secretary) </w:t>
      </w:r>
      <w:r w:rsidR="00B17475" w:rsidRPr="007B7237">
        <w:rPr>
          <w:rFonts w:eastAsia="MS Mincho"/>
        </w:rPr>
        <w:t xml:space="preserve">and </w:t>
      </w:r>
      <w:r w:rsidR="00FE7493" w:rsidRPr="007B7237">
        <w:rPr>
          <w:rFonts w:eastAsia="MS Mincho"/>
        </w:rPr>
        <w:t>40</w:t>
      </w:r>
      <w:r w:rsidR="0028454A" w:rsidRPr="007B7237">
        <w:rPr>
          <w:rFonts w:eastAsia="MS Mincho"/>
        </w:rPr>
        <w:t xml:space="preserve"> per cent of a P-5 post (Branch Chief, Conventions Operations Branch)</w:t>
      </w:r>
      <w:r w:rsidR="00DE1551" w:rsidRPr="007B7237">
        <w:rPr>
          <w:rFonts w:eastAsia="MS Mincho"/>
        </w:rPr>
        <w:t xml:space="preserve"> for the </w:t>
      </w:r>
      <w:proofErr w:type="spellStart"/>
      <w:r w:rsidR="00DE1551" w:rsidRPr="007B7237">
        <w:rPr>
          <w:rFonts w:eastAsia="MS Mincho"/>
        </w:rPr>
        <w:t>Minamata</w:t>
      </w:r>
      <w:proofErr w:type="spellEnd"/>
      <w:r w:rsidR="00DE1551" w:rsidRPr="007B7237">
        <w:rPr>
          <w:rFonts w:eastAsia="MS Mincho"/>
        </w:rPr>
        <w:t xml:space="preserve"> Convention</w:t>
      </w:r>
      <w:r w:rsidR="0028454A" w:rsidRPr="007B7237">
        <w:rPr>
          <w:rFonts w:eastAsia="MS Mincho"/>
        </w:rPr>
        <w:t xml:space="preserve">. </w:t>
      </w:r>
      <w:r w:rsidR="0028454A" w:rsidRPr="00241415">
        <w:rPr>
          <w:rFonts w:eastAsia="MS Mincho"/>
        </w:rPr>
        <w:t xml:space="preserve">In addition, </w:t>
      </w:r>
      <w:r w:rsidR="00B17475" w:rsidRPr="00241415">
        <w:rPr>
          <w:rFonts w:eastAsia="MS Mincho"/>
        </w:rPr>
        <w:t xml:space="preserve">in order </w:t>
      </w:r>
      <w:r w:rsidR="00886920" w:rsidRPr="00241415">
        <w:rPr>
          <w:rFonts w:eastAsia="MS Mincho"/>
        </w:rPr>
        <w:t xml:space="preserve">to increase the </w:t>
      </w:r>
      <w:r w:rsidR="0028454A" w:rsidRPr="00241415">
        <w:rPr>
          <w:rFonts w:eastAsia="MS Mincho"/>
        </w:rPr>
        <w:t xml:space="preserve">capacity </w:t>
      </w:r>
      <w:r w:rsidR="007F0801" w:rsidRPr="007B7237">
        <w:rPr>
          <w:rFonts w:eastAsia="MS Mincho"/>
        </w:rPr>
        <w:t>of the structure</w:t>
      </w:r>
      <w:r w:rsidR="00DE1551" w:rsidRPr="007B7237">
        <w:rPr>
          <w:rFonts w:eastAsia="MS Mincho"/>
        </w:rPr>
        <w:t xml:space="preserve"> of the secretariat</w:t>
      </w:r>
      <w:r w:rsidR="007F0801" w:rsidRPr="007B7237">
        <w:rPr>
          <w:rFonts w:eastAsia="MS Mincho"/>
        </w:rPr>
        <w:t xml:space="preserve"> </w:t>
      </w:r>
      <w:r w:rsidR="0028454A" w:rsidRPr="00241415">
        <w:rPr>
          <w:rFonts w:eastAsia="MS Mincho"/>
        </w:rPr>
        <w:t xml:space="preserve">to meet the needs of the </w:t>
      </w:r>
      <w:proofErr w:type="spellStart"/>
      <w:r w:rsidR="0028454A" w:rsidRPr="00241415">
        <w:rPr>
          <w:rFonts w:eastAsia="MS Mincho"/>
        </w:rPr>
        <w:t>Minamata</w:t>
      </w:r>
      <w:proofErr w:type="spellEnd"/>
      <w:r w:rsidR="0028454A" w:rsidRPr="00241415">
        <w:rPr>
          <w:rFonts w:eastAsia="MS Mincho"/>
        </w:rPr>
        <w:t xml:space="preserve"> </w:t>
      </w:r>
      <w:r w:rsidR="007F0801" w:rsidRPr="007B7237">
        <w:rPr>
          <w:rFonts w:eastAsia="MS Mincho"/>
        </w:rPr>
        <w:t xml:space="preserve">Convention </w:t>
      </w:r>
      <w:r w:rsidR="00CD399C" w:rsidRPr="007B7237">
        <w:rPr>
          <w:rFonts w:eastAsia="MS Mincho"/>
        </w:rPr>
        <w:t>b</w:t>
      </w:r>
      <w:r w:rsidR="0028454A" w:rsidRPr="007B7237">
        <w:rPr>
          <w:rFonts w:eastAsia="MS Mincho"/>
        </w:rPr>
        <w:t xml:space="preserve">ranch, the equivalent of 1.5 P-3 officers (to cover functions such as legal, outreach and public awareness, information technology and information management) </w:t>
      </w:r>
      <w:r w:rsidR="00D0301F" w:rsidRPr="007B7237">
        <w:rPr>
          <w:rFonts w:eastAsia="MS Mincho"/>
        </w:rPr>
        <w:t xml:space="preserve">would be hired </w:t>
      </w:r>
      <w:r w:rsidR="0028454A" w:rsidRPr="007B7237">
        <w:rPr>
          <w:rFonts w:eastAsia="MS Mincho"/>
        </w:rPr>
        <w:t xml:space="preserve">and </w:t>
      </w:r>
      <w:r w:rsidR="00886920" w:rsidRPr="007B7237">
        <w:rPr>
          <w:rFonts w:eastAsia="MS Mincho"/>
        </w:rPr>
        <w:t>four</w:t>
      </w:r>
      <w:r w:rsidR="0028454A" w:rsidRPr="007B7237">
        <w:rPr>
          <w:rFonts w:eastAsia="MS Mincho"/>
        </w:rPr>
        <w:t xml:space="preserve"> General Service</w:t>
      </w:r>
      <w:r w:rsidR="0028454A" w:rsidRPr="00FE7493">
        <w:rPr>
          <w:rFonts w:eastAsia="MS Mincho"/>
        </w:rPr>
        <w:t xml:space="preserve"> post</w:t>
      </w:r>
      <w:r w:rsidR="00FE7493">
        <w:rPr>
          <w:rFonts w:eastAsia="MS Mincho"/>
        </w:rPr>
        <w:t>s</w:t>
      </w:r>
      <w:r w:rsidR="0028454A" w:rsidRPr="00FE7493">
        <w:rPr>
          <w:rFonts w:eastAsia="MS Mincho"/>
        </w:rPr>
        <w:t xml:space="preserve"> </w:t>
      </w:r>
      <w:r w:rsidR="00B17475">
        <w:rPr>
          <w:rFonts w:eastAsia="MS Mincho"/>
        </w:rPr>
        <w:t xml:space="preserve">would be </w:t>
      </w:r>
      <w:r w:rsidR="0028454A" w:rsidRPr="00FE7493">
        <w:rPr>
          <w:rFonts w:eastAsia="MS Mincho"/>
        </w:rPr>
        <w:t>necessary.</w:t>
      </w:r>
    </w:p>
    <w:p w14:paraId="2F1DA80A" w14:textId="320F4921" w:rsidR="00740323" w:rsidRPr="00DC1244" w:rsidRDefault="00D0301F" w:rsidP="00D0301F">
      <w:pPr>
        <w:pStyle w:val="Normalnumber"/>
        <w:tabs>
          <w:tab w:val="clear" w:pos="624"/>
          <w:tab w:val="left" w:pos="1701"/>
        </w:tabs>
        <w:ind w:left="1247" w:hanging="1"/>
      </w:pPr>
      <w:r>
        <w:rPr>
          <w:rFonts w:eastAsia="MS Mincho"/>
        </w:rPr>
        <w:t>T</w:t>
      </w:r>
      <w:r w:rsidR="00B93E9C" w:rsidRPr="00886920">
        <w:rPr>
          <w:rFonts w:eastAsia="MS Mincho"/>
        </w:rPr>
        <w:t xml:space="preserve">o fulfil </w:t>
      </w:r>
      <w:r>
        <w:rPr>
          <w:rFonts w:eastAsia="MS Mincho"/>
        </w:rPr>
        <w:t xml:space="preserve">the </w:t>
      </w:r>
      <w:r w:rsidR="00B93E9C" w:rsidRPr="00BE2B42">
        <w:rPr>
          <w:rFonts w:eastAsia="MS Mincho"/>
        </w:rPr>
        <w:t xml:space="preserve">functions </w:t>
      </w:r>
      <w:r w:rsidRPr="00BE2B42">
        <w:rPr>
          <w:rFonts w:eastAsia="MS Mincho"/>
        </w:rPr>
        <w:t xml:space="preserve">of </w:t>
      </w:r>
      <w:r w:rsidR="00B93E9C" w:rsidRPr="00BE2B42">
        <w:rPr>
          <w:rFonts w:eastAsia="MS Mincho"/>
        </w:rPr>
        <w:t xml:space="preserve">the </w:t>
      </w:r>
      <w:proofErr w:type="spellStart"/>
      <w:r w:rsidR="00B93E9C" w:rsidRPr="00BE2B42">
        <w:rPr>
          <w:rFonts w:eastAsia="MS Mincho"/>
        </w:rPr>
        <w:t>Minamata</w:t>
      </w:r>
      <w:proofErr w:type="spellEnd"/>
      <w:r w:rsidR="00B93E9C" w:rsidRPr="00BE2B42">
        <w:rPr>
          <w:rFonts w:eastAsia="MS Mincho"/>
        </w:rPr>
        <w:t xml:space="preserve"> </w:t>
      </w:r>
      <w:r w:rsidRPr="00BE2B42">
        <w:rPr>
          <w:rFonts w:eastAsia="MS Mincho"/>
        </w:rPr>
        <w:t xml:space="preserve">Convention </w:t>
      </w:r>
      <w:r w:rsidR="005C7828" w:rsidRPr="00BE2B42">
        <w:rPr>
          <w:rFonts w:eastAsia="MS Mincho"/>
        </w:rPr>
        <w:t>b</w:t>
      </w:r>
      <w:r w:rsidR="00B93E9C" w:rsidRPr="00BE2B42">
        <w:rPr>
          <w:rFonts w:eastAsia="MS Mincho"/>
        </w:rPr>
        <w:t xml:space="preserve">ranch </w:t>
      </w:r>
      <w:r w:rsidRPr="00BE2B42">
        <w:rPr>
          <w:rFonts w:eastAsia="MS Mincho"/>
        </w:rPr>
        <w:t>the following new posts would be needed</w:t>
      </w:r>
      <w:r w:rsidR="00B93E9C" w:rsidRPr="00BE2B42">
        <w:rPr>
          <w:rFonts w:eastAsia="MS Mincho"/>
        </w:rPr>
        <w:t xml:space="preserve">: one </w:t>
      </w:r>
      <w:r w:rsidR="005C7828" w:rsidRPr="00BE2B42">
        <w:rPr>
          <w:rFonts w:eastAsia="MS Mincho"/>
        </w:rPr>
        <w:t>D-1</w:t>
      </w:r>
      <w:r w:rsidR="00886920" w:rsidRPr="00BE2B42">
        <w:rPr>
          <w:rFonts w:eastAsia="MS Mincho"/>
        </w:rPr>
        <w:t xml:space="preserve"> </w:t>
      </w:r>
      <w:r w:rsidR="005C7828" w:rsidRPr="00BE2B42">
        <w:rPr>
          <w:rFonts w:eastAsia="MS Mincho"/>
        </w:rPr>
        <w:t>(B</w:t>
      </w:r>
      <w:r w:rsidR="00886920" w:rsidRPr="00BE2B42">
        <w:rPr>
          <w:rFonts w:eastAsia="MS Mincho"/>
        </w:rPr>
        <w:t xml:space="preserve">ranch </w:t>
      </w:r>
      <w:r w:rsidR="005C7828" w:rsidRPr="00BE2B42">
        <w:rPr>
          <w:rFonts w:eastAsia="MS Mincho"/>
        </w:rPr>
        <w:t>C</w:t>
      </w:r>
      <w:r w:rsidR="00886920" w:rsidRPr="00BE2B42">
        <w:rPr>
          <w:rFonts w:eastAsia="MS Mincho"/>
        </w:rPr>
        <w:t>hief</w:t>
      </w:r>
      <w:r w:rsidR="00B93E9C" w:rsidRPr="00BE2B42">
        <w:rPr>
          <w:rFonts w:eastAsia="MS Mincho"/>
        </w:rPr>
        <w:t xml:space="preserve">), </w:t>
      </w:r>
      <w:r w:rsidR="00B93E9C" w:rsidRPr="00BE2B42">
        <w:t>one</w:t>
      </w:r>
      <w:r w:rsidR="00B93E9C" w:rsidRPr="00BE2B42">
        <w:rPr>
          <w:rFonts w:eastAsia="MS Mincho"/>
        </w:rPr>
        <w:t xml:space="preserve"> P-4 (scientific</w:t>
      </w:r>
      <w:r w:rsidRPr="00BE2B42">
        <w:rPr>
          <w:rFonts w:eastAsia="MS Mincho"/>
        </w:rPr>
        <w:t xml:space="preserve"> matters</w:t>
      </w:r>
      <w:r w:rsidR="00B93E9C" w:rsidRPr="00BE2B42">
        <w:rPr>
          <w:rFonts w:eastAsia="MS Mincho"/>
        </w:rPr>
        <w:t xml:space="preserve">), </w:t>
      </w:r>
      <w:r w:rsidR="005C7828" w:rsidRPr="00BE2B42">
        <w:rPr>
          <w:rFonts w:eastAsia="MS Mincho"/>
        </w:rPr>
        <w:t>three</w:t>
      </w:r>
      <w:r w:rsidR="00B93E9C" w:rsidRPr="00BE2B42">
        <w:rPr>
          <w:rFonts w:eastAsia="MS Mincho"/>
        </w:rPr>
        <w:t xml:space="preserve"> P-3 (</w:t>
      </w:r>
      <w:r w:rsidR="005C7828" w:rsidRPr="00BE2B42">
        <w:rPr>
          <w:rFonts w:eastAsia="MS Mincho"/>
        </w:rPr>
        <w:t xml:space="preserve">one for </w:t>
      </w:r>
      <w:r w:rsidR="00B93E9C" w:rsidRPr="00BE2B42">
        <w:rPr>
          <w:rFonts w:eastAsia="MS Mincho"/>
        </w:rPr>
        <w:t xml:space="preserve">technical </w:t>
      </w:r>
      <w:r w:rsidRPr="00BE2B42">
        <w:rPr>
          <w:rFonts w:eastAsia="MS Mincho"/>
        </w:rPr>
        <w:t>and</w:t>
      </w:r>
      <w:r>
        <w:rPr>
          <w:rFonts w:eastAsia="MS Mincho"/>
        </w:rPr>
        <w:t xml:space="preserve"> science matters, one for technical </w:t>
      </w:r>
      <w:r w:rsidR="00B93E9C" w:rsidRPr="00DC1244">
        <w:rPr>
          <w:rFonts w:eastAsia="MS Mincho"/>
        </w:rPr>
        <w:t>assistance</w:t>
      </w:r>
      <w:r>
        <w:rPr>
          <w:rFonts w:eastAsia="MS Mincho"/>
        </w:rPr>
        <w:t xml:space="preserve"> and </w:t>
      </w:r>
      <w:r w:rsidR="00B93E9C" w:rsidRPr="00DC1244">
        <w:rPr>
          <w:rFonts w:eastAsia="MS Mincho"/>
        </w:rPr>
        <w:t>capacity-building</w:t>
      </w:r>
      <w:r>
        <w:rPr>
          <w:rFonts w:eastAsia="MS Mincho"/>
        </w:rPr>
        <w:t>,</w:t>
      </w:r>
      <w:r w:rsidR="005C7828" w:rsidRPr="00DC1244">
        <w:rPr>
          <w:rFonts w:eastAsia="MS Mincho"/>
        </w:rPr>
        <w:t xml:space="preserve"> and</w:t>
      </w:r>
      <w:r w:rsidR="00B93E9C" w:rsidRPr="00DC1244">
        <w:rPr>
          <w:rFonts w:eastAsia="MS Mincho"/>
        </w:rPr>
        <w:t xml:space="preserve"> one </w:t>
      </w:r>
      <w:r w:rsidR="005C7828" w:rsidRPr="00DC1244">
        <w:rPr>
          <w:rFonts w:eastAsia="MS Mincho"/>
        </w:rPr>
        <w:t>for</w:t>
      </w:r>
      <w:r w:rsidR="00B93E9C" w:rsidRPr="00DC1244">
        <w:rPr>
          <w:rFonts w:eastAsia="MS Mincho"/>
        </w:rPr>
        <w:t xml:space="preserve"> </w:t>
      </w:r>
      <w:r>
        <w:rPr>
          <w:rFonts w:eastAsia="MS Mincho"/>
        </w:rPr>
        <w:t>knowledge management and reporting</w:t>
      </w:r>
      <w:r w:rsidR="00B93E9C" w:rsidRPr="00DC1244">
        <w:rPr>
          <w:rFonts w:eastAsia="MS Mincho"/>
        </w:rPr>
        <w:t>).</w:t>
      </w:r>
      <w:r w:rsidR="00F44FF7" w:rsidRPr="00DC1244">
        <w:rPr>
          <w:rFonts w:eastAsia="MS Mincho"/>
        </w:rPr>
        <w:t xml:space="preserve"> </w:t>
      </w:r>
    </w:p>
    <w:p w14:paraId="67310D04" w14:textId="250B779E" w:rsidR="00740323" w:rsidRPr="00DC1244" w:rsidRDefault="00040F66" w:rsidP="00D0301F">
      <w:pPr>
        <w:pStyle w:val="CH3"/>
      </w:pPr>
      <w:r>
        <w:tab/>
      </w:r>
      <w:r>
        <w:tab/>
      </w:r>
      <w:r w:rsidR="00740323" w:rsidRPr="00DC1244">
        <w:t>Option 2</w:t>
      </w:r>
      <w:r w:rsidR="00D0301F">
        <w:t xml:space="preserve"> </w:t>
      </w:r>
      <w:r w:rsidR="007429A0">
        <w:t>(standalone)</w:t>
      </w:r>
      <w:r w:rsidR="00740323" w:rsidRPr="00DC1244">
        <w:t xml:space="preserve">: </w:t>
      </w:r>
      <w:r w:rsidR="00D0301F">
        <w:t>Establishing an independent</w:t>
      </w:r>
      <w:r w:rsidR="00D0301F" w:rsidRPr="00DC1244">
        <w:t xml:space="preserve"> </w:t>
      </w:r>
      <w:r w:rsidR="00740323" w:rsidRPr="00DC1244">
        <w:t>secretariat</w:t>
      </w:r>
      <w:r w:rsidR="00D0301F">
        <w:t xml:space="preserve"> of the </w:t>
      </w:r>
      <w:proofErr w:type="spellStart"/>
      <w:r w:rsidR="00D0301F">
        <w:t>Minamata</w:t>
      </w:r>
      <w:proofErr w:type="spellEnd"/>
      <w:r w:rsidR="00D0301F">
        <w:t xml:space="preserve"> Convention (</w:t>
      </w:r>
      <w:r w:rsidR="00F03A66">
        <w:t>l</w:t>
      </w:r>
      <w:r w:rsidR="00D0301F">
        <w:t>ocation:</w:t>
      </w:r>
      <w:r w:rsidR="00740323" w:rsidRPr="00DC1244">
        <w:t xml:space="preserve"> to be </w:t>
      </w:r>
      <w:r w:rsidR="00DC1244" w:rsidRPr="00C03273">
        <w:t xml:space="preserve">determined on the basis of </w:t>
      </w:r>
      <w:r w:rsidR="00740323" w:rsidRPr="00DC1244">
        <w:t xml:space="preserve">an analysis </w:t>
      </w:r>
      <w:r w:rsidR="00DC1244" w:rsidRPr="00DC1244">
        <w:t>of</w:t>
      </w:r>
      <w:r w:rsidR="00740323" w:rsidRPr="00DC1244">
        <w:t xml:space="preserve"> the </w:t>
      </w:r>
      <w:r w:rsidR="00A05457">
        <w:t>following</w:t>
      </w:r>
      <w:r w:rsidR="00A05457" w:rsidRPr="00DC1244">
        <w:t xml:space="preserve"> </w:t>
      </w:r>
      <w:r w:rsidR="005C7828" w:rsidRPr="00DC1244">
        <w:t>UNEP</w:t>
      </w:r>
      <w:r w:rsidR="00740323" w:rsidRPr="00DC1244">
        <w:t xml:space="preserve"> duty stations: </w:t>
      </w:r>
      <w:r w:rsidR="009858B9" w:rsidRPr="00DC1244">
        <w:t xml:space="preserve">Bangkok, </w:t>
      </w:r>
      <w:r w:rsidR="00740323" w:rsidRPr="00DC1244">
        <w:t xml:space="preserve">Geneva, Nairobi, Osaka, Vienna </w:t>
      </w:r>
      <w:r w:rsidR="00DC1244" w:rsidRPr="00DC1244">
        <w:t>and</w:t>
      </w:r>
      <w:r w:rsidR="00740323" w:rsidRPr="00DC1244">
        <w:t xml:space="preserve"> Washington</w:t>
      </w:r>
      <w:r w:rsidR="00A06CE5">
        <w:t>, D.C.</w:t>
      </w:r>
      <w:r w:rsidR="00D0301F">
        <w:t>)</w:t>
      </w:r>
    </w:p>
    <w:p w14:paraId="16394263" w14:textId="3FB91B92" w:rsidR="00740323" w:rsidRPr="007D7EF5" w:rsidRDefault="0095385F" w:rsidP="00972D3B">
      <w:pPr>
        <w:pStyle w:val="Normalnumber"/>
        <w:tabs>
          <w:tab w:val="clear" w:pos="624"/>
          <w:tab w:val="left" w:pos="1701"/>
        </w:tabs>
        <w:ind w:left="1247" w:hanging="1"/>
      </w:pPr>
      <w:r w:rsidRPr="00DC1244">
        <w:t>Under option</w:t>
      </w:r>
      <w:r>
        <w:t xml:space="preserve"> </w:t>
      </w:r>
      <w:r w:rsidR="005C7828">
        <w:t>2,</w:t>
      </w:r>
      <w:r>
        <w:t xml:space="preserve"> the</w:t>
      </w:r>
      <w:r w:rsidR="006E0667" w:rsidRPr="007D7EF5">
        <w:t xml:space="preserve"> </w:t>
      </w:r>
      <w:r w:rsidR="005C7828" w:rsidRPr="0039112A">
        <w:t>secretariat o</w:t>
      </w:r>
      <w:r w:rsidR="005C7828">
        <w:t xml:space="preserve">f the </w:t>
      </w:r>
      <w:proofErr w:type="spellStart"/>
      <w:r w:rsidR="006E0667" w:rsidRPr="007D7EF5">
        <w:t>Minamata</w:t>
      </w:r>
      <w:proofErr w:type="spellEnd"/>
      <w:r w:rsidR="006E0667" w:rsidRPr="007D7EF5">
        <w:t xml:space="preserve"> Convention</w:t>
      </w:r>
      <w:r w:rsidR="004C3380" w:rsidRPr="007D7EF5">
        <w:rPr>
          <w:rFonts w:eastAsia="MS Mincho"/>
        </w:rPr>
        <w:t xml:space="preserve"> </w:t>
      </w:r>
      <w:r w:rsidR="005C7828">
        <w:rPr>
          <w:rFonts w:eastAsia="MS Mincho"/>
        </w:rPr>
        <w:t>would be</w:t>
      </w:r>
      <w:r w:rsidR="004C3380" w:rsidRPr="007D7EF5">
        <w:rPr>
          <w:rFonts w:eastAsia="MS Mincho"/>
        </w:rPr>
        <w:t xml:space="preserve"> headed by an Executive Secretary </w:t>
      </w:r>
      <w:r w:rsidR="004C3380" w:rsidRPr="00972D3B">
        <w:t>at</w:t>
      </w:r>
      <w:r w:rsidR="004C3380" w:rsidRPr="007D7EF5">
        <w:rPr>
          <w:rFonts w:eastAsia="MS Mincho"/>
        </w:rPr>
        <w:t xml:space="preserve"> the D-1 level, who would be supported by </w:t>
      </w:r>
      <w:r w:rsidR="00886920" w:rsidRPr="007D7EF5">
        <w:rPr>
          <w:rFonts w:eastAsia="MS Mincho"/>
        </w:rPr>
        <w:t xml:space="preserve">a branch chief on </w:t>
      </w:r>
      <w:r w:rsidR="003877DF">
        <w:rPr>
          <w:rFonts w:eastAsia="MS Mincho"/>
        </w:rPr>
        <w:t>p</w:t>
      </w:r>
      <w:r w:rsidR="00886920" w:rsidRPr="007D7EF5">
        <w:rPr>
          <w:rFonts w:eastAsia="MS Mincho"/>
        </w:rPr>
        <w:t xml:space="preserve">olicy </w:t>
      </w:r>
      <w:r w:rsidR="003877DF">
        <w:rPr>
          <w:rFonts w:eastAsia="MS Mincho"/>
        </w:rPr>
        <w:t>s</w:t>
      </w:r>
      <w:r w:rsidR="00886920" w:rsidRPr="007D7EF5">
        <w:rPr>
          <w:rFonts w:eastAsia="MS Mincho"/>
        </w:rPr>
        <w:t xml:space="preserve">ervices </w:t>
      </w:r>
      <w:r>
        <w:rPr>
          <w:rFonts w:eastAsia="MS Mincho"/>
        </w:rPr>
        <w:t xml:space="preserve">and a </w:t>
      </w:r>
      <w:r w:rsidR="00886920" w:rsidRPr="007D7EF5">
        <w:rPr>
          <w:rFonts w:eastAsia="MS Mincho"/>
        </w:rPr>
        <w:t xml:space="preserve">branch chief on </w:t>
      </w:r>
      <w:r w:rsidR="003877DF">
        <w:rPr>
          <w:rFonts w:eastAsia="MS Mincho"/>
        </w:rPr>
        <w:t>t</w:t>
      </w:r>
      <w:r w:rsidR="00886920" w:rsidRPr="007D7EF5">
        <w:rPr>
          <w:rFonts w:eastAsia="MS Mincho"/>
        </w:rPr>
        <w:t>e</w:t>
      </w:r>
      <w:r>
        <w:rPr>
          <w:rFonts w:eastAsia="MS Mincho"/>
        </w:rPr>
        <w:t xml:space="preserve">chnical </w:t>
      </w:r>
      <w:r w:rsidR="003877DF">
        <w:rPr>
          <w:rFonts w:eastAsia="MS Mincho"/>
        </w:rPr>
        <w:t>s</w:t>
      </w:r>
      <w:r>
        <w:rPr>
          <w:rFonts w:eastAsia="MS Mincho"/>
        </w:rPr>
        <w:t>ervices</w:t>
      </w:r>
      <w:r w:rsidR="003877DF">
        <w:rPr>
          <w:rFonts w:eastAsia="MS Mincho"/>
        </w:rPr>
        <w:t xml:space="preserve"> (both at P-5 level)</w:t>
      </w:r>
      <w:r w:rsidR="004C3380" w:rsidRPr="007D7EF5">
        <w:rPr>
          <w:rFonts w:eastAsia="MS Mincho"/>
        </w:rPr>
        <w:t xml:space="preserve">. </w:t>
      </w:r>
      <w:r>
        <w:rPr>
          <w:rFonts w:eastAsia="MS Mincho"/>
        </w:rPr>
        <w:t xml:space="preserve">Under the </w:t>
      </w:r>
      <w:r w:rsidR="003877DF">
        <w:rPr>
          <w:rFonts w:eastAsia="MS Mincho"/>
        </w:rPr>
        <w:t>p</w:t>
      </w:r>
      <w:r>
        <w:rPr>
          <w:rFonts w:eastAsia="MS Mincho"/>
        </w:rPr>
        <w:t xml:space="preserve">olicy </w:t>
      </w:r>
      <w:r w:rsidR="003877DF">
        <w:rPr>
          <w:rFonts w:eastAsia="MS Mincho"/>
        </w:rPr>
        <w:t>s</w:t>
      </w:r>
      <w:r>
        <w:rPr>
          <w:rFonts w:eastAsia="MS Mincho"/>
        </w:rPr>
        <w:t xml:space="preserve">ervices </w:t>
      </w:r>
      <w:r w:rsidR="003877DF">
        <w:rPr>
          <w:rFonts w:eastAsia="MS Mincho"/>
        </w:rPr>
        <w:t>b</w:t>
      </w:r>
      <w:r>
        <w:rPr>
          <w:rFonts w:eastAsia="MS Mincho"/>
        </w:rPr>
        <w:t>ranch</w:t>
      </w:r>
      <w:r w:rsidR="003877DF">
        <w:rPr>
          <w:rFonts w:eastAsia="MS Mincho"/>
        </w:rPr>
        <w:t>,</w:t>
      </w:r>
      <w:r>
        <w:rPr>
          <w:rFonts w:eastAsia="MS Mincho"/>
        </w:rPr>
        <w:t xml:space="preserve"> w</w:t>
      </w:r>
      <w:r w:rsidR="00886920" w:rsidRPr="007D7EF5">
        <w:rPr>
          <w:rFonts w:eastAsia="MS Mincho"/>
        </w:rPr>
        <w:t xml:space="preserve">ork on </w:t>
      </w:r>
      <w:r>
        <w:rPr>
          <w:rFonts w:eastAsia="MS Mincho"/>
        </w:rPr>
        <w:t xml:space="preserve">science and </w:t>
      </w:r>
      <w:r w:rsidR="00886920" w:rsidRPr="007D7EF5">
        <w:rPr>
          <w:rFonts w:eastAsia="MS Mincho"/>
        </w:rPr>
        <w:t>the science-policy interface wou</w:t>
      </w:r>
      <w:r>
        <w:rPr>
          <w:rFonts w:eastAsia="MS Mincho"/>
        </w:rPr>
        <w:t>ld be carried out</w:t>
      </w:r>
      <w:r w:rsidR="00886920" w:rsidRPr="007D7EF5">
        <w:rPr>
          <w:rFonts w:eastAsia="MS Mincho"/>
        </w:rPr>
        <w:t xml:space="preserve"> by a </w:t>
      </w:r>
      <w:r w:rsidR="007D7EF5" w:rsidRPr="007D7EF5">
        <w:rPr>
          <w:rFonts w:eastAsia="MS Mincho"/>
        </w:rPr>
        <w:t xml:space="preserve">science officer at </w:t>
      </w:r>
      <w:r w:rsidR="00DC1244">
        <w:rPr>
          <w:rFonts w:eastAsia="MS Mincho"/>
        </w:rPr>
        <w:t xml:space="preserve">the </w:t>
      </w:r>
      <w:r w:rsidR="007D7EF5" w:rsidRPr="007D7EF5">
        <w:rPr>
          <w:rFonts w:eastAsia="MS Mincho"/>
        </w:rPr>
        <w:t xml:space="preserve">P-4 level </w:t>
      </w:r>
      <w:r>
        <w:rPr>
          <w:rFonts w:eastAsia="MS Mincho"/>
        </w:rPr>
        <w:t xml:space="preserve">and </w:t>
      </w:r>
      <w:r w:rsidR="007D7EF5" w:rsidRPr="007D7EF5">
        <w:rPr>
          <w:rFonts w:eastAsia="MS Mincho"/>
        </w:rPr>
        <w:t xml:space="preserve">a science policy outreach officer at </w:t>
      </w:r>
      <w:r w:rsidR="00DC1244">
        <w:rPr>
          <w:rFonts w:eastAsia="MS Mincho"/>
        </w:rPr>
        <w:t xml:space="preserve">the </w:t>
      </w:r>
      <w:r w:rsidR="007D7EF5" w:rsidRPr="007D7EF5">
        <w:rPr>
          <w:rFonts w:eastAsia="MS Mincho"/>
        </w:rPr>
        <w:t>P</w:t>
      </w:r>
      <w:r w:rsidR="003877DF">
        <w:rPr>
          <w:rFonts w:eastAsia="MS Mincho"/>
        </w:rPr>
        <w:t>-</w:t>
      </w:r>
      <w:r w:rsidR="007D7EF5" w:rsidRPr="007D7EF5">
        <w:rPr>
          <w:rFonts w:eastAsia="MS Mincho"/>
        </w:rPr>
        <w:t>3 level. A legal officer at</w:t>
      </w:r>
      <w:r w:rsidR="00DC1244">
        <w:rPr>
          <w:rFonts w:eastAsia="MS Mincho"/>
        </w:rPr>
        <w:t xml:space="preserve"> the</w:t>
      </w:r>
      <w:r w:rsidR="007D7EF5" w:rsidRPr="007D7EF5">
        <w:rPr>
          <w:rFonts w:eastAsia="MS Mincho"/>
        </w:rPr>
        <w:t xml:space="preserve"> P-3 level would be </w:t>
      </w:r>
      <w:r w:rsidR="00975BCD">
        <w:rPr>
          <w:rFonts w:eastAsia="MS Mincho"/>
        </w:rPr>
        <w:t>employed</w:t>
      </w:r>
      <w:r w:rsidR="00975BCD" w:rsidRPr="007D7EF5">
        <w:rPr>
          <w:rFonts w:eastAsia="MS Mincho"/>
        </w:rPr>
        <w:t xml:space="preserve"> </w:t>
      </w:r>
      <w:r w:rsidR="007D7EF5" w:rsidRPr="007D7EF5">
        <w:rPr>
          <w:rFonts w:eastAsia="MS Mincho"/>
        </w:rPr>
        <w:t>to work on legal guidance and general policy issues</w:t>
      </w:r>
      <w:r w:rsidR="003877DF">
        <w:rPr>
          <w:rFonts w:eastAsia="MS Mincho"/>
        </w:rPr>
        <w:t>, and</w:t>
      </w:r>
      <w:r w:rsidR="007D7EF5" w:rsidRPr="007D7EF5">
        <w:rPr>
          <w:rFonts w:eastAsia="MS Mincho"/>
        </w:rPr>
        <w:t xml:space="preserve"> </w:t>
      </w:r>
      <w:r w:rsidR="003877DF">
        <w:rPr>
          <w:rFonts w:eastAsia="MS Mincho"/>
        </w:rPr>
        <w:t xml:space="preserve">conference </w:t>
      </w:r>
      <w:r w:rsidR="007D7EF5" w:rsidRPr="007D7EF5">
        <w:rPr>
          <w:rFonts w:eastAsia="MS Mincho"/>
        </w:rPr>
        <w:t xml:space="preserve">coordination and preparation would be carried out by </w:t>
      </w:r>
      <w:r>
        <w:rPr>
          <w:rFonts w:eastAsia="MS Mincho"/>
        </w:rPr>
        <w:t>another</w:t>
      </w:r>
      <w:r w:rsidR="007D7EF5" w:rsidRPr="007D7EF5">
        <w:rPr>
          <w:rFonts w:eastAsia="MS Mincho"/>
        </w:rPr>
        <w:t xml:space="preserve"> </w:t>
      </w:r>
      <w:r w:rsidR="003877DF">
        <w:rPr>
          <w:rFonts w:eastAsia="MS Mincho"/>
        </w:rPr>
        <w:t xml:space="preserve">staff member at </w:t>
      </w:r>
      <w:r w:rsidR="00DC1244">
        <w:rPr>
          <w:rFonts w:eastAsia="MS Mincho"/>
        </w:rPr>
        <w:t xml:space="preserve">the </w:t>
      </w:r>
      <w:r w:rsidR="007D7EF5" w:rsidRPr="007D7EF5">
        <w:rPr>
          <w:rFonts w:eastAsia="MS Mincho"/>
        </w:rPr>
        <w:t xml:space="preserve">P-3 </w:t>
      </w:r>
      <w:r w:rsidR="003877DF">
        <w:rPr>
          <w:rFonts w:eastAsia="MS Mincho"/>
        </w:rPr>
        <w:t>level</w:t>
      </w:r>
      <w:r w:rsidR="007D7EF5" w:rsidRPr="007D7EF5">
        <w:rPr>
          <w:rFonts w:eastAsia="MS Mincho"/>
        </w:rPr>
        <w:t xml:space="preserve">. </w:t>
      </w:r>
      <w:r>
        <w:rPr>
          <w:rFonts w:eastAsia="MS Mincho"/>
        </w:rPr>
        <w:t xml:space="preserve">Under the </w:t>
      </w:r>
      <w:r w:rsidR="003877DF">
        <w:rPr>
          <w:rFonts w:eastAsia="MS Mincho"/>
        </w:rPr>
        <w:t>t</w:t>
      </w:r>
      <w:r>
        <w:rPr>
          <w:rFonts w:eastAsia="MS Mincho"/>
        </w:rPr>
        <w:t xml:space="preserve">echnical </w:t>
      </w:r>
      <w:r w:rsidR="003877DF">
        <w:rPr>
          <w:rFonts w:eastAsia="MS Mincho"/>
        </w:rPr>
        <w:t>s</w:t>
      </w:r>
      <w:r>
        <w:rPr>
          <w:rFonts w:eastAsia="MS Mincho"/>
        </w:rPr>
        <w:t xml:space="preserve">ervices </w:t>
      </w:r>
      <w:r w:rsidR="003877DF">
        <w:rPr>
          <w:rFonts w:eastAsia="MS Mincho"/>
        </w:rPr>
        <w:t>b</w:t>
      </w:r>
      <w:r>
        <w:rPr>
          <w:rFonts w:eastAsia="MS Mincho"/>
        </w:rPr>
        <w:t>ranch</w:t>
      </w:r>
      <w:r w:rsidR="003877DF">
        <w:rPr>
          <w:rFonts w:eastAsia="MS Mincho"/>
        </w:rPr>
        <w:t>,</w:t>
      </w:r>
      <w:r>
        <w:rPr>
          <w:rFonts w:eastAsia="MS Mincho"/>
        </w:rPr>
        <w:t xml:space="preserve"> w</w:t>
      </w:r>
      <w:r w:rsidR="007D7EF5" w:rsidRPr="007D7EF5">
        <w:rPr>
          <w:rFonts w:eastAsia="MS Mincho"/>
        </w:rPr>
        <w:t xml:space="preserve">ork on capacity-building and technical assistance would be </w:t>
      </w:r>
      <w:r>
        <w:rPr>
          <w:rFonts w:eastAsia="MS Mincho"/>
        </w:rPr>
        <w:t>facilitated</w:t>
      </w:r>
      <w:r w:rsidR="007D7EF5" w:rsidRPr="007D7EF5">
        <w:rPr>
          <w:rFonts w:eastAsia="MS Mincho"/>
        </w:rPr>
        <w:t xml:space="preserve"> by one officer at </w:t>
      </w:r>
      <w:r w:rsidR="00DC1244">
        <w:rPr>
          <w:rFonts w:eastAsia="MS Mincho"/>
        </w:rPr>
        <w:t xml:space="preserve">the </w:t>
      </w:r>
      <w:r w:rsidR="007D7EF5" w:rsidRPr="007D7EF5">
        <w:rPr>
          <w:rFonts w:eastAsia="MS Mincho"/>
        </w:rPr>
        <w:t>P-4 level</w:t>
      </w:r>
      <w:r w:rsidR="003877DF">
        <w:rPr>
          <w:rFonts w:eastAsia="MS Mincho"/>
        </w:rPr>
        <w:t xml:space="preserve">, with </w:t>
      </w:r>
      <w:r w:rsidR="00975BCD">
        <w:rPr>
          <w:rFonts w:eastAsia="MS Mincho"/>
        </w:rPr>
        <w:t>a</w:t>
      </w:r>
      <w:r w:rsidR="007D7EF5" w:rsidRPr="007D7EF5">
        <w:rPr>
          <w:rFonts w:eastAsia="MS Mincho"/>
        </w:rPr>
        <w:t xml:space="preserve"> </w:t>
      </w:r>
      <w:r w:rsidR="00C03273">
        <w:rPr>
          <w:rFonts w:eastAsia="MS Mincho"/>
        </w:rPr>
        <w:br/>
      </w:r>
      <w:r w:rsidR="007D7EF5" w:rsidRPr="007D7EF5">
        <w:rPr>
          <w:rFonts w:eastAsia="MS Mincho"/>
        </w:rPr>
        <w:t xml:space="preserve">P-3 staff member leading knowledge management, </w:t>
      </w:r>
      <w:r w:rsidR="003877DF">
        <w:rPr>
          <w:rFonts w:eastAsia="MS Mincho"/>
        </w:rPr>
        <w:t>information technology</w:t>
      </w:r>
      <w:r w:rsidR="007D7EF5" w:rsidRPr="007D7EF5">
        <w:rPr>
          <w:rFonts w:eastAsia="MS Mincho"/>
        </w:rPr>
        <w:t xml:space="preserve"> services</w:t>
      </w:r>
      <w:r>
        <w:rPr>
          <w:rFonts w:eastAsia="MS Mincho"/>
        </w:rPr>
        <w:t xml:space="preserve"> and outreach to support capacity-building and technical assistance</w:t>
      </w:r>
      <w:r w:rsidR="007D7EF5" w:rsidRPr="007D7EF5">
        <w:rPr>
          <w:rFonts w:eastAsia="MS Mincho"/>
        </w:rPr>
        <w:t xml:space="preserve">. </w:t>
      </w:r>
      <w:r>
        <w:rPr>
          <w:rFonts w:eastAsia="MS Mincho"/>
        </w:rPr>
        <w:t xml:space="preserve">This option would </w:t>
      </w:r>
      <w:r w:rsidR="007D7EF5" w:rsidRPr="007D7EF5">
        <w:rPr>
          <w:rFonts w:eastAsia="MS Mincho"/>
        </w:rPr>
        <w:t xml:space="preserve">be supported by </w:t>
      </w:r>
      <w:r>
        <w:rPr>
          <w:rFonts w:eastAsia="MS Mincho"/>
        </w:rPr>
        <w:t xml:space="preserve">a total of </w:t>
      </w:r>
      <w:r w:rsidR="007D7EF5" w:rsidRPr="007D7EF5">
        <w:rPr>
          <w:rFonts w:eastAsia="MS Mincho"/>
        </w:rPr>
        <w:t xml:space="preserve">four General Service staff members. </w:t>
      </w:r>
    </w:p>
    <w:p w14:paraId="65A3B24E" w14:textId="04D877E4" w:rsidR="0051131A" w:rsidRDefault="00593548" w:rsidP="0051131A">
      <w:pPr>
        <w:pStyle w:val="CH2"/>
      </w:pPr>
      <w:r>
        <w:tab/>
        <w:t>D</w:t>
      </w:r>
      <w:r w:rsidR="0051131A">
        <w:t xml:space="preserve">. </w:t>
      </w:r>
      <w:r w:rsidR="0051131A">
        <w:tab/>
        <w:t xml:space="preserve">Draft scale of assessment for </w:t>
      </w:r>
      <w:r w:rsidR="00D91EAA">
        <w:t xml:space="preserve">the </w:t>
      </w:r>
      <w:r w:rsidR="00391F03">
        <w:t xml:space="preserve">period </w:t>
      </w:r>
      <w:r w:rsidR="0051131A">
        <w:t>2018</w:t>
      </w:r>
      <w:r w:rsidR="00D91EAA">
        <w:t>–</w:t>
      </w:r>
      <w:r w:rsidR="0051131A">
        <w:t>2019</w:t>
      </w:r>
    </w:p>
    <w:p w14:paraId="0090352F" w14:textId="446B9B4E" w:rsidR="0051131A" w:rsidRPr="00DC1244" w:rsidRDefault="0051131A">
      <w:pPr>
        <w:pStyle w:val="Normalnumber"/>
        <w:tabs>
          <w:tab w:val="clear" w:pos="624"/>
          <w:tab w:val="left" w:pos="1701"/>
        </w:tabs>
        <w:ind w:left="1247" w:hanging="1"/>
      </w:pPr>
      <w:r w:rsidRPr="0051131A">
        <w:t xml:space="preserve">According to </w:t>
      </w:r>
      <w:r w:rsidR="003877DF">
        <w:t>r</w:t>
      </w:r>
      <w:r w:rsidRPr="0051131A">
        <w:t>ule 5</w:t>
      </w:r>
      <w:r w:rsidR="00B509FF">
        <w:t xml:space="preserve"> of the draft financial r</w:t>
      </w:r>
      <w:r w:rsidRPr="0051131A">
        <w:t xml:space="preserve">ules of the </w:t>
      </w:r>
      <w:proofErr w:type="spellStart"/>
      <w:r w:rsidRPr="0051131A">
        <w:t>Minamata</w:t>
      </w:r>
      <w:proofErr w:type="spellEnd"/>
      <w:r w:rsidRPr="0051131A">
        <w:t xml:space="preserve"> Convention, the resources of the </w:t>
      </w:r>
      <w:r w:rsidR="0069588B">
        <w:t>Conference of the Parties</w:t>
      </w:r>
      <w:r w:rsidR="0069588B" w:rsidRPr="0051131A">
        <w:t xml:space="preserve"> </w:t>
      </w:r>
      <w:r w:rsidRPr="0051131A">
        <w:t xml:space="preserve">shall comprise assessed contributions based on an </w:t>
      </w:r>
      <w:r w:rsidR="00B97902" w:rsidRPr="0051131A">
        <w:t>indicat</w:t>
      </w:r>
      <w:r w:rsidR="00B97902">
        <w:t>ive</w:t>
      </w:r>
      <w:r w:rsidR="00B97902" w:rsidRPr="0051131A">
        <w:t xml:space="preserve"> </w:t>
      </w:r>
      <w:r w:rsidRPr="0051131A">
        <w:t xml:space="preserve">scale </w:t>
      </w:r>
      <w:r w:rsidRPr="00241415">
        <w:t xml:space="preserve">adopted by the </w:t>
      </w:r>
      <w:r w:rsidR="0013122B" w:rsidRPr="00F03A66">
        <w:t>Conference</w:t>
      </w:r>
      <w:r w:rsidR="0013122B">
        <w:t xml:space="preserve"> of the Parties and based on a United Nations scale of assessments</w:t>
      </w:r>
      <w:r w:rsidRPr="0051131A">
        <w:t xml:space="preserve"> adjusted so as to ensure </w:t>
      </w:r>
      <w:r w:rsidR="00404D50">
        <w:t xml:space="preserve">that </w:t>
      </w:r>
      <w:r w:rsidR="005C429F">
        <w:t xml:space="preserve">(a) </w:t>
      </w:r>
      <w:r w:rsidRPr="0051131A">
        <w:t xml:space="preserve">no </w:t>
      </w:r>
      <w:r w:rsidR="006526B0">
        <w:t>p</w:t>
      </w:r>
      <w:r w:rsidR="006526B0" w:rsidRPr="0051131A">
        <w:t xml:space="preserve">arty </w:t>
      </w:r>
      <w:r w:rsidRPr="0051131A">
        <w:t xml:space="preserve">contributes less than 0.01 per cent of the total, </w:t>
      </w:r>
      <w:r w:rsidR="005C429F">
        <w:t>(b)</w:t>
      </w:r>
      <w:r w:rsidRPr="0051131A">
        <w:t xml:space="preserve"> no contribution exceeds 22 per cent of the total</w:t>
      </w:r>
      <w:r w:rsidR="005C429F">
        <w:t>,</w:t>
      </w:r>
      <w:r w:rsidRPr="0051131A">
        <w:t xml:space="preserve"> and </w:t>
      </w:r>
      <w:r w:rsidR="005C429F">
        <w:t xml:space="preserve">(c) </w:t>
      </w:r>
      <w:r w:rsidRPr="0051131A">
        <w:t xml:space="preserve">no contribution </w:t>
      </w:r>
      <w:r w:rsidRPr="00241415">
        <w:t>from a least developed country</w:t>
      </w:r>
      <w:r w:rsidR="0013122B" w:rsidRPr="00241415">
        <w:t xml:space="preserve"> party</w:t>
      </w:r>
      <w:r w:rsidRPr="00241415">
        <w:t xml:space="preserve"> exceeds 0.01 per cent of the total. The assessed contributions for </w:t>
      </w:r>
      <w:r w:rsidR="006526B0" w:rsidRPr="00241415">
        <w:t>p</w:t>
      </w:r>
      <w:r w:rsidRPr="00241415">
        <w:t>arties are</w:t>
      </w:r>
      <w:r w:rsidR="006526B0" w:rsidRPr="00241415">
        <w:t xml:space="preserve"> and </w:t>
      </w:r>
      <w:r w:rsidRPr="00241415">
        <w:t>will</w:t>
      </w:r>
      <w:r w:rsidR="006526B0" w:rsidRPr="00241415">
        <w:t xml:space="preserve"> continue to</w:t>
      </w:r>
      <w:r w:rsidRPr="00241415">
        <w:t xml:space="preserve"> be</w:t>
      </w:r>
      <w:r w:rsidRPr="00B019DD">
        <w:t xml:space="preserve"> based on the current United Nations scale of assessments for 2016</w:t>
      </w:r>
      <w:r w:rsidR="00E010AD">
        <w:t>–</w:t>
      </w:r>
      <w:r w:rsidRPr="00B019DD">
        <w:t>2018, which was adopted by the General Assembly</w:t>
      </w:r>
      <w:r w:rsidR="00F93325">
        <w:t xml:space="preserve"> in its</w:t>
      </w:r>
      <w:r w:rsidRPr="00B019DD">
        <w:t xml:space="preserve"> resolution 70/245</w:t>
      </w:r>
      <w:r w:rsidR="006526B0">
        <w:t>.</w:t>
      </w:r>
      <w:r w:rsidRPr="00B019DD">
        <w:t xml:space="preserve"> </w:t>
      </w:r>
      <w:r w:rsidR="006526B0" w:rsidRPr="00C03273">
        <w:t xml:space="preserve">The scale of assessments has been </w:t>
      </w:r>
      <w:r w:rsidRPr="00B019DD">
        <w:t xml:space="preserve">adjusted to take account of the fact that not all </w:t>
      </w:r>
      <w:r w:rsidRPr="00C03273">
        <w:t xml:space="preserve">States </w:t>
      </w:r>
      <w:r w:rsidR="00F358B9" w:rsidRPr="00C03273">
        <w:t>Members of the United</w:t>
      </w:r>
      <w:r w:rsidR="00C03273">
        <w:t> </w:t>
      </w:r>
      <w:r w:rsidR="00F358B9" w:rsidRPr="00C03273">
        <w:t xml:space="preserve">Nations </w:t>
      </w:r>
      <w:r w:rsidRPr="00B019DD">
        <w:t xml:space="preserve">are </w:t>
      </w:r>
      <w:r w:rsidR="006526B0" w:rsidRPr="00DC1244">
        <w:t>p</w:t>
      </w:r>
      <w:r w:rsidRPr="00DC1244">
        <w:t>arties to the Convention</w:t>
      </w:r>
      <w:r w:rsidR="006526B0" w:rsidRPr="00DC1244">
        <w:t>.</w:t>
      </w:r>
    </w:p>
    <w:p w14:paraId="37550E03" w14:textId="5F6FD79E" w:rsidR="0051131A" w:rsidRPr="00B019DD" w:rsidRDefault="00062993" w:rsidP="0091766C">
      <w:pPr>
        <w:pStyle w:val="Normalnumber"/>
        <w:tabs>
          <w:tab w:val="clear" w:pos="624"/>
          <w:tab w:val="left" w:pos="1701"/>
        </w:tabs>
        <w:ind w:left="1247" w:hanging="1"/>
      </w:pPr>
      <w:r w:rsidRPr="00DC1244">
        <w:t xml:space="preserve">The </w:t>
      </w:r>
      <w:r w:rsidRPr="006648D0">
        <w:t>i</w:t>
      </w:r>
      <w:r w:rsidR="0051131A" w:rsidRPr="006648D0">
        <w:t>ndicative scale</w:t>
      </w:r>
      <w:r w:rsidR="0051131A" w:rsidRPr="00DC1244">
        <w:t xml:space="preserve"> of assessment</w:t>
      </w:r>
      <w:r w:rsidR="00DC1244" w:rsidRPr="00DC1244">
        <w:t>s and</w:t>
      </w:r>
      <w:r w:rsidR="00B019DD" w:rsidRPr="00DC1244">
        <w:t xml:space="preserve"> </w:t>
      </w:r>
      <w:r w:rsidR="00DC1244" w:rsidRPr="00DD3E2E">
        <w:t>the annual assessed contributions of each</w:t>
      </w:r>
      <w:r w:rsidR="00DC1244" w:rsidRPr="00DC1244">
        <w:t xml:space="preserve"> party are set out in </w:t>
      </w:r>
      <w:r w:rsidR="00F358B9">
        <w:t xml:space="preserve">the third </w:t>
      </w:r>
      <w:r w:rsidR="00F93325" w:rsidRPr="00DC1244">
        <w:t xml:space="preserve">addendum </w:t>
      </w:r>
      <w:r w:rsidR="008D78ED" w:rsidRPr="00DC1244">
        <w:t>to the present note (</w:t>
      </w:r>
      <w:r w:rsidRPr="00CE6C41">
        <w:t>UNEP/MC/COP.1/21/</w:t>
      </w:r>
      <w:r w:rsidR="00593548" w:rsidRPr="00CE6C41">
        <w:t>Add.3</w:t>
      </w:r>
      <w:r w:rsidR="008D78ED" w:rsidRPr="00DC1244">
        <w:t>)</w:t>
      </w:r>
      <w:r w:rsidR="00365AD8">
        <w:t>.</w:t>
      </w:r>
      <w:r w:rsidR="00F358B9">
        <w:t xml:space="preserve"> </w:t>
      </w:r>
      <w:r w:rsidR="0051131A" w:rsidRPr="00B019DD">
        <w:t>A</w:t>
      </w:r>
      <w:r w:rsidR="004A5D3A">
        <w:t>s</w:t>
      </w:r>
      <w:r w:rsidR="0051131A" w:rsidRPr="00B019DD">
        <w:t xml:space="preserve"> </w:t>
      </w:r>
      <w:r w:rsidR="004A5D3A">
        <w:t xml:space="preserve">at </w:t>
      </w:r>
      <w:r w:rsidR="0051131A" w:rsidRPr="00B019DD">
        <w:t xml:space="preserve">1 July 2017, the last day of the deposit of ratification instruments to be a </w:t>
      </w:r>
      <w:r w:rsidR="004A5D3A">
        <w:t>p</w:t>
      </w:r>
      <w:r w:rsidR="0051131A" w:rsidRPr="00B019DD">
        <w:t xml:space="preserve">arty at the time of the </w:t>
      </w:r>
      <w:r w:rsidR="004A5D3A">
        <w:t>f</w:t>
      </w:r>
      <w:r w:rsidR="0051131A" w:rsidRPr="00B019DD">
        <w:t xml:space="preserve">irst </w:t>
      </w:r>
      <w:r w:rsidR="004A5D3A">
        <w:t xml:space="preserve">meeting of the </w:t>
      </w:r>
      <w:r w:rsidR="0051131A" w:rsidRPr="00B019DD">
        <w:t xml:space="preserve">Conference, </w:t>
      </w:r>
      <w:r w:rsidR="006853F2">
        <w:t>70</w:t>
      </w:r>
      <w:r w:rsidR="0051131A" w:rsidRPr="00B019DD">
        <w:t xml:space="preserve"> </w:t>
      </w:r>
      <w:r w:rsidR="004A5D3A">
        <w:t>f</w:t>
      </w:r>
      <w:r w:rsidR="0051131A" w:rsidRPr="00B019DD">
        <w:t xml:space="preserve">uture </w:t>
      </w:r>
      <w:r w:rsidR="00DC1244">
        <w:t>p</w:t>
      </w:r>
      <w:r w:rsidR="0051131A" w:rsidRPr="00B019DD">
        <w:t xml:space="preserve">arties </w:t>
      </w:r>
      <w:r w:rsidR="00B019DD" w:rsidRPr="00B019DD">
        <w:t>had d</w:t>
      </w:r>
      <w:r>
        <w:t xml:space="preserve">eposited their instruments. </w:t>
      </w:r>
      <w:r w:rsidR="0091766C">
        <w:t xml:space="preserve">As at 24 August, 74 countries have deposited their instruments of ratification and will be </w:t>
      </w:r>
      <w:r w:rsidR="00A216AF">
        <w:t>p</w:t>
      </w:r>
      <w:r w:rsidR="0091766C">
        <w:t xml:space="preserve">arties by the time the budget for </w:t>
      </w:r>
      <w:r w:rsidR="00A216AF">
        <w:t xml:space="preserve">the biennium </w:t>
      </w:r>
      <w:r w:rsidR="0091766C">
        <w:t>2018</w:t>
      </w:r>
      <w:r w:rsidR="00A216AF">
        <w:t>–</w:t>
      </w:r>
      <w:r w:rsidR="0091766C">
        <w:t xml:space="preserve">2019 comes into effect. The calculations in </w:t>
      </w:r>
      <w:r w:rsidR="00A216AF">
        <w:t>a</w:t>
      </w:r>
      <w:r w:rsidR="0091766C">
        <w:t xml:space="preserve">ddendum 3 </w:t>
      </w:r>
      <w:r w:rsidR="00A216AF">
        <w:t xml:space="preserve">to the present note </w:t>
      </w:r>
      <w:r w:rsidR="0091766C">
        <w:t xml:space="preserve">are </w:t>
      </w:r>
      <w:r w:rsidR="00A216AF">
        <w:t>therefore</w:t>
      </w:r>
      <w:r w:rsidR="0091766C">
        <w:t xml:space="preserve"> based on 74 parties. </w:t>
      </w:r>
      <w:r w:rsidR="00877034">
        <w:t xml:space="preserve">A </w:t>
      </w:r>
      <w:r>
        <w:t>revision of th</w:t>
      </w:r>
      <w:r w:rsidR="004A5D3A">
        <w:t>e</w:t>
      </w:r>
      <w:r>
        <w:t xml:space="preserve"> addendum will be prepared s</w:t>
      </w:r>
      <w:r w:rsidR="00B019DD" w:rsidRPr="00B019DD">
        <w:t xml:space="preserve">hortly </w:t>
      </w:r>
      <w:r w:rsidR="0051131A" w:rsidRPr="00B019DD">
        <w:t xml:space="preserve">before the first </w:t>
      </w:r>
      <w:r w:rsidR="00B019DD" w:rsidRPr="00B019DD">
        <w:t xml:space="preserve">meeting of the </w:t>
      </w:r>
      <w:r w:rsidR="0051131A" w:rsidRPr="00B019DD">
        <w:t xml:space="preserve">Conference </w:t>
      </w:r>
      <w:r w:rsidR="00A216AF">
        <w:t xml:space="preserve">of the Parties </w:t>
      </w:r>
      <w:r w:rsidR="0091766C">
        <w:t xml:space="preserve">as an update. </w:t>
      </w:r>
      <w:r w:rsidR="00B019DD" w:rsidRPr="00B019DD">
        <w:t xml:space="preserve">The list will continue to be updated as States deposit their </w:t>
      </w:r>
      <w:r w:rsidR="006853F2">
        <w:t>instruments</w:t>
      </w:r>
      <w:r w:rsidR="00B019DD" w:rsidRPr="00B019DD">
        <w:t>.</w:t>
      </w:r>
    </w:p>
    <w:p w14:paraId="30FEAF69" w14:textId="52BF697D" w:rsidR="00B019DD" w:rsidRPr="00DD663A" w:rsidRDefault="00593548" w:rsidP="00B019DD">
      <w:pPr>
        <w:pStyle w:val="CH2"/>
      </w:pPr>
      <w:r>
        <w:tab/>
      </w:r>
      <w:r w:rsidRPr="00DD663A">
        <w:t>E</w:t>
      </w:r>
      <w:r w:rsidR="00B019DD" w:rsidRPr="00DD663A">
        <w:t xml:space="preserve">. </w:t>
      </w:r>
      <w:r w:rsidR="00B019DD" w:rsidRPr="00DD663A">
        <w:tab/>
        <w:t xml:space="preserve">IPSAS and </w:t>
      </w:r>
      <w:proofErr w:type="spellStart"/>
      <w:r w:rsidR="00B019DD" w:rsidRPr="00DD663A">
        <w:t>Umoja</w:t>
      </w:r>
      <w:proofErr w:type="spellEnd"/>
      <w:r w:rsidR="00B019DD" w:rsidRPr="00DD663A">
        <w:t xml:space="preserve"> implementation in the </w:t>
      </w:r>
      <w:r w:rsidR="00811F80">
        <w:t xml:space="preserve">United Nations </w:t>
      </w:r>
      <w:r w:rsidR="00B019DD" w:rsidRPr="00DD663A">
        <w:t>Secretariat</w:t>
      </w:r>
      <w:r w:rsidR="00DD663A">
        <w:t xml:space="preserve"> </w:t>
      </w:r>
      <w:r w:rsidR="00B019DD" w:rsidRPr="00DD663A">
        <w:t xml:space="preserve">and </w:t>
      </w:r>
      <w:r w:rsidR="00D91EAA" w:rsidRPr="00DD663A">
        <w:t>UNEP</w:t>
      </w:r>
    </w:p>
    <w:p w14:paraId="1474AE52" w14:textId="60AFB51E" w:rsidR="00B019DD" w:rsidRPr="00DD663A" w:rsidRDefault="00B019DD">
      <w:pPr>
        <w:pStyle w:val="Normalnumber"/>
        <w:tabs>
          <w:tab w:val="clear" w:pos="624"/>
          <w:tab w:val="left" w:pos="1701"/>
        </w:tabs>
        <w:ind w:left="1247" w:hanging="1"/>
      </w:pPr>
      <w:r w:rsidRPr="00DD663A">
        <w:t xml:space="preserve">IPSAS </w:t>
      </w:r>
      <w:r w:rsidR="008D78ED" w:rsidRPr="00DD663A">
        <w:t>is</w:t>
      </w:r>
      <w:r w:rsidRPr="00DD663A">
        <w:t xml:space="preserve"> a set of accounting principles and standards that are recommended as best practice in the preparation of financial statements for publi</w:t>
      </w:r>
      <w:r w:rsidR="00877034" w:rsidRPr="00DD663A">
        <w:t>c sector entities. Following the</w:t>
      </w:r>
      <w:r w:rsidRPr="00DD663A">
        <w:t xml:space="preserve"> </w:t>
      </w:r>
      <w:r w:rsidR="00D91EAA" w:rsidRPr="00DD663A">
        <w:t xml:space="preserve">adoption of IPSAS by </w:t>
      </w:r>
      <w:r w:rsidR="008D78ED" w:rsidRPr="00DD663A">
        <w:t>the</w:t>
      </w:r>
      <w:r w:rsidR="00D91EAA" w:rsidRPr="00DD663A">
        <w:t xml:space="preserve"> </w:t>
      </w:r>
      <w:r w:rsidRPr="00DD663A">
        <w:t xml:space="preserve">General Assembly </w:t>
      </w:r>
      <w:r w:rsidR="008D78ED" w:rsidRPr="00DD663A">
        <w:t>(</w:t>
      </w:r>
      <w:r w:rsidR="00F77136">
        <w:t xml:space="preserve">United Nations </w:t>
      </w:r>
      <w:r w:rsidR="00F77136" w:rsidRPr="00DD663A">
        <w:t xml:space="preserve">General Assembly </w:t>
      </w:r>
      <w:r w:rsidRPr="00DD663A">
        <w:t xml:space="preserve">resolution </w:t>
      </w:r>
      <w:r w:rsidR="00D91EAA" w:rsidRPr="00DD663A">
        <w:t>60/283</w:t>
      </w:r>
      <w:r w:rsidR="008D78ED" w:rsidRPr="00DD663A">
        <w:t>)</w:t>
      </w:r>
      <w:r w:rsidRPr="00DD663A">
        <w:t>, the United Nations gradually implement</w:t>
      </w:r>
      <w:r w:rsidR="00E142AC">
        <w:t>ed</w:t>
      </w:r>
      <w:r w:rsidRPr="00DD663A">
        <w:t xml:space="preserve"> th</w:t>
      </w:r>
      <w:r w:rsidR="005C429F" w:rsidRPr="00DD663A">
        <w:t>ose</w:t>
      </w:r>
      <w:r w:rsidRPr="00DD663A">
        <w:t xml:space="preserve"> new standards. </w:t>
      </w:r>
      <w:r w:rsidR="00E142AC">
        <w:t>T</w:t>
      </w:r>
      <w:r w:rsidRPr="00DD663A">
        <w:t xml:space="preserve">he </w:t>
      </w:r>
      <w:r w:rsidR="00F77136">
        <w:t xml:space="preserve">United Nations </w:t>
      </w:r>
      <w:r w:rsidRPr="00DD663A">
        <w:t xml:space="preserve">Secretariat and </w:t>
      </w:r>
      <w:r w:rsidR="00D91EAA" w:rsidRPr="00DD663A">
        <w:t>UNEP</w:t>
      </w:r>
      <w:r w:rsidRPr="00DD663A">
        <w:t xml:space="preserve"> adopted IPSAS</w:t>
      </w:r>
      <w:r w:rsidR="00E142AC">
        <w:t xml:space="preserve"> </w:t>
      </w:r>
      <w:r w:rsidR="009C04EE">
        <w:t xml:space="preserve">with effect </w:t>
      </w:r>
      <w:r w:rsidR="00E142AC">
        <w:t xml:space="preserve">from </w:t>
      </w:r>
      <w:r w:rsidR="00E142AC" w:rsidRPr="00DD663A">
        <w:t>1</w:t>
      </w:r>
      <w:r w:rsidR="00112540">
        <w:t> </w:t>
      </w:r>
      <w:r w:rsidR="00E142AC" w:rsidRPr="00DD663A">
        <w:t>January 2014</w:t>
      </w:r>
      <w:r w:rsidRPr="00DD663A">
        <w:t xml:space="preserve">. </w:t>
      </w:r>
    </w:p>
    <w:p w14:paraId="57D1727D" w14:textId="081F1265" w:rsidR="0009539A" w:rsidRDefault="00B019DD" w:rsidP="008D78ED">
      <w:pPr>
        <w:pStyle w:val="Normalnumber"/>
        <w:tabs>
          <w:tab w:val="clear" w:pos="624"/>
          <w:tab w:val="left" w:pos="1701"/>
        </w:tabs>
        <w:ind w:left="1247" w:hanging="1"/>
      </w:pPr>
      <w:r w:rsidRPr="00DD663A">
        <w:t>In 2015</w:t>
      </w:r>
      <w:r w:rsidR="005C429F" w:rsidRPr="00DD663A">
        <w:t>,</w:t>
      </w:r>
      <w:r w:rsidRPr="00DD663A">
        <w:t xml:space="preserve"> the </w:t>
      </w:r>
      <w:r w:rsidR="00996F19">
        <w:t xml:space="preserve">United Nations </w:t>
      </w:r>
      <w:r w:rsidRPr="00DD663A">
        <w:t xml:space="preserve">Secretariat, as part of </w:t>
      </w:r>
      <w:r w:rsidR="00D91EAA" w:rsidRPr="00DD663A">
        <w:t xml:space="preserve">a </w:t>
      </w:r>
      <w:r w:rsidRPr="00DD663A">
        <w:t>major administrative reform</w:t>
      </w:r>
      <w:r w:rsidR="008D78ED" w:rsidRPr="00DD663A">
        <w:t xml:space="preserve"> effort</w:t>
      </w:r>
      <w:r w:rsidRPr="00DD663A">
        <w:t>, introduced</w:t>
      </w:r>
      <w:r w:rsidRPr="008162A1">
        <w:t xml:space="preserve"> a new </w:t>
      </w:r>
      <w:r w:rsidR="00FC436B">
        <w:t>e</w:t>
      </w:r>
      <w:r w:rsidRPr="008162A1">
        <w:t xml:space="preserve">nterprise </w:t>
      </w:r>
      <w:r w:rsidR="00FC436B">
        <w:t>r</w:t>
      </w:r>
      <w:r w:rsidRPr="008162A1">
        <w:t xml:space="preserve">esource </w:t>
      </w:r>
      <w:r w:rsidR="00FC436B">
        <w:t>p</w:t>
      </w:r>
      <w:r w:rsidRPr="008162A1">
        <w:t xml:space="preserve">lanning </w:t>
      </w:r>
      <w:r w:rsidR="00FC436B">
        <w:t>s</w:t>
      </w:r>
      <w:r w:rsidRPr="008162A1">
        <w:t>ystem</w:t>
      </w:r>
      <w:r w:rsidR="008D78ED">
        <w:t>,</w:t>
      </w:r>
      <w:r w:rsidRPr="008162A1">
        <w:t xml:space="preserve"> </w:t>
      </w:r>
      <w:proofErr w:type="spellStart"/>
      <w:r w:rsidRPr="008162A1">
        <w:t>Umoja</w:t>
      </w:r>
      <w:proofErr w:type="spellEnd"/>
      <w:r w:rsidR="008D78ED">
        <w:t xml:space="preserve">, which </w:t>
      </w:r>
      <w:r w:rsidRPr="008162A1">
        <w:t xml:space="preserve">provides a simplified and </w:t>
      </w:r>
      <w:r w:rsidR="00C03273">
        <w:br/>
      </w:r>
      <w:r w:rsidRPr="008162A1">
        <w:t xml:space="preserve">real-time approach to the </w:t>
      </w:r>
      <w:r w:rsidR="00996F19">
        <w:t xml:space="preserve">United Nations </w:t>
      </w:r>
      <w:r w:rsidRPr="008162A1">
        <w:t xml:space="preserve">Secretariat’s management of finances, resources and assets. </w:t>
      </w:r>
      <w:proofErr w:type="spellStart"/>
      <w:r w:rsidRPr="008162A1">
        <w:t>Umoja</w:t>
      </w:r>
      <w:proofErr w:type="spellEnd"/>
      <w:r w:rsidRPr="008162A1">
        <w:t xml:space="preserve"> is designed to support IPSAS and as such is fully compliant with </w:t>
      </w:r>
      <w:r w:rsidR="00FC436B">
        <w:t>it</w:t>
      </w:r>
      <w:r w:rsidRPr="008162A1">
        <w:t xml:space="preserve">. </w:t>
      </w:r>
      <w:r w:rsidR="00FC436B">
        <w:t>UNEP</w:t>
      </w:r>
      <w:r w:rsidRPr="008162A1">
        <w:t xml:space="preserve"> began </w:t>
      </w:r>
      <w:r w:rsidR="00FC436B">
        <w:t>its</w:t>
      </w:r>
      <w:r w:rsidRPr="008162A1">
        <w:t xml:space="preserve"> implement</w:t>
      </w:r>
      <w:r w:rsidR="00FC436B">
        <w:t>ation of</w:t>
      </w:r>
      <w:r w:rsidRPr="008162A1">
        <w:t xml:space="preserve"> </w:t>
      </w:r>
      <w:proofErr w:type="spellStart"/>
      <w:r w:rsidRPr="008162A1">
        <w:t>Umoja</w:t>
      </w:r>
      <w:proofErr w:type="spellEnd"/>
      <w:r w:rsidRPr="008162A1">
        <w:t xml:space="preserve"> on 1 June</w:t>
      </w:r>
      <w:r>
        <w:t xml:space="preserve"> 2015. </w:t>
      </w:r>
    </w:p>
    <w:p w14:paraId="7E15E092" w14:textId="117A94A7" w:rsidR="000B08F0" w:rsidRDefault="000B08F0" w:rsidP="00972D3B">
      <w:pPr>
        <w:pStyle w:val="Normalnumber"/>
        <w:tabs>
          <w:tab w:val="clear" w:pos="624"/>
          <w:tab w:val="left" w:pos="1701"/>
        </w:tabs>
        <w:ind w:left="1247" w:hanging="1"/>
      </w:pPr>
      <w:r w:rsidRPr="000B08F0">
        <w:t xml:space="preserve">The </w:t>
      </w:r>
      <w:r w:rsidR="00FC436B">
        <w:t>s</w:t>
      </w:r>
      <w:r w:rsidRPr="000B08F0">
        <w:t xml:space="preserve">ecretariat of the </w:t>
      </w:r>
      <w:proofErr w:type="spellStart"/>
      <w:r w:rsidRPr="000B08F0">
        <w:t>Minamata</w:t>
      </w:r>
      <w:proofErr w:type="spellEnd"/>
      <w:r w:rsidRPr="000B08F0">
        <w:t xml:space="preserve"> Convention, as part of </w:t>
      </w:r>
      <w:r w:rsidR="00FC436B">
        <w:t>UNEP</w:t>
      </w:r>
      <w:r w:rsidRPr="000B08F0">
        <w:t xml:space="preserve">, will process its financial activities in </w:t>
      </w:r>
      <w:proofErr w:type="spellStart"/>
      <w:r w:rsidRPr="000B08F0">
        <w:t>Umoja</w:t>
      </w:r>
      <w:proofErr w:type="spellEnd"/>
      <w:r w:rsidRPr="000B08F0">
        <w:t xml:space="preserve"> and will be IPSAS</w:t>
      </w:r>
      <w:r w:rsidR="00FC436B">
        <w:t>-</w:t>
      </w:r>
      <w:r w:rsidRPr="000B08F0">
        <w:t>compliant</w:t>
      </w:r>
      <w:r w:rsidR="00FC436B">
        <w:t>.</w:t>
      </w:r>
    </w:p>
    <w:p w14:paraId="1F4A7BB8" w14:textId="4FC42F3E" w:rsidR="000B08F0" w:rsidRPr="00DC1244" w:rsidRDefault="00FC436B" w:rsidP="00FE125F">
      <w:pPr>
        <w:pStyle w:val="Normalnumber"/>
        <w:tabs>
          <w:tab w:val="clear" w:pos="624"/>
          <w:tab w:val="left" w:pos="1701"/>
        </w:tabs>
        <w:ind w:left="1247" w:hanging="1"/>
      </w:pPr>
      <w:r>
        <w:t xml:space="preserve">It should be </w:t>
      </w:r>
      <w:r w:rsidR="000B08F0" w:rsidRPr="008162A1">
        <w:t>note</w:t>
      </w:r>
      <w:r>
        <w:t>d</w:t>
      </w:r>
      <w:r w:rsidR="000B08F0" w:rsidRPr="008162A1">
        <w:t xml:space="preserve"> that IPSAS is based on accrual accounting in line with </w:t>
      </w:r>
      <w:r w:rsidRPr="000B5CC0">
        <w:t>g</w:t>
      </w:r>
      <w:r w:rsidR="000B08F0" w:rsidRPr="00996F19">
        <w:t xml:space="preserve">enerally </w:t>
      </w:r>
      <w:r w:rsidRPr="00996F19">
        <w:t>a</w:t>
      </w:r>
      <w:r w:rsidR="000B08F0" w:rsidRPr="00996F19">
        <w:t xml:space="preserve">ccepted </w:t>
      </w:r>
      <w:r w:rsidRPr="00996F19">
        <w:t>a</w:t>
      </w:r>
      <w:r w:rsidR="000B08F0" w:rsidRPr="00996F19">
        <w:t xml:space="preserve">ccounting </w:t>
      </w:r>
      <w:r w:rsidRPr="00996F19">
        <w:t>principles</w:t>
      </w:r>
      <w:r w:rsidR="000B08F0" w:rsidRPr="00996F19">
        <w:t xml:space="preserve"> </w:t>
      </w:r>
      <w:r w:rsidR="000B08F0" w:rsidRPr="008162A1">
        <w:t>and</w:t>
      </w:r>
      <w:r w:rsidR="00996F19">
        <w:t xml:space="preserve"> i</w:t>
      </w:r>
      <w:r w:rsidR="000B08F0" w:rsidRPr="008162A1">
        <w:t xml:space="preserve">nternational </w:t>
      </w:r>
      <w:r w:rsidR="00996F19">
        <w:t>f</w:t>
      </w:r>
      <w:r w:rsidR="000B08F0" w:rsidRPr="008162A1">
        <w:t xml:space="preserve">inancial </w:t>
      </w:r>
      <w:r w:rsidR="00996F19">
        <w:t>r</w:t>
      </w:r>
      <w:r w:rsidR="000B08F0" w:rsidRPr="008162A1">
        <w:t xml:space="preserve">eporting </w:t>
      </w:r>
      <w:r w:rsidR="00996F19">
        <w:t>s</w:t>
      </w:r>
      <w:r w:rsidR="000B08F0" w:rsidRPr="008162A1">
        <w:t xml:space="preserve">tandards. </w:t>
      </w:r>
      <w:r w:rsidR="000B08F0" w:rsidRPr="00FE125F">
        <w:t>This will allow</w:t>
      </w:r>
      <w:r w:rsidR="000B08F0" w:rsidRPr="008162A1">
        <w:t xml:space="preserve"> </w:t>
      </w:r>
      <w:r w:rsidR="007540C0">
        <w:t xml:space="preserve">for </w:t>
      </w:r>
      <w:r w:rsidR="00C03273">
        <w:br/>
      </w:r>
      <w:r w:rsidR="000B08F0" w:rsidRPr="008162A1">
        <w:t>better</w:t>
      </w:r>
      <w:r w:rsidR="007540C0">
        <w:t>-</w:t>
      </w:r>
      <w:r w:rsidR="000B08F0" w:rsidRPr="008162A1">
        <w:t xml:space="preserve">informed assessments of resource allocation decisions than the previous system used by the </w:t>
      </w:r>
      <w:r w:rsidR="00996F19">
        <w:t xml:space="preserve">United Nations </w:t>
      </w:r>
      <w:r w:rsidR="000B08F0" w:rsidRPr="008162A1">
        <w:t xml:space="preserve">Secretariat. IPSAS-based financial information provides full </w:t>
      </w:r>
      <w:r w:rsidR="000B08F0" w:rsidRPr="00241415">
        <w:t>disclosure on the resources of the organi</w:t>
      </w:r>
      <w:r w:rsidR="007540C0" w:rsidRPr="00241415">
        <w:t>zation</w:t>
      </w:r>
      <w:r w:rsidR="000B08F0" w:rsidRPr="00241415">
        <w:t xml:space="preserve"> and its future obligations. Based on IPSAS, </w:t>
      </w:r>
      <w:proofErr w:type="spellStart"/>
      <w:r w:rsidR="000B08F0" w:rsidRPr="00241415">
        <w:t>Umoja</w:t>
      </w:r>
      <w:proofErr w:type="spellEnd"/>
      <w:r w:rsidR="000B08F0" w:rsidRPr="00241415">
        <w:t xml:space="preserve"> enforces a stringent liquidity management regime</w:t>
      </w:r>
      <w:r w:rsidR="00D463B0" w:rsidRPr="00241415">
        <w:t>, which</w:t>
      </w:r>
      <w:r w:rsidR="000B08F0" w:rsidRPr="00241415">
        <w:t xml:space="preserve"> applies to </w:t>
      </w:r>
      <w:r w:rsidR="00071705" w:rsidRPr="00241415">
        <w:t xml:space="preserve">both </w:t>
      </w:r>
      <w:r w:rsidR="000B08F0" w:rsidRPr="00241415">
        <w:t xml:space="preserve">assessed </w:t>
      </w:r>
      <w:r w:rsidR="007540C0" w:rsidRPr="00241415">
        <w:t xml:space="preserve">and voluntary </w:t>
      </w:r>
      <w:r w:rsidR="000B08F0" w:rsidRPr="00241415">
        <w:t>contributions. Funds</w:t>
      </w:r>
      <w:r w:rsidR="000B08F0" w:rsidRPr="004E6106">
        <w:t xml:space="preserve"> may only be disbursed </w:t>
      </w:r>
      <w:r w:rsidR="007540C0">
        <w:t>once they are</w:t>
      </w:r>
      <w:r w:rsidR="000B08F0" w:rsidRPr="004E6106">
        <w:t xml:space="preserve"> available </w:t>
      </w:r>
      <w:r w:rsidR="007540C0">
        <w:t xml:space="preserve">as cash </w:t>
      </w:r>
      <w:r w:rsidR="00BA2898">
        <w:t>i</w:t>
      </w:r>
      <w:r w:rsidR="00BA2898" w:rsidRPr="004E6106">
        <w:t xml:space="preserve">n </w:t>
      </w:r>
      <w:r w:rsidR="000B08F0" w:rsidRPr="004E6106">
        <w:t xml:space="preserve">hand. </w:t>
      </w:r>
      <w:r w:rsidR="000B08F0">
        <w:t xml:space="preserve">The commencement of project implementation is therefore directly linked to the </w:t>
      </w:r>
      <w:r w:rsidR="000B08F0" w:rsidRPr="00DC1244">
        <w:t>transfer of pledged contributions.</w:t>
      </w:r>
      <w:r w:rsidR="000B08F0" w:rsidRPr="00DC1244">
        <w:rPr>
          <w:color w:val="00B050"/>
        </w:rPr>
        <w:t xml:space="preserve"> </w:t>
      </w:r>
      <w:r w:rsidR="000B08F0" w:rsidRPr="00DC1244">
        <w:t>As such</w:t>
      </w:r>
      <w:r w:rsidR="00D463B0" w:rsidRPr="00DC1244">
        <w:t>,</w:t>
      </w:r>
      <w:r w:rsidR="000B08F0" w:rsidRPr="00DC1244">
        <w:t xml:space="preserve"> the Conference of the Parties to the </w:t>
      </w:r>
      <w:proofErr w:type="spellStart"/>
      <w:r w:rsidR="000B08F0" w:rsidRPr="00DC1244">
        <w:t>Minamata</w:t>
      </w:r>
      <w:proofErr w:type="spellEnd"/>
      <w:r w:rsidR="000B08F0" w:rsidRPr="00DC1244">
        <w:t xml:space="preserve"> Convention will need to take careful note of </w:t>
      </w:r>
      <w:r w:rsidR="007540C0" w:rsidRPr="00DC1244">
        <w:t xml:space="preserve">both </w:t>
      </w:r>
      <w:r w:rsidR="000B08F0" w:rsidRPr="00DC1244">
        <w:t xml:space="preserve">the level of contributions </w:t>
      </w:r>
      <w:r w:rsidR="007540C0" w:rsidRPr="00DC1244">
        <w:t xml:space="preserve">and </w:t>
      </w:r>
      <w:r w:rsidR="000B08F0" w:rsidRPr="00DC1244">
        <w:t>the</w:t>
      </w:r>
      <w:r w:rsidR="007540C0" w:rsidRPr="00DC1244">
        <w:t>ir</w:t>
      </w:r>
      <w:r w:rsidR="000B08F0" w:rsidRPr="00DC1244">
        <w:t xml:space="preserve"> timing </w:t>
      </w:r>
      <w:r w:rsidR="007540C0" w:rsidRPr="00DC1244">
        <w:t>in order to ensure</w:t>
      </w:r>
      <w:r w:rsidR="000B08F0" w:rsidRPr="00DC1244">
        <w:t xml:space="preserve"> the effective functioning of the secretariat. According to </w:t>
      </w:r>
      <w:r w:rsidR="00D463B0" w:rsidRPr="00DD3E2E">
        <w:t>r</w:t>
      </w:r>
      <w:r w:rsidR="000B08F0" w:rsidRPr="00DC1244">
        <w:t>ule 5</w:t>
      </w:r>
      <w:r w:rsidR="00B246B0" w:rsidRPr="00DC1244">
        <w:t xml:space="preserve"> of the draft financial rules of the Convention</w:t>
      </w:r>
      <w:r w:rsidR="00643EB1" w:rsidRPr="00DC1244">
        <w:t>,</w:t>
      </w:r>
      <w:r w:rsidR="000B08F0" w:rsidRPr="00DC1244">
        <w:t xml:space="preserve"> contributions for each calendar year </w:t>
      </w:r>
      <w:r w:rsidR="00D463B0" w:rsidRPr="00DD3E2E">
        <w:t xml:space="preserve">are expected to be received </w:t>
      </w:r>
      <w:r w:rsidR="000B08F0" w:rsidRPr="00DC1244">
        <w:t xml:space="preserve">by 1 January of that year. All contributions are to be paid in United States dollars or the equivalent in a convertible currency. </w:t>
      </w:r>
    </w:p>
    <w:p w14:paraId="39FC939E" w14:textId="5E724E7C" w:rsidR="000B08F0" w:rsidRDefault="000B08F0" w:rsidP="00972D3B">
      <w:pPr>
        <w:pStyle w:val="Normalnumber"/>
        <w:tabs>
          <w:tab w:val="clear" w:pos="624"/>
          <w:tab w:val="left" w:pos="1701"/>
        </w:tabs>
        <w:ind w:left="1247" w:hanging="1"/>
      </w:pPr>
      <w:r w:rsidRPr="00DC1244">
        <w:t xml:space="preserve">Furthermore, in view of the stringent liquidity management regime, the United Nations Board of Auditors </w:t>
      </w:r>
      <w:r w:rsidR="00071705">
        <w:t xml:space="preserve">has </w:t>
      </w:r>
      <w:r w:rsidRPr="00DC1244">
        <w:t>recommended</w:t>
      </w:r>
      <w:r w:rsidRPr="008162A1">
        <w:t xml:space="preserve"> that all </w:t>
      </w:r>
      <w:r w:rsidR="00643EB1">
        <w:t>m</w:t>
      </w:r>
      <w:r w:rsidRPr="008162A1">
        <w:t xml:space="preserve">ultilateral </w:t>
      </w:r>
      <w:r w:rsidR="00643EB1">
        <w:t>e</w:t>
      </w:r>
      <w:r w:rsidRPr="008162A1">
        <w:t xml:space="preserve">nvironmental </w:t>
      </w:r>
      <w:r w:rsidR="00643EB1">
        <w:t>a</w:t>
      </w:r>
      <w:r w:rsidRPr="008162A1">
        <w:t xml:space="preserve">greements, </w:t>
      </w:r>
      <w:r w:rsidR="00643EB1">
        <w:t>c</w:t>
      </w:r>
      <w:r w:rsidRPr="008162A1">
        <w:t xml:space="preserve">onventions and </w:t>
      </w:r>
      <w:r w:rsidR="00B745EE">
        <w:t>r</w:t>
      </w:r>
      <w:r w:rsidRPr="008162A1">
        <w:t xml:space="preserve">egional </w:t>
      </w:r>
      <w:r w:rsidR="00B745EE">
        <w:t>s</w:t>
      </w:r>
      <w:r w:rsidRPr="008162A1">
        <w:t>ea</w:t>
      </w:r>
      <w:r w:rsidR="000B5CC0">
        <w:t>s</w:t>
      </w:r>
      <w:r w:rsidR="00A84056">
        <w:t xml:space="preserve"> </w:t>
      </w:r>
      <w:r w:rsidR="00B745EE">
        <w:t>c</w:t>
      </w:r>
      <w:r w:rsidR="00A84056">
        <w:t xml:space="preserve">onvention </w:t>
      </w:r>
      <w:r w:rsidR="00643EB1">
        <w:t>p</w:t>
      </w:r>
      <w:r w:rsidR="00A84056">
        <w:t>rogrammes</w:t>
      </w:r>
      <w:r w:rsidRPr="008162A1">
        <w:t xml:space="preserve"> </w:t>
      </w:r>
      <w:r w:rsidR="00071705">
        <w:t xml:space="preserve">should </w:t>
      </w:r>
      <w:r w:rsidRPr="00DB3A2C">
        <w:t xml:space="preserve">establish a funded operative reserve </w:t>
      </w:r>
      <w:r w:rsidR="00B246B0">
        <w:t>(</w:t>
      </w:r>
      <w:r>
        <w:t>working capital reserve</w:t>
      </w:r>
      <w:r w:rsidR="00B246B0">
        <w:t>)</w:t>
      </w:r>
      <w:r>
        <w:t xml:space="preserve"> of 15 per cent,</w:t>
      </w:r>
      <w:r w:rsidRPr="00DB3A2C">
        <w:t xml:space="preserve"> to</w:t>
      </w:r>
      <w:r w:rsidRPr="008162A1">
        <w:t xml:space="preserve"> cushion uneven cash flows </w:t>
      </w:r>
      <w:r w:rsidR="00B246B0">
        <w:t xml:space="preserve">and </w:t>
      </w:r>
      <w:r w:rsidRPr="008162A1">
        <w:t>unanticipated programme budget fluctuations, within limited thresholds set by the governing bodies.</w:t>
      </w:r>
      <w:r>
        <w:t xml:space="preserve"> The working reserve for the </w:t>
      </w:r>
      <w:proofErr w:type="spellStart"/>
      <w:r>
        <w:t>Minamata</w:t>
      </w:r>
      <w:proofErr w:type="spellEnd"/>
      <w:r>
        <w:t xml:space="preserve"> Convention will need to be </w:t>
      </w:r>
      <w:r w:rsidR="00B246B0">
        <w:t>built up</w:t>
      </w:r>
      <w:r w:rsidR="005114AD">
        <w:t>. It can be done</w:t>
      </w:r>
      <w:r>
        <w:t xml:space="preserve"> on an incremental basis and</w:t>
      </w:r>
      <w:r w:rsidR="005114AD">
        <w:t xml:space="preserve"> may take </w:t>
      </w:r>
      <w:r w:rsidR="00B246B0">
        <w:t xml:space="preserve">a number of </w:t>
      </w:r>
      <w:r w:rsidR="005114AD">
        <w:t>years to build, according to a timetable set by the Conference of the Parties</w:t>
      </w:r>
      <w:r>
        <w:t xml:space="preserve">. </w:t>
      </w:r>
    </w:p>
    <w:p w14:paraId="2499D071" w14:textId="78D77C8F" w:rsidR="0008780C" w:rsidRPr="0008780C" w:rsidRDefault="0008780C" w:rsidP="0008780C">
      <w:pPr>
        <w:pStyle w:val="CH2"/>
      </w:pPr>
      <w:r>
        <w:tab/>
      </w:r>
      <w:r w:rsidR="00532129">
        <w:t>F</w:t>
      </w:r>
      <w:r w:rsidRPr="0008780C">
        <w:t xml:space="preserve">. </w:t>
      </w:r>
      <w:r w:rsidRPr="0008780C">
        <w:tab/>
      </w:r>
      <w:r w:rsidR="00A84056">
        <w:t xml:space="preserve">Additional </w:t>
      </w:r>
      <w:r w:rsidR="00B246B0">
        <w:t>f</w:t>
      </w:r>
      <w:r w:rsidR="00A84056">
        <w:t xml:space="preserve">actors and </w:t>
      </w:r>
      <w:r w:rsidR="00B246B0">
        <w:t>c</w:t>
      </w:r>
      <w:r w:rsidR="00A84056">
        <w:t>onsiderations</w:t>
      </w:r>
    </w:p>
    <w:p w14:paraId="5DE2FCE6" w14:textId="3C51EA54" w:rsidR="0008780C" w:rsidRDefault="00880F7E" w:rsidP="00972D3B">
      <w:pPr>
        <w:pStyle w:val="Normalnumber"/>
        <w:tabs>
          <w:tab w:val="clear" w:pos="624"/>
          <w:tab w:val="left" w:pos="1701"/>
        </w:tabs>
        <w:ind w:left="1247" w:hanging="1"/>
      </w:pPr>
      <w:r w:rsidRPr="008162A1">
        <w:t xml:space="preserve">Although the deployment costs of </w:t>
      </w:r>
      <w:proofErr w:type="spellStart"/>
      <w:r w:rsidRPr="008162A1">
        <w:t>Umoja</w:t>
      </w:r>
      <w:proofErr w:type="spellEnd"/>
      <w:r w:rsidRPr="008162A1">
        <w:t xml:space="preserve"> were initially absorbed centrally by </w:t>
      </w:r>
      <w:r w:rsidR="000B5CC0">
        <w:t xml:space="preserve">United Nations </w:t>
      </w:r>
      <w:r w:rsidRPr="00DB3A2C">
        <w:t>Headquarter</w:t>
      </w:r>
      <w:r w:rsidR="00FF0B18">
        <w:t>s</w:t>
      </w:r>
      <w:r w:rsidRPr="00DB3A2C">
        <w:t xml:space="preserve"> and by </w:t>
      </w:r>
      <w:r w:rsidR="00FF0B18">
        <w:t>UNEP</w:t>
      </w:r>
      <w:r w:rsidRPr="00DB3A2C">
        <w:t xml:space="preserve">, future operating costs, including licence fees, will be passed </w:t>
      </w:r>
      <w:r w:rsidR="00FF0B18">
        <w:t xml:space="preserve">on </w:t>
      </w:r>
      <w:r w:rsidRPr="00DB3A2C">
        <w:t>to u</w:t>
      </w:r>
      <w:r>
        <w:t xml:space="preserve">ser entities, including the </w:t>
      </w:r>
      <w:r w:rsidR="00FF0B18">
        <w:t>s</w:t>
      </w:r>
      <w:r w:rsidRPr="00DB3A2C">
        <w:t xml:space="preserve">ecretariat of the </w:t>
      </w:r>
      <w:proofErr w:type="spellStart"/>
      <w:r w:rsidRPr="00DB3A2C">
        <w:t>Minamata</w:t>
      </w:r>
      <w:proofErr w:type="spellEnd"/>
      <w:r w:rsidRPr="00DB3A2C">
        <w:t xml:space="preserve"> Convention. </w:t>
      </w:r>
      <w:r w:rsidR="00F82561">
        <w:t>Th</w:t>
      </w:r>
      <w:r w:rsidRPr="00DB3A2C">
        <w:t>e Convention will be required to contribute to th</w:t>
      </w:r>
      <w:r w:rsidR="00FF0B18">
        <w:t>ose</w:t>
      </w:r>
      <w:r w:rsidRPr="00DB3A2C">
        <w:t xml:space="preserve"> costs based on a formula</w:t>
      </w:r>
      <w:r w:rsidR="00F82561">
        <w:t xml:space="preserve"> provided by </w:t>
      </w:r>
      <w:r w:rsidR="000B5CC0">
        <w:t xml:space="preserve">United Nations </w:t>
      </w:r>
      <w:r w:rsidR="00F82561">
        <w:t>Headquarters</w:t>
      </w:r>
      <w:r w:rsidRPr="00DB3A2C">
        <w:t>. Under IPSAS</w:t>
      </w:r>
      <w:r w:rsidR="00FF0B18">
        <w:t>,</w:t>
      </w:r>
      <w:r w:rsidRPr="00DB3A2C">
        <w:t xml:space="preserve"> audited financial statements must be produced annually</w:t>
      </w:r>
      <w:r w:rsidR="00F82561">
        <w:t xml:space="preserve">, requiring audit charges to be budgeted for by the Convention. </w:t>
      </w:r>
    </w:p>
    <w:p w14:paraId="5F4DE6B4" w14:textId="1560C144" w:rsidR="00FA4966" w:rsidRPr="00484D82" w:rsidRDefault="00F82561" w:rsidP="00972D3B">
      <w:pPr>
        <w:pStyle w:val="Normalnumber"/>
        <w:tabs>
          <w:tab w:val="clear" w:pos="624"/>
          <w:tab w:val="left" w:pos="1701"/>
        </w:tabs>
        <w:ind w:left="1247" w:hanging="1"/>
      </w:pPr>
      <w:r>
        <w:t xml:space="preserve">The </w:t>
      </w:r>
      <w:r w:rsidR="000B5CC0">
        <w:t xml:space="preserve">United Nations </w:t>
      </w:r>
      <w:r>
        <w:t>Secretariat has implemented a cost</w:t>
      </w:r>
      <w:r w:rsidR="00276BC0">
        <w:t>-</w:t>
      </w:r>
      <w:r>
        <w:t>recovery system</w:t>
      </w:r>
      <w:r w:rsidR="00FF0B18">
        <w:t>. As a result</w:t>
      </w:r>
      <w:r>
        <w:t xml:space="preserve">, </w:t>
      </w:r>
      <w:r w:rsidR="00276BC0">
        <w:t>certain</w:t>
      </w:r>
      <w:r w:rsidR="00FA4966" w:rsidRPr="008162A1">
        <w:t xml:space="preserve"> costs </w:t>
      </w:r>
      <w:proofErr w:type="gramStart"/>
      <w:r w:rsidR="00FA4966" w:rsidRPr="008162A1">
        <w:t>that were</w:t>
      </w:r>
      <w:proofErr w:type="gramEnd"/>
      <w:r w:rsidR="00FA4966" w:rsidRPr="008162A1">
        <w:t xml:space="preserve"> previously managed by and covered centrally by </w:t>
      </w:r>
      <w:r w:rsidR="00FF0B18">
        <w:t xml:space="preserve">UNEP </w:t>
      </w:r>
      <w:r w:rsidR="00276BC0">
        <w:t>–</w:t>
      </w:r>
      <w:r w:rsidR="00FF0B18">
        <w:t xml:space="preserve"> including</w:t>
      </w:r>
      <w:r w:rsidR="00FA4966" w:rsidRPr="008162A1">
        <w:t xml:space="preserve"> office rent, administrative charges related to rent-free office space, maintenance costs, local security charges and communication infrastructure </w:t>
      </w:r>
      <w:r w:rsidR="00FF0B18">
        <w:t xml:space="preserve">operating costs </w:t>
      </w:r>
      <w:r w:rsidR="00276BC0">
        <w:t>–</w:t>
      </w:r>
      <w:r w:rsidR="00FA4966" w:rsidRPr="008162A1">
        <w:t xml:space="preserve"> will now be allocated on </w:t>
      </w:r>
      <w:r w:rsidR="00FA4966" w:rsidRPr="007273F0">
        <w:t xml:space="preserve">a </w:t>
      </w:r>
      <w:r w:rsidR="00FA4966" w:rsidRPr="00C03273">
        <w:t>user-pay system</w:t>
      </w:r>
      <w:r w:rsidR="00FA4966" w:rsidRPr="008162A1">
        <w:t>. As such</w:t>
      </w:r>
      <w:r w:rsidR="00FF0B18">
        <w:t>,</w:t>
      </w:r>
      <w:r w:rsidR="00FA4966" w:rsidRPr="008162A1">
        <w:t xml:space="preserve"> </w:t>
      </w:r>
      <w:r w:rsidR="005D1F60">
        <w:t xml:space="preserve">provision will need to be made for such </w:t>
      </w:r>
      <w:r w:rsidR="00FA4966">
        <w:t>charges</w:t>
      </w:r>
      <w:r w:rsidR="005D1F60">
        <w:t xml:space="preserve"> in the future</w:t>
      </w:r>
      <w:r w:rsidR="007273F0">
        <w:t xml:space="preserve"> and t</w:t>
      </w:r>
      <w:r w:rsidR="000810AE">
        <w:t xml:space="preserve">he </w:t>
      </w:r>
      <w:r w:rsidR="00D4460C">
        <w:t xml:space="preserve">Convention </w:t>
      </w:r>
      <w:r w:rsidR="00BB600A">
        <w:t>s</w:t>
      </w:r>
      <w:r w:rsidR="000810AE">
        <w:t>ecretariat will present th</w:t>
      </w:r>
      <w:r w:rsidR="007273F0">
        <w:t>at</w:t>
      </w:r>
      <w:r w:rsidR="000810AE">
        <w:t xml:space="preserve"> information as part of </w:t>
      </w:r>
      <w:r w:rsidR="007273F0">
        <w:t xml:space="preserve">its </w:t>
      </w:r>
      <w:r w:rsidR="000810AE">
        <w:t xml:space="preserve">programme of work and budget. </w:t>
      </w:r>
    </w:p>
    <w:p w14:paraId="7410FBDF" w14:textId="12BFD003" w:rsidR="00FA4966" w:rsidRDefault="00FA4966" w:rsidP="00BB600A">
      <w:pPr>
        <w:pStyle w:val="Normalnumber"/>
        <w:tabs>
          <w:tab w:val="clear" w:pos="624"/>
          <w:tab w:val="left" w:pos="1701"/>
        </w:tabs>
        <w:ind w:left="1247" w:hanging="1"/>
      </w:pPr>
      <w:r>
        <w:t>In accordance with the Financial Regulations and Rules of the United Nations</w:t>
      </w:r>
      <w:r w:rsidR="00607DD6">
        <w:t>,</w:t>
      </w:r>
      <w:r>
        <w:t xml:space="preserve"> </w:t>
      </w:r>
      <w:r w:rsidR="00FD1F97">
        <w:t xml:space="preserve">a charge of </w:t>
      </w:r>
      <w:r>
        <w:t>13</w:t>
      </w:r>
      <w:r w:rsidR="00C03273">
        <w:t> </w:t>
      </w:r>
      <w:r>
        <w:t>per</w:t>
      </w:r>
      <w:r w:rsidR="00C03273">
        <w:t> </w:t>
      </w:r>
      <w:r>
        <w:t xml:space="preserve">cent </w:t>
      </w:r>
      <w:r w:rsidR="00FD1F97">
        <w:t xml:space="preserve">for </w:t>
      </w:r>
      <w:r>
        <w:t xml:space="preserve">programme support costs </w:t>
      </w:r>
      <w:r w:rsidR="006B3928">
        <w:t xml:space="preserve">is </w:t>
      </w:r>
      <w:r>
        <w:t xml:space="preserve">payable to </w:t>
      </w:r>
      <w:r w:rsidR="00FD1F97">
        <w:t xml:space="preserve">UNEP </w:t>
      </w:r>
      <w:r>
        <w:t xml:space="preserve">to </w:t>
      </w:r>
      <w:r w:rsidR="00F82561">
        <w:t xml:space="preserve">recover the incremental costs incurred when supporting activities </w:t>
      </w:r>
      <w:r w:rsidR="00656626">
        <w:t xml:space="preserve">are </w:t>
      </w:r>
      <w:r w:rsidR="00F82561">
        <w:t xml:space="preserve">financed from contributions. In line with standard practice on the use of programme support costs, </w:t>
      </w:r>
      <w:r w:rsidR="00FD1F97">
        <w:t>UNEP</w:t>
      </w:r>
      <w:r w:rsidR="00F82561">
        <w:t xml:space="preserve"> will provide an annual allocation to the Convention to help cover the costs of support services. It is estimated that the programme support costs allocated to the </w:t>
      </w:r>
      <w:r w:rsidR="00FD1F97">
        <w:t xml:space="preserve">secretariat of the </w:t>
      </w:r>
      <w:r w:rsidR="00F82561">
        <w:t xml:space="preserve">Convention </w:t>
      </w:r>
      <w:r w:rsidR="006B3928" w:rsidRPr="00C03273">
        <w:t xml:space="preserve">will </w:t>
      </w:r>
      <w:r w:rsidR="00F82561">
        <w:t xml:space="preserve">cover </w:t>
      </w:r>
      <w:r w:rsidR="006B3928">
        <w:t xml:space="preserve">part of the </w:t>
      </w:r>
      <w:r w:rsidR="00F82561">
        <w:t xml:space="preserve">cost </w:t>
      </w:r>
      <w:r w:rsidR="00F82561" w:rsidRPr="00CD399C">
        <w:t xml:space="preserve">of an administrative and finance officer </w:t>
      </w:r>
      <w:r w:rsidR="0091766C" w:rsidRPr="00CD399C">
        <w:t xml:space="preserve">(P-3 level) </w:t>
      </w:r>
      <w:r w:rsidR="00F82561" w:rsidRPr="00CD399C">
        <w:t>and a</w:t>
      </w:r>
      <w:r w:rsidR="00F82561" w:rsidRPr="00C03273">
        <w:t xml:space="preserve"> </w:t>
      </w:r>
      <w:r w:rsidR="00BB600A" w:rsidRPr="00C03273">
        <w:t>f</w:t>
      </w:r>
      <w:r w:rsidR="00F82561" w:rsidRPr="00C03273">
        <w:t xml:space="preserve">inance </w:t>
      </w:r>
      <w:r w:rsidR="00BB600A">
        <w:t xml:space="preserve">assistant. </w:t>
      </w:r>
      <w:r>
        <w:t>The administrative and finance officer will provide fund management, financial services and logistics</w:t>
      </w:r>
      <w:r w:rsidR="00BB600A">
        <w:t xml:space="preserve"> support</w:t>
      </w:r>
      <w:r>
        <w:t xml:space="preserve">, </w:t>
      </w:r>
      <w:r w:rsidR="00BB600A">
        <w:t>as well as</w:t>
      </w:r>
      <w:r w:rsidR="00FD1F97">
        <w:t xml:space="preserve"> </w:t>
      </w:r>
      <w:r>
        <w:t xml:space="preserve">administrative and human resources </w:t>
      </w:r>
      <w:r w:rsidR="00FA57EE">
        <w:t>functions</w:t>
      </w:r>
      <w:r>
        <w:t xml:space="preserve"> for the </w:t>
      </w:r>
      <w:r w:rsidR="00FD1F97">
        <w:t>s</w:t>
      </w:r>
      <w:r>
        <w:t xml:space="preserve">ecretariat. </w:t>
      </w:r>
    </w:p>
    <w:p w14:paraId="52FA4DF2" w14:textId="41705A67" w:rsidR="00FA4966" w:rsidRDefault="00FA4966" w:rsidP="001435BA">
      <w:pPr>
        <w:pStyle w:val="Normalnumber"/>
        <w:tabs>
          <w:tab w:val="clear" w:pos="624"/>
          <w:tab w:val="left" w:pos="1701"/>
        </w:tabs>
        <w:ind w:left="1247" w:hanging="1"/>
      </w:pPr>
      <w:r>
        <w:t>The figures used to estimate the staff</w:t>
      </w:r>
      <w:r w:rsidR="006B3928">
        <w:t>ing</w:t>
      </w:r>
      <w:r>
        <w:t xml:space="preserve"> costs</w:t>
      </w:r>
      <w:r w:rsidR="00FD1F97">
        <w:t xml:space="preserve"> for the proposed budget for the biennium </w:t>
      </w:r>
      <w:r w:rsidR="00C03273">
        <w:br/>
      </w:r>
      <w:r w:rsidR="00FD1F97">
        <w:t>2018–2019</w:t>
      </w:r>
      <w:r w:rsidR="001435BA">
        <w:t xml:space="preserve"> are based on </w:t>
      </w:r>
      <w:r w:rsidR="00A216AF">
        <w:t xml:space="preserve">the </w:t>
      </w:r>
      <w:r w:rsidR="001435BA">
        <w:t>actual costs of the secretariat of the Basel, Rotterdam and Stockholm conventions for all the Geneva-based options. S</w:t>
      </w:r>
      <w:r w:rsidR="00FA57EE">
        <w:t>tandard staff</w:t>
      </w:r>
      <w:r w:rsidR="006B3928">
        <w:t>ing</w:t>
      </w:r>
      <w:r w:rsidR="00FA57EE">
        <w:t xml:space="preserve"> costs </w:t>
      </w:r>
      <w:r w:rsidR="00FD1F97">
        <w:t>are</w:t>
      </w:r>
      <w:r w:rsidR="00FA57EE">
        <w:t xml:space="preserve"> </w:t>
      </w:r>
      <w:r w:rsidR="001435BA">
        <w:t xml:space="preserve">used for </w:t>
      </w:r>
      <w:r w:rsidR="00A216AF">
        <w:t>o</w:t>
      </w:r>
      <w:r w:rsidR="001435BA">
        <w:t xml:space="preserve">ption 2 in other locations. The different options and their varying staffing costs are </w:t>
      </w:r>
      <w:r w:rsidR="00FA57EE">
        <w:t>reflected in</w:t>
      </w:r>
      <w:r w:rsidR="000B4B86">
        <w:t xml:space="preserve"> </w:t>
      </w:r>
      <w:r w:rsidR="000B4B86" w:rsidRPr="00DD3E2E">
        <w:t xml:space="preserve">addendum </w:t>
      </w:r>
      <w:r w:rsidR="00CE6C41">
        <w:t>2</w:t>
      </w:r>
      <w:r w:rsidR="00CE6C41" w:rsidRPr="00DD3E2E">
        <w:t xml:space="preserve"> </w:t>
      </w:r>
      <w:r w:rsidR="006B3928">
        <w:t xml:space="preserve">to the present note </w:t>
      </w:r>
      <w:r w:rsidR="000B4B86" w:rsidRPr="00DD3E2E">
        <w:t>(</w:t>
      </w:r>
      <w:r w:rsidR="00FA57EE" w:rsidRPr="00CE6C41">
        <w:t>UNEP/MC/COP.1/21</w:t>
      </w:r>
      <w:r w:rsidR="00FD1F97" w:rsidRPr="00CE6C41">
        <w:t>/</w:t>
      </w:r>
      <w:r w:rsidR="00FA57EE" w:rsidRPr="00CE6C41">
        <w:t>Add.</w:t>
      </w:r>
      <w:r w:rsidR="00CE6C41">
        <w:t>2</w:t>
      </w:r>
      <w:r w:rsidR="000B4B86">
        <w:t>)</w:t>
      </w:r>
      <w:r w:rsidR="00FD1F97">
        <w:t>.</w:t>
      </w:r>
      <w:r w:rsidR="00FA57EE" w:rsidRPr="00B019DD">
        <w:t xml:space="preserve"> </w:t>
      </w:r>
    </w:p>
    <w:p w14:paraId="5F9FABC8" w14:textId="73F9878E" w:rsidR="007D4D6F" w:rsidRDefault="00FA4966" w:rsidP="00972D3B">
      <w:pPr>
        <w:pStyle w:val="Normalnumber"/>
        <w:tabs>
          <w:tab w:val="clear" w:pos="624"/>
          <w:tab w:val="left" w:pos="1701"/>
        </w:tabs>
        <w:ind w:left="1247" w:hanging="1"/>
      </w:pPr>
      <w:r>
        <w:t>Depending on the decisions</w:t>
      </w:r>
      <w:r w:rsidR="006B3928">
        <w:t xml:space="preserve"> taken</w:t>
      </w:r>
      <w:r>
        <w:t xml:space="preserve"> </w:t>
      </w:r>
      <w:r w:rsidR="009C3938">
        <w:t>at the first meeting</w:t>
      </w:r>
      <w:r>
        <w:t xml:space="preserve">, the resources of the Convention may include a host country contribution to the General Trust Fund and the voluntary Special Trust Fund. </w:t>
      </w:r>
    </w:p>
    <w:p w14:paraId="25C87FE2" w14:textId="5FC21377" w:rsidR="00FA4966" w:rsidRDefault="00A216AF">
      <w:pPr>
        <w:pStyle w:val="Normalnumber"/>
        <w:tabs>
          <w:tab w:val="clear" w:pos="624"/>
          <w:tab w:val="left" w:pos="1701"/>
        </w:tabs>
        <w:ind w:left="1247" w:hanging="1"/>
      </w:pPr>
      <w:r>
        <w:t xml:space="preserve">Given that </w:t>
      </w:r>
      <w:r w:rsidR="007D4D6F">
        <w:t>many elements affect the overall programme of work and budget parameters, a fourth addendum</w:t>
      </w:r>
      <w:r w:rsidR="00BF1441">
        <w:t xml:space="preserve"> to the present note</w:t>
      </w:r>
      <w:r w:rsidR="007D4D6F">
        <w:t xml:space="preserve"> </w:t>
      </w:r>
      <w:r w:rsidR="00CE6C41" w:rsidRPr="00DD3E2E">
        <w:t>(</w:t>
      </w:r>
      <w:r w:rsidR="00CE6C41" w:rsidRPr="00CE6C41">
        <w:t>UNEP/MC/COP.1/21/Add.</w:t>
      </w:r>
      <w:r w:rsidR="00CE6C41">
        <w:t xml:space="preserve">4) </w:t>
      </w:r>
      <w:r w:rsidR="00BF1441">
        <w:t xml:space="preserve">provides </w:t>
      </w:r>
      <w:r w:rsidR="007D4D6F">
        <w:t>an overview presentation of the programme of work and budget by all secretariat arrangement options.</w:t>
      </w:r>
      <w:r w:rsidR="00BF1441">
        <w:t xml:space="preserve"> </w:t>
      </w:r>
      <w:r w:rsidR="00BF1441">
        <w:rPr>
          <w:b/>
          <w:bCs/>
        </w:rPr>
        <w:t xml:space="preserve">  </w:t>
      </w:r>
    </w:p>
    <w:p w14:paraId="30CFD90A" w14:textId="2A78581B" w:rsidR="00D77B12" w:rsidRDefault="00FA4966" w:rsidP="00972D3B">
      <w:pPr>
        <w:pStyle w:val="Normalnumber"/>
        <w:tabs>
          <w:tab w:val="clear" w:pos="624"/>
          <w:tab w:val="left" w:pos="1701"/>
        </w:tabs>
        <w:ind w:left="1247" w:hanging="1"/>
      </w:pPr>
      <w:r>
        <w:t xml:space="preserve">The proposed budget for the </w:t>
      </w:r>
      <w:r w:rsidR="009C3938">
        <w:t xml:space="preserve">biennium </w:t>
      </w:r>
      <w:r>
        <w:t>2018</w:t>
      </w:r>
      <w:r w:rsidR="009C3938">
        <w:t>–</w:t>
      </w:r>
      <w:r>
        <w:t xml:space="preserve">2019 has been reviewed </w:t>
      </w:r>
      <w:r w:rsidR="006B3928">
        <w:t xml:space="preserve">for the Executive Director of UNEP </w:t>
      </w:r>
      <w:r>
        <w:t xml:space="preserve">by the </w:t>
      </w:r>
      <w:r w:rsidR="007A4087">
        <w:t>Division</w:t>
      </w:r>
      <w:r>
        <w:t xml:space="preserve"> of </w:t>
      </w:r>
      <w:r w:rsidR="00120EAE">
        <w:t xml:space="preserve">Corporate Services </w:t>
      </w:r>
      <w:r>
        <w:t>as part of the established process for the p</w:t>
      </w:r>
      <w:r w:rsidR="000810AE">
        <w:t>reparation of proposed budgets.</w:t>
      </w:r>
    </w:p>
    <w:p w14:paraId="3AB4AB3C" w14:textId="76DF54B1" w:rsidR="00844429" w:rsidRDefault="009C3938" w:rsidP="0033544C">
      <w:pPr>
        <w:pStyle w:val="CH1"/>
      </w:pPr>
      <w:r>
        <w:tab/>
      </w:r>
      <w:r w:rsidR="00D77B12" w:rsidRPr="00EE7AA1">
        <w:t>III.</w:t>
      </w:r>
      <w:r w:rsidR="00D77B12" w:rsidRPr="00EE7AA1">
        <w:tab/>
        <w:t>Suggested action by the Conference of the Parties</w:t>
      </w:r>
    </w:p>
    <w:p w14:paraId="6703EF9B" w14:textId="3371A967" w:rsidR="00294386" w:rsidRDefault="00844429" w:rsidP="0033544C">
      <w:pPr>
        <w:pStyle w:val="Normalnumber"/>
        <w:keepNext/>
        <w:keepLines/>
        <w:tabs>
          <w:tab w:val="clear" w:pos="624"/>
          <w:tab w:val="left" w:pos="1701"/>
        </w:tabs>
        <w:ind w:left="1247" w:hanging="1"/>
      </w:pPr>
      <w:r>
        <w:t>Having considered the present note</w:t>
      </w:r>
      <w:r w:rsidR="00827089">
        <w:t xml:space="preserve"> on the programme of work for the secretariat and the budget for the </w:t>
      </w:r>
      <w:proofErr w:type="spellStart"/>
      <w:r w:rsidR="00827089">
        <w:t>Minamata</w:t>
      </w:r>
      <w:proofErr w:type="spellEnd"/>
      <w:r w:rsidR="00827089">
        <w:t xml:space="preserve"> Convention for </w:t>
      </w:r>
      <w:r w:rsidR="009C3938">
        <w:t xml:space="preserve">the biennium </w:t>
      </w:r>
      <w:r w:rsidR="00827089">
        <w:t>2018</w:t>
      </w:r>
      <w:r w:rsidR="009C3938">
        <w:t>–</w:t>
      </w:r>
      <w:r w:rsidR="00827089">
        <w:t>2019</w:t>
      </w:r>
      <w:r w:rsidR="00D75D4B">
        <w:t xml:space="preserve"> and</w:t>
      </w:r>
      <w:r>
        <w:t xml:space="preserve"> addend</w:t>
      </w:r>
      <w:r w:rsidR="009C3938">
        <w:t>a</w:t>
      </w:r>
      <w:r w:rsidR="00D75D4B">
        <w:t xml:space="preserve"> 1</w:t>
      </w:r>
      <w:r w:rsidR="00B745EE">
        <w:t>–</w:t>
      </w:r>
      <w:r w:rsidR="007D4D6F">
        <w:t>4</w:t>
      </w:r>
      <w:r w:rsidR="00827089">
        <w:t xml:space="preserve"> on</w:t>
      </w:r>
      <w:r w:rsidR="007C0306">
        <w:t>, respectively,</w:t>
      </w:r>
      <w:r w:rsidR="00827089">
        <w:t xml:space="preserve"> assessed </w:t>
      </w:r>
      <w:r w:rsidR="00827089" w:rsidRPr="00241415">
        <w:t>contributions</w:t>
      </w:r>
      <w:r w:rsidR="00827089" w:rsidRPr="00241415">
        <w:rPr>
          <w:bCs/>
        </w:rPr>
        <w:t>,</w:t>
      </w:r>
      <w:r w:rsidR="00827089" w:rsidRPr="00241415">
        <w:t xml:space="preserve"> resources</w:t>
      </w:r>
      <w:r w:rsidR="00827089">
        <w:t xml:space="preserve"> needed for activities and resources required for staffing</w:t>
      </w:r>
      <w:r>
        <w:t xml:space="preserve">, and in </w:t>
      </w:r>
      <w:r w:rsidR="009C3938">
        <w:t xml:space="preserve">the </w:t>
      </w:r>
      <w:r>
        <w:t xml:space="preserve">light of the outcome of the decisions </w:t>
      </w:r>
      <w:r w:rsidR="009C3938">
        <w:t xml:space="preserve">of the Conference </w:t>
      </w:r>
      <w:r w:rsidR="00827089">
        <w:t xml:space="preserve">on the arrangements for </w:t>
      </w:r>
      <w:r w:rsidR="009C3938">
        <w:t xml:space="preserve">and location of </w:t>
      </w:r>
      <w:r w:rsidR="00827089">
        <w:t xml:space="preserve">the </w:t>
      </w:r>
      <w:r w:rsidR="00657F10">
        <w:t xml:space="preserve">permanent </w:t>
      </w:r>
      <w:r w:rsidR="00827089">
        <w:t xml:space="preserve">secretariat, </w:t>
      </w:r>
      <w:r>
        <w:t>t</w:t>
      </w:r>
      <w:r w:rsidRPr="00DB4A8C">
        <w:t xml:space="preserve">he Conference </w:t>
      </w:r>
      <w:r w:rsidR="00BC74AA">
        <w:t xml:space="preserve">of the Parties </w:t>
      </w:r>
      <w:r w:rsidRPr="00DB4A8C">
        <w:t xml:space="preserve">may wish to </w:t>
      </w:r>
      <w:r>
        <w:t>finali</w:t>
      </w:r>
      <w:r w:rsidR="009C3938">
        <w:t>ze</w:t>
      </w:r>
      <w:r>
        <w:t xml:space="preserve"> its deliberations on the budget and adopt a decision along the line</w:t>
      </w:r>
      <w:r w:rsidR="00827089">
        <w:t>s</w:t>
      </w:r>
      <w:r>
        <w:t xml:space="preserve"> set out in annex I. </w:t>
      </w:r>
    </w:p>
    <w:p w14:paraId="2ADA4A7D" w14:textId="77777777" w:rsidR="00294386" w:rsidRDefault="00294386">
      <w:pPr>
        <w:tabs>
          <w:tab w:val="clear" w:pos="1247"/>
          <w:tab w:val="clear" w:pos="1814"/>
          <w:tab w:val="clear" w:pos="2381"/>
          <w:tab w:val="clear" w:pos="2948"/>
          <w:tab w:val="clear" w:pos="3515"/>
        </w:tabs>
        <w:rPr>
          <w:lang w:val="en-GB"/>
        </w:rPr>
      </w:pPr>
      <w:r w:rsidRPr="00EE7AA1">
        <w:rPr>
          <w:lang w:val="en-GB"/>
        </w:rPr>
        <w:br w:type="page"/>
      </w:r>
    </w:p>
    <w:p w14:paraId="3A7E933B" w14:textId="0E0C2BF1" w:rsidR="00D63972" w:rsidRPr="008162A1" w:rsidRDefault="00D63972" w:rsidP="00040F66">
      <w:pPr>
        <w:pStyle w:val="ZZAnxheader"/>
        <w:rPr>
          <w:szCs w:val="28"/>
        </w:rPr>
      </w:pPr>
      <w:r w:rsidRPr="008162A1">
        <w:rPr>
          <w:szCs w:val="28"/>
        </w:rPr>
        <w:t>A</w:t>
      </w:r>
      <w:r w:rsidR="00657F10">
        <w:rPr>
          <w:szCs w:val="28"/>
        </w:rPr>
        <w:t>nnex I</w:t>
      </w:r>
    </w:p>
    <w:p w14:paraId="3F64DDAC" w14:textId="23052450" w:rsidR="00D63972" w:rsidRPr="00040F66" w:rsidRDefault="00D63972" w:rsidP="00040F66">
      <w:pPr>
        <w:pStyle w:val="ZZAnxtitle"/>
      </w:pPr>
      <w:r w:rsidRPr="00040F66">
        <w:t xml:space="preserve">Draft </w:t>
      </w:r>
      <w:r w:rsidR="006A5CB4" w:rsidRPr="00040F66">
        <w:t>d</w:t>
      </w:r>
      <w:r w:rsidRPr="00040F66">
        <w:t xml:space="preserve">ecision MC-1/X: </w:t>
      </w:r>
      <w:r w:rsidR="006A5CB4" w:rsidRPr="00040F66">
        <w:t>p</w:t>
      </w:r>
      <w:r w:rsidRPr="00040F66">
        <w:t xml:space="preserve">rogramme of work of the secretariat and proposed budget for the </w:t>
      </w:r>
      <w:r w:rsidR="00BF6266" w:rsidRPr="00040F66">
        <w:t xml:space="preserve">biennium </w:t>
      </w:r>
      <w:r w:rsidRPr="00040F66">
        <w:t>2018–2019</w:t>
      </w:r>
    </w:p>
    <w:p w14:paraId="538F020C" w14:textId="607B8694" w:rsidR="005C4233" w:rsidRDefault="00D63972" w:rsidP="00040F66">
      <w:pPr>
        <w:spacing w:after="120"/>
        <w:ind w:left="1247" w:firstLine="624"/>
        <w:rPr>
          <w:lang w:val="en-GB"/>
        </w:rPr>
      </w:pPr>
      <w:r w:rsidRPr="008162A1">
        <w:rPr>
          <w:i/>
          <w:lang w:val="en-GB"/>
        </w:rPr>
        <w:t>The Conference of the Parties</w:t>
      </w:r>
      <w:r w:rsidR="00FF25E0">
        <w:rPr>
          <w:lang w:val="en-GB"/>
        </w:rPr>
        <w:t>,</w:t>
      </w:r>
    </w:p>
    <w:p w14:paraId="1753272A" w14:textId="732E6578" w:rsidR="00FF25E0" w:rsidRPr="00BB1444" w:rsidRDefault="00FF25E0" w:rsidP="00040F66">
      <w:pPr>
        <w:spacing w:after="120"/>
        <w:ind w:left="1247" w:firstLine="624"/>
        <w:rPr>
          <w:lang w:val="en-GB"/>
        </w:rPr>
      </w:pPr>
      <w:r>
        <w:rPr>
          <w:i/>
          <w:iCs/>
          <w:lang w:val="en-GB"/>
        </w:rPr>
        <w:t>Taking note</w:t>
      </w:r>
      <w:r w:rsidR="00BB1444">
        <w:rPr>
          <w:lang w:val="en-GB"/>
        </w:rPr>
        <w:t xml:space="preserve"> of the decision on the arrangements for the functions of the secretariat, and the location of the secretariat, </w:t>
      </w:r>
    </w:p>
    <w:p w14:paraId="304E7BC6" w14:textId="77777777" w:rsidR="005C4233" w:rsidRPr="00DA2428" w:rsidRDefault="005C4233" w:rsidP="005C4233">
      <w:pPr>
        <w:pStyle w:val="CH2"/>
        <w:spacing w:after="80"/>
        <w:ind w:right="0" w:firstLine="0"/>
        <w:jc w:val="center"/>
      </w:pPr>
      <w:r w:rsidRPr="00CF6B22">
        <w:t>I</w:t>
      </w:r>
    </w:p>
    <w:p w14:paraId="4DEF269B" w14:textId="4D2C7A73" w:rsidR="005C4233" w:rsidRPr="00026A9B" w:rsidRDefault="00FF25E0" w:rsidP="00FF25E0">
      <w:pPr>
        <w:pStyle w:val="CH2"/>
        <w:spacing w:before="0"/>
        <w:ind w:right="0" w:firstLine="0"/>
        <w:jc w:val="center"/>
      </w:pPr>
      <w:r>
        <w:t xml:space="preserve">General </w:t>
      </w:r>
      <w:r w:rsidR="005C4233" w:rsidRPr="00CF6B22">
        <w:t xml:space="preserve">Trust Fund for the </w:t>
      </w:r>
      <w:proofErr w:type="spellStart"/>
      <w:r>
        <w:t>Minamata</w:t>
      </w:r>
      <w:proofErr w:type="spellEnd"/>
      <w:r w:rsidR="005C4233" w:rsidRPr="00CF6B22">
        <w:t xml:space="preserve"> Convention on </w:t>
      </w:r>
      <w:r>
        <w:t>Mercury</w:t>
      </w:r>
    </w:p>
    <w:p w14:paraId="2699BDD7" w14:textId="476BAA8D" w:rsidR="004C769D" w:rsidRPr="004C769D" w:rsidRDefault="004C769D" w:rsidP="00040F66">
      <w:pPr>
        <w:pStyle w:val="Normal-pool"/>
        <w:numPr>
          <w:ilvl w:val="0"/>
          <w:numId w:val="6"/>
        </w:numPr>
        <w:tabs>
          <w:tab w:val="clear" w:pos="1247"/>
          <w:tab w:val="clear" w:pos="1814"/>
          <w:tab w:val="clear" w:pos="2381"/>
          <w:tab w:val="clear" w:pos="2948"/>
          <w:tab w:val="clear" w:pos="3515"/>
          <w:tab w:val="clear" w:pos="4082"/>
          <w:tab w:val="left" w:pos="624"/>
        </w:tabs>
        <w:spacing w:after="120"/>
        <w:ind w:left="1247" w:firstLine="624"/>
      </w:pPr>
      <w:r>
        <w:rPr>
          <w:i/>
          <w:iCs/>
        </w:rPr>
        <w:t xml:space="preserve">Takes note </w:t>
      </w:r>
      <w:r>
        <w:t>of the programme of work for the Secretariat for the biennium 2018</w:t>
      </w:r>
      <w:r w:rsidR="00BF6266">
        <w:t>–</w:t>
      </w:r>
      <w:r>
        <w:t>2019 as contained in the note by the Secretariat</w:t>
      </w:r>
      <w:r w:rsidR="006A5CB4">
        <w:t>;</w:t>
      </w:r>
    </w:p>
    <w:p w14:paraId="4A93740B" w14:textId="17A9856E" w:rsidR="004908C1" w:rsidRDefault="004C769D" w:rsidP="00040F66">
      <w:pPr>
        <w:pStyle w:val="Normal-pool"/>
        <w:numPr>
          <w:ilvl w:val="0"/>
          <w:numId w:val="6"/>
        </w:numPr>
        <w:tabs>
          <w:tab w:val="clear" w:pos="1247"/>
          <w:tab w:val="clear" w:pos="1814"/>
          <w:tab w:val="clear" w:pos="2381"/>
          <w:tab w:val="clear" w:pos="2948"/>
          <w:tab w:val="clear" w:pos="3515"/>
          <w:tab w:val="clear" w:pos="4082"/>
          <w:tab w:val="left" w:pos="624"/>
        </w:tabs>
        <w:spacing w:after="120"/>
        <w:ind w:left="1247" w:firstLine="624"/>
      </w:pPr>
      <w:r>
        <w:rPr>
          <w:i/>
          <w:iCs/>
        </w:rPr>
        <w:t>A</w:t>
      </w:r>
      <w:r w:rsidR="004908C1">
        <w:rPr>
          <w:i/>
          <w:iCs/>
        </w:rPr>
        <w:t xml:space="preserve">pproves </w:t>
      </w:r>
      <w:r w:rsidR="004908C1">
        <w:rPr>
          <w:iCs/>
        </w:rPr>
        <w:t xml:space="preserve">the programme budget for the </w:t>
      </w:r>
      <w:proofErr w:type="spellStart"/>
      <w:r w:rsidR="004908C1">
        <w:rPr>
          <w:iCs/>
        </w:rPr>
        <w:t>Minamata</w:t>
      </w:r>
      <w:proofErr w:type="spellEnd"/>
      <w:r w:rsidR="004908C1">
        <w:rPr>
          <w:iCs/>
        </w:rPr>
        <w:t xml:space="preserve"> Convention for the biennium </w:t>
      </w:r>
      <w:r w:rsidR="00C03273">
        <w:rPr>
          <w:iCs/>
        </w:rPr>
        <w:br/>
      </w:r>
      <w:r w:rsidR="004908C1">
        <w:rPr>
          <w:iCs/>
        </w:rPr>
        <w:t>2018</w:t>
      </w:r>
      <w:r w:rsidR="00BF6266">
        <w:rPr>
          <w:iCs/>
        </w:rPr>
        <w:t>–</w:t>
      </w:r>
      <w:r w:rsidR="004908C1">
        <w:rPr>
          <w:iCs/>
        </w:rPr>
        <w:t>2019 of</w:t>
      </w:r>
      <w:r w:rsidR="004908C1" w:rsidRPr="00026A9B">
        <w:t xml:space="preserve"> [   ]</w:t>
      </w:r>
      <w:r w:rsidR="004908C1">
        <w:t xml:space="preserve"> </w:t>
      </w:r>
      <w:r w:rsidR="004908C1" w:rsidRPr="00026A9B">
        <w:t>United States dollars for 2018 and [   ] United States dollars for 2019 fo</w:t>
      </w:r>
      <w:r w:rsidR="004908C1">
        <w:t>r the purposes set out in table</w:t>
      </w:r>
      <w:r w:rsidR="006B3928">
        <w:t xml:space="preserve"> </w:t>
      </w:r>
      <w:r w:rsidR="004908C1" w:rsidRPr="00026A9B">
        <w:t>[   ] of the present decision</w:t>
      </w:r>
      <w:r w:rsidR="006A5CB4">
        <w:t>;</w:t>
      </w:r>
    </w:p>
    <w:p w14:paraId="413AD8C3" w14:textId="6162A812" w:rsidR="004908C1" w:rsidRDefault="004908C1" w:rsidP="00040F66">
      <w:pPr>
        <w:pStyle w:val="Normal-pool"/>
        <w:numPr>
          <w:ilvl w:val="0"/>
          <w:numId w:val="6"/>
        </w:numPr>
        <w:tabs>
          <w:tab w:val="clear" w:pos="1247"/>
          <w:tab w:val="clear" w:pos="1814"/>
          <w:tab w:val="clear" w:pos="2381"/>
          <w:tab w:val="clear" w:pos="2948"/>
          <w:tab w:val="clear" w:pos="3515"/>
          <w:tab w:val="clear" w:pos="4082"/>
          <w:tab w:val="left" w:pos="624"/>
        </w:tabs>
        <w:spacing w:after="120"/>
        <w:ind w:left="1247" w:firstLine="624"/>
      </w:pPr>
      <w:r>
        <w:rPr>
          <w:i/>
          <w:iCs/>
        </w:rPr>
        <w:t xml:space="preserve">Authorizes </w:t>
      </w:r>
      <w:r w:rsidRPr="00026A9B">
        <w:t xml:space="preserve">the Executive Secretary of the </w:t>
      </w:r>
      <w:proofErr w:type="spellStart"/>
      <w:r>
        <w:t>Minamata</w:t>
      </w:r>
      <w:proofErr w:type="spellEnd"/>
      <w:r w:rsidRPr="00026A9B">
        <w:t xml:space="preserve"> Convention to make commitments in an amount up to the approved operational budget, drawing upon available cash </w:t>
      </w:r>
      <w:r>
        <w:t>resources</w:t>
      </w:r>
      <w:r w:rsidR="006A5CB4">
        <w:t>;</w:t>
      </w:r>
    </w:p>
    <w:p w14:paraId="7BB0C495" w14:textId="79955D31" w:rsidR="004908C1" w:rsidRDefault="004908C1" w:rsidP="00040F66">
      <w:pPr>
        <w:pStyle w:val="Normal-pool"/>
        <w:numPr>
          <w:ilvl w:val="0"/>
          <w:numId w:val="6"/>
        </w:numPr>
        <w:tabs>
          <w:tab w:val="clear" w:pos="1247"/>
          <w:tab w:val="clear" w:pos="1814"/>
          <w:tab w:val="clear" w:pos="2381"/>
          <w:tab w:val="clear" w:pos="2948"/>
          <w:tab w:val="clear" w:pos="3515"/>
          <w:tab w:val="clear" w:pos="4082"/>
          <w:tab w:val="left" w:pos="624"/>
        </w:tabs>
        <w:spacing w:after="120"/>
        <w:ind w:left="1247" w:firstLine="624"/>
      </w:pPr>
      <w:r w:rsidRPr="004908C1">
        <w:rPr>
          <w:i/>
          <w:iCs/>
        </w:rPr>
        <w:t>Decides</w:t>
      </w:r>
      <w:r>
        <w:t xml:space="preserve"> </w:t>
      </w:r>
      <w:r w:rsidRPr="00026A9B">
        <w:t xml:space="preserve">to </w:t>
      </w:r>
      <w:r>
        <w:t xml:space="preserve">begin to build </w:t>
      </w:r>
      <w:r w:rsidRPr="00026A9B">
        <w:t xml:space="preserve">the working capital reserve </w:t>
      </w:r>
      <w:r>
        <w:t>that is to reach 15 per cent by</w:t>
      </w:r>
      <w:r w:rsidR="00BF6266">
        <w:t xml:space="preserve"> </w:t>
      </w:r>
      <w:r w:rsidRPr="00026A9B">
        <w:t>[   ]</w:t>
      </w:r>
      <w:r>
        <w:t xml:space="preserve"> </w:t>
      </w:r>
      <w:r w:rsidRPr="00026A9B">
        <w:t xml:space="preserve">of the annual average of </w:t>
      </w:r>
      <w:r>
        <w:t xml:space="preserve">a biennial operational budget, and set </w:t>
      </w:r>
      <w:r w:rsidRPr="00026A9B">
        <w:t xml:space="preserve">[   ] </w:t>
      </w:r>
      <w:r>
        <w:t xml:space="preserve">as the target </w:t>
      </w:r>
      <w:r w:rsidRPr="00026A9B">
        <w:t xml:space="preserve">for the </w:t>
      </w:r>
      <w:r w:rsidR="00BF6266">
        <w:t xml:space="preserve">biennium </w:t>
      </w:r>
      <w:r w:rsidRPr="00026A9B">
        <w:t>2018–2019</w:t>
      </w:r>
      <w:r w:rsidR="006A5CB4">
        <w:t>;</w:t>
      </w:r>
    </w:p>
    <w:p w14:paraId="2BF3C734" w14:textId="137F0DA7" w:rsidR="004908C1" w:rsidRPr="00026A9B" w:rsidRDefault="004908C1" w:rsidP="00040F66">
      <w:pPr>
        <w:pStyle w:val="Normal-pool"/>
        <w:numPr>
          <w:ilvl w:val="0"/>
          <w:numId w:val="6"/>
        </w:numPr>
        <w:tabs>
          <w:tab w:val="clear" w:pos="1247"/>
          <w:tab w:val="clear" w:pos="1814"/>
          <w:tab w:val="clear" w:pos="2381"/>
          <w:tab w:val="clear" w:pos="2948"/>
          <w:tab w:val="clear" w:pos="3515"/>
          <w:tab w:val="clear" w:pos="4082"/>
          <w:tab w:val="left" w:pos="624"/>
        </w:tabs>
        <w:spacing w:after="120"/>
        <w:ind w:left="1247" w:firstLine="624"/>
      </w:pPr>
      <w:r w:rsidRPr="00026A9B">
        <w:t>[</w:t>
      </w:r>
      <w:r w:rsidRPr="00026A9B">
        <w:rPr>
          <w:i/>
        </w:rPr>
        <w:t>Welcomes</w:t>
      </w:r>
      <w:r w:rsidRPr="00026A9B">
        <w:t xml:space="preserve"> the </w:t>
      </w:r>
      <w:r w:rsidR="004C769D">
        <w:t xml:space="preserve">annual </w:t>
      </w:r>
      <w:r w:rsidRPr="00026A9B">
        <w:t xml:space="preserve">contribution by </w:t>
      </w:r>
      <w:r>
        <w:t>Switzerland, the host country</w:t>
      </w:r>
      <w:r w:rsidRPr="00026A9B">
        <w:t xml:space="preserve"> of the Secretariat, of [   ]</w:t>
      </w:r>
      <w:r>
        <w:t xml:space="preserve"> </w:t>
      </w:r>
      <w:r w:rsidRPr="00026A9B">
        <w:t>to [   ];</w:t>
      </w:r>
    </w:p>
    <w:p w14:paraId="422DCE29" w14:textId="408BD3E5" w:rsidR="004908C1" w:rsidRDefault="004908C1" w:rsidP="00040F66">
      <w:pPr>
        <w:pStyle w:val="Normal-pool"/>
        <w:numPr>
          <w:ilvl w:val="0"/>
          <w:numId w:val="6"/>
        </w:numPr>
        <w:tabs>
          <w:tab w:val="clear" w:pos="1247"/>
          <w:tab w:val="clear" w:pos="1814"/>
          <w:tab w:val="clear" w:pos="2381"/>
          <w:tab w:val="clear" w:pos="2948"/>
          <w:tab w:val="clear" w:pos="3515"/>
          <w:tab w:val="clear" w:pos="4082"/>
          <w:tab w:val="left" w:pos="624"/>
        </w:tabs>
        <w:spacing w:after="120"/>
        <w:ind w:left="1247" w:firstLine="624"/>
        <w:rPr>
          <w:iCs/>
        </w:rPr>
      </w:pPr>
      <w:r w:rsidRPr="00026A9B">
        <w:t>[</w:t>
      </w:r>
      <w:r w:rsidRPr="00026A9B">
        <w:rPr>
          <w:iCs/>
        </w:rPr>
        <w:t xml:space="preserve">Notes that Switzerland’s host country contribution of </w:t>
      </w:r>
      <w:r w:rsidRPr="00026A9B">
        <w:t>[   ]</w:t>
      </w:r>
      <w:r>
        <w:t xml:space="preserve"> </w:t>
      </w:r>
      <w:r w:rsidRPr="00026A9B">
        <w:rPr>
          <w:iCs/>
        </w:rPr>
        <w:t xml:space="preserve">will be apportioned </w:t>
      </w:r>
      <w:r w:rsidRPr="00026A9B">
        <w:t>[   ]</w:t>
      </w:r>
      <w:r>
        <w:t xml:space="preserve"> </w:t>
      </w:r>
      <w:r w:rsidRPr="00026A9B">
        <w:rPr>
          <w:iCs/>
        </w:rPr>
        <w:t>per</w:t>
      </w:r>
      <w:r w:rsidR="00C03273">
        <w:rPr>
          <w:iCs/>
        </w:rPr>
        <w:t> </w:t>
      </w:r>
      <w:r w:rsidRPr="00026A9B">
        <w:rPr>
          <w:iCs/>
        </w:rPr>
        <w:t xml:space="preserve">cent to the General Trust Fund and </w:t>
      </w:r>
      <w:r w:rsidRPr="00026A9B">
        <w:t>[   ]</w:t>
      </w:r>
      <w:r>
        <w:t xml:space="preserve"> </w:t>
      </w:r>
      <w:r w:rsidRPr="00026A9B">
        <w:rPr>
          <w:iCs/>
        </w:rPr>
        <w:t>per cent to the voluntary Special Trust Fund for 2018, 2019 and thereafter;</w:t>
      </w:r>
      <w:r w:rsidR="00BF6266">
        <w:rPr>
          <w:iCs/>
        </w:rPr>
        <w:t>]</w:t>
      </w:r>
    </w:p>
    <w:p w14:paraId="34DC61D0" w14:textId="61728E36" w:rsidR="004908C1" w:rsidRPr="004908C1" w:rsidRDefault="004908C1" w:rsidP="00040F66">
      <w:pPr>
        <w:pStyle w:val="Normal-pool"/>
        <w:numPr>
          <w:ilvl w:val="0"/>
          <w:numId w:val="6"/>
        </w:numPr>
        <w:tabs>
          <w:tab w:val="clear" w:pos="1247"/>
          <w:tab w:val="clear" w:pos="1814"/>
          <w:tab w:val="clear" w:pos="2381"/>
          <w:tab w:val="clear" w:pos="2948"/>
          <w:tab w:val="clear" w:pos="3515"/>
          <w:tab w:val="clear" w:pos="4082"/>
          <w:tab w:val="left" w:pos="624"/>
        </w:tabs>
        <w:spacing w:after="120"/>
        <w:ind w:left="1247" w:firstLine="624"/>
        <w:rPr>
          <w:iCs/>
        </w:rPr>
      </w:pPr>
      <w:r>
        <w:rPr>
          <w:i/>
        </w:rPr>
        <w:t xml:space="preserve">Adopts </w:t>
      </w:r>
      <w:r w:rsidRPr="00026A9B">
        <w:t xml:space="preserve">the indicative scale of assessments for the apportionment of expenses for the biennium 2018–2019 set out in table [   ] of the present decision and authorizes the Executive Secretary, consistent with the Financial Regulations and Rules of the United Nations, to adjust the scale to include all </w:t>
      </w:r>
      <w:r w:rsidR="00BF6266" w:rsidRPr="00DD3E2E">
        <w:t>p</w:t>
      </w:r>
      <w:r w:rsidRPr="00DD3E2E">
        <w:t>artie</w:t>
      </w:r>
      <w:r w:rsidRPr="00026A9B">
        <w:t>s for which the Convention enters into force before 1 January 2018 for 2018 and before 1 January 2019 for 2019</w:t>
      </w:r>
      <w:r w:rsidR="006A5CB4">
        <w:t>;</w:t>
      </w:r>
    </w:p>
    <w:p w14:paraId="755A8E94" w14:textId="4EEEE7ED" w:rsidR="004908C1" w:rsidRPr="00BB1444" w:rsidRDefault="004908C1" w:rsidP="00040F66">
      <w:pPr>
        <w:pStyle w:val="Normal-pool"/>
        <w:numPr>
          <w:ilvl w:val="0"/>
          <w:numId w:val="6"/>
        </w:numPr>
        <w:tabs>
          <w:tab w:val="clear" w:pos="1247"/>
          <w:tab w:val="clear" w:pos="1814"/>
          <w:tab w:val="clear" w:pos="2381"/>
          <w:tab w:val="clear" w:pos="2948"/>
          <w:tab w:val="clear" w:pos="3515"/>
          <w:tab w:val="clear" w:pos="4082"/>
          <w:tab w:val="left" w:pos="624"/>
        </w:tabs>
        <w:spacing w:after="120"/>
        <w:ind w:left="1247" w:firstLine="624"/>
        <w:rPr>
          <w:iCs/>
        </w:rPr>
      </w:pPr>
      <w:r w:rsidRPr="004908C1">
        <w:rPr>
          <w:i/>
        </w:rPr>
        <w:t>Recalls</w:t>
      </w:r>
      <w:r>
        <w:rPr>
          <w:iCs/>
        </w:rPr>
        <w:t xml:space="preserve"> </w:t>
      </w:r>
      <w:r w:rsidRPr="00026A9B">
        <w:t xml:space="preserve">that contributions to the </w:t>
      </w:r>
      <w:proofErr w:type="spellStart"/>
      <w:r>
        <w:t>Minamata</w:t>
      </w:r>
      <w:proofErr w:type="spellEnd"/>
      <w:r w:rsidRPr="00026A9B">
        <w:t xml:space="preserve"> Conventio</w:t>
      </w:r>
      <w:r>
        <w:t>n Trust Fund are due by or on 1</w:t>
      </w:r>
      <w:r w:rsidR="00C03273">
        <w:t> </w:t>
      </w:r>
      <w:r w:rsidRPr="00026A9B">
        <w:t xml:space="preserve">January of the year for which those contributions have been budgeted, </w:t>
      </w:r>
      <w:r>
        <w:t xml:space="preserve">and </w:t>
      </w:r>
      <w:r w:rsidRPr="00026A9B">
        <w:t xml:space="preserve">requests </w:t>
      </w:r>
      <w:r w:rsidR="006A5CB4">
        <w:t>p</w:t>
      </w:r>
      <w:r w:rsidRPr="00026A9B">
        <w:t>arties to p</w:t>
      </w:r>
      <w:r>
        <w:t>ay their contributions promptly to enable the secretariat to commence its work immediatel</w:t>
      </w:r>
      <w:r w:rsidR="00BB1444">
        <w:t>y</w:t>
      </w:r>
      <w:r w:rsidR="006A5CB4">
        <w:t>;</w:t>
      </w:r>
    </w:p>
    <w:p w14:paraId="58B4B2D1" w14:textId="2F59293D" w:rsidR="00BB1444" w:rsidRPr="00026A9B" w:rsidRDefault="004C769D" w:rsidP="00040F66">
      <w:pPr>
        <w:pStyle w:val="Normal-pool"/>
        <w:numPr>
          <w:ilvl w:val="0"/>
          <w:numId w:val="6"/>
        </w:numPr>
        <w:tabs>
          <w:tab w:val="clear" w:pos="1247"/>
          <w:tab w:val="clear" w:pos="1814"/>
          <w:tab w:val="clear" w:pos="2381"/>
          <w:tab w:val="clear" w:pos="2948"/>
          <w:tab w:val="clear" w:pos="3515"/>
          <w:tab w:val="clear" w:pos="4082"/>
          <w:tab w:val="left" w:pos="624"/>
        </w:tabs>
        <w:spacing w:after="120"/>
        <w:ind w:left="1247" w:firstLine="624"/>
        <w:rPr>
          <w:i/>
        </w:rPr>
      </w:pPr>
      <w:r>
        <w:rPr>
          <w:i/>
        </w:rPr>
        <w:t>Approves</w:t>
      </w:r>
      <w:r w:rsidR="00BB1444" w:rsidRPr="00026A9B">
        <w:t xml:space="preserve"> the indicative staffing table for the </w:t>
      </w:r>
      <w:r w:rsidR="006A5CB4">
        <w:t>s</w:t>
      </w:r>
      <w:r w:rsidR="00BB1444" w:rsidRPr="00026A9B">
        <w:t>ecretariat for the biennium 2018–2019 used for costing purposes to set the overall budget, which is set out in table [   ] of the present decision;</w:t>
      </w:r>
    </w:p>
    <w:p w14:paraId="73442E76" w14:textId="77777777" w:rsidR="005C4233" w:rsidRPr="00DA2428" w:rsidRDefault="005C4233" w:rsidP="005C4233">
      <w:pPr>
        <w:pStyle w:val="CH2"/>
        <w:spacing w:after="80"/>
        <w:ind w:right="0" w:firstLine="0"/>
        <w:jc w:val="center"/>
      </w:pPr>
      <w:r w:rsidRPr="00CF6B22">
        <w:t>II</w:t>
      </w:r>
    </w:p>
    <w:p w14:paraId="19B75F9A" w14:textId="67110B01" w:rsidR="005C4233" w:rsidRPr="00026A9B" w:rsidRDefault="00365888" w:rsidP="00365888">
      <w:pPr>
        <w:pStyle w:val="CH2"/>
        <w:spacing w:before="0"/>
        <w:ind w:right="0" w:firstLine="0"/>
        <w:jc w:val="center"/>
      </w:pPr>
      <w:r>
        <w:t xml:space="preserve">Special </w:t>
      </w:r>
      <w:r w:rsidR="005C4233" w:rsidRPr="00CF6B22">
        <w:t xml:space="preserve">Trust Fund </w:t>
      </w:r>
      <w:r>
        <w:t xml:space="preserve">of the </w:t>
      </w:r>
      <w:proofErr w:type="spellStart"/>
      <w:r>
        <w:t>Minamata</w:t>
      </w:r>
      <w:proofErr w:type="spellEnd"/>
      <w:r w:rsidR="005C4233" w:rsidRPr="00CF6B22">
        <w:t xml:space="preserve"> Convention</w:t>
      </w:r>
    </w:p>
    <w:p w14:paraId="2ADB5ECE" w14:textId="3F4788BA" w:rsidR="005C4233" w:rsidRPr="00026A9B" w:rsidRDefault="00365888" w:rsidP="00040F66">
      <w:pPr>
        <w:pStyle w:val="Normal-pool"/>
        <w:numPr>
          <w:ilvl w:val="0"/>
          <w:numId w:val="6"/>
        </w:numPr>
        <w:tabs>
          <w:tab w:val="clear" w:pos="1247"/>
          <w:tab w:val="clear" w:pos="1814"/>
          <w:tab w:val="clear" w:pos="2381"/>
          <w:tab w:val="clear" w:pos="2948"/>
          <w:tab w:val="clear" w:pos="3515"/>
          <w:tab w:val="clear" w:pos="4082"/>
          <w:tab w:val="left" w:pos="624"/>
        </w:tabs>
        <w:spacing w:after="120"/>
        <w:ind w:left="1247" w:firstLine="624"/>
      </w:pPr>
      <w:r>
        <w:rPr>
          <w:i/>
        </w:rPr>
        <w:t>Agrees</w:t>
      </w:r>
      <w:r w:rsidR="005C4233" w:rsidRPr="00026A9B">
        <w:t xml:space="preserve"> </w:t>
      </w:r>
      <w:r>
        <w:t>to</w:t>
      </w:r>
      <w:r w:rsidR="005C4233" w:rsidRPr="00026A9B">
        <w:t xml:space="preserve"> the funding estimates included in table [   ] of the present decision for activities under the Convention to be financed from the </w:t>
      </w:r>
      <w:r>
        <w:t xml:space="preserve">Special </w:t>
      </w:r>
      <w:r w:rsidR="005C4233" w:rsidRPr="00026A9B">
        <w:t>Trust Fund in the amount of [   ] United States dollars for 2018 and [   ] United States dollars for 2019;</w:t>
      </w:r>
    </w:p>
    <w:p w14:paraId="381D34A9" w14:textId="2ECF15BB" w:rsidR="007C5644" w:rsidRDefault="00365888" w:rsidP="00040F66">
      <w:pPr>
        <w:pStyle w:val="Normal-pool"/>
        <w:numPr>
          <w:ilvl w:val="0"/>
          <w:numId w:val="6"/>
        </w:numPr>
        <w:tabs>
          <w:tab w:val="clear" w:pos="1247"/>
          <w:tab w:val="clear" w:pos="1814"/>
          <w:tab w:val="clear" w:pos="2381"/>
          <w:tab w:val="clear" w:pos="2948"/>
          <w:tab w:val="clear" w:pos="3515"/>
          <w:tab w:val="clear" w:pos="4082"/>
          <w:tab w:val="left" w:pos="624"/>
        </w:tabs>
        <w:spacing w:after="120"/>
        <w:ind w:left="1247" w:firstLine="624"/>
      </w:pPr>
      <w:r>
        <w:rPr>
          <w:i/>
        </w:rPr>
        <w:t xml:space="preserve">Requests </w:t>
      </w:r>
      <w:r w:rsidR="006A5CB4">
        <w:t>p</w:t>
      </w:r>
      <w:r w:rsidR="005C4233" w:rsidRPr="00026A9B">
        <w:t xml:space="preserve">arties and invites </w:t>
      </w:r>
      <w:r w:rsidR="00DD3E2E">
        <w:t>non-</w:t>
      </w:r>
      <w:r w:rsidR="006A5CB4">
        <w:t>part</w:t>
      </w:r>
      <w:r w:rsidR="00DD3E2E">
        <w:t>ies</w:t>
      </w:r>
      <w:r w:rsidR="006A5CB4">
        <w:t xml:space="preserve"> to the Convention</w:t>
      </w:r>
      <w:r w:rsidR="005C4233" w:rsidRPr="00026A9B">
        <w:t xml:space="preserve"> and others </w:t>
      </w:r>
      <w:r w:rsidR="007E6D54">
        <w:t xml:space="preserve">in a position to do so, </w:t>
      </w:r>
      <w:r w:rsidR="005C4233" w:rsidRPr="00026A9B">
        <w:t xml:space="preserve">to </w:t>
      </w:r>
      <w:r w:rsidR="007E6D54">
        <w:t xml:space="preserve">contribute to </w:t>
      </w:r>
      <w:r w:rsidR="005C4233" w:rsidRPr="00026A9B">
        <w:t xml:space="preserve">the </w:t>
      </w:r>
      <w:r>
        <w:t>Special</w:t>
      </w:r>
      <w:r w:rsidR="005C4233" w:rsidRPr="00026A9B">
        <w:t xml:space="preserve"> Trust Fund so as to </w:t>
      </w:r>
      <w:r w:rsidRPr="00E73D20">
        <w:t>enable support</w:t>
      </w:r>
      <w:r>
        <w:t xml:space="preserve"> </w:t>
      </w:r>
      <w:r w:rsidR="006B3928">
        <w:t xml:space="preserve">for </w:t>
      </w:r>
      <w:r>
        <w:t>capacity-building and technical assistance in accordance with Article 14</w:t>
      </w:r>
      <w:r w:rsidR="005C4233" w:rsidRPr="00026A9B">
        <w:t>;</w:t>
      </w:r>
      <w:r>
        <w:t xml:space="preserve"> </w:t>
      </w:r>
    </w:p>
    <w:p w14:paraId="5C2B965A" w14:textId="2B620E05" w:rsidR="00D63972" w:rsidRDefault="007C5644" w:rsidP="00040F66">
      <w:pPr>
        <w:pStyle w:val="Normal-pool"/>
        <w:numPr>
          <w:ilvl w:val="0"/>
          <w:numId w:val="6"/>
        </w:numPr>
        <w:tabs>
          <w:tab w:val="clear" w:pos="1247"/>
          <w:tab w:val="clear" w:pos="1814"/>
          <w:tab w:val="clear" w:pos="2381"/>
          <w:tab w:val="clear" w:pos="2948"/>
          <w:tab w:val="clear" w:pos="3515"/>
          <w:tab w:val="clear" w:pos="4082"/>
          <w:tab w:val="left" w:pos="624"/>
        </w:tabs>
        <w:spacing w:after="120"/>
        <w:ind w:left="1247" w:firstLine="624"/>
      </w:pPr>
      <w:r>
        <w:rPr>
          <w:i/>
        </w:rPr>
        <w:t xml:space="preserve">Requests </w:t>
      </w:r>
      <w:r w:rsidR="006A5CB4">
        <w:t>p</w:t>
      </w:r>
      <w:r w:rsidRPr="00026A9B">
        <w:t xml:space="preserve">arties and invites </w:t>
      </w:r>
      <w:r w:rsidR="00DD3E2E">
        <w:t>non-parties</w:t>
      </w:r>
      <w:r w:rsidR="006A5CB4">
        <w:t xml:space="preserve"> to the Convention</w:t>
      </w:r>
      <w:r w:rsidRPr="00026A9B">
        <w:t xml:space="preserve"> and others </w:t>
      </w:r>
      <w:r>
        <w:t xml:space="preserve">in a position to do so, </w:t>
      </w:r>
      <w:r w:rsidRPr="00026A9B">
        <w:t xml:space="preserve">to </w:t>
      </w:r>
      <w:r>
        <w:t xml:space="preserve">contribute to </w:t>
      </w:r>
      <w:r w:rsidRPr="00026A9B">
        <w:t xml:space="preserve">the </w:t>
      </w:r>
      <w:r>
        <w:t>Special</w:t>
      </w:r>
      <w:r w:rsidRPr="00026A9B">
        <w:t xml:space="preserve"> Trust Fund so as to </w:t>
      </w:r>
      <w:r w:rsidR="00365888">
        <w:t>support the participation of representatives of developing countr</w:t>
      </w:r>
      <w:r w:rsidR="008F4EF8">
        <w:t>ies that are parties to the Convention</w:t>
      </w:r>
      <w:r w:rsidR="00365888">
        <w:t xml:space="preserve"> in the meetings of the </w:t>
      </w:r>
      <w:r w:rsidR="007E6D54">
        <w:t>Conference</w:t>
      </w:r>
      <w:r w:rsidR="00365888">
        <w:t xml:space="preserve"> of the Parties and its subsidiary bodies;</w:t>
      </w:r>
    </w:p>
    <w:p w14:paraId="616465A5" w14:textId="2A7CA0D9" w:rsidR="00BB1444" w:rsidRPr="00026A9B" w:rsidRDefault="00BB1444" w:rsidP="0033544C">
      <w:pPr>
        <w:pStyle w:val="Normal-pool"/>
        <w:keepNext/>
        <w:keepLines/>
        <w:numPr>
          <w:ilvl w:val="0"/>
          <w:numId w:val="6"/>
        </w:numPr>
        <w:tabs>
          <w:tab w:val="clear" w:pos="1247"/>
          <w:tab w:val="clear" w:pos="1814"/>
          <w:tab w:val="clear" w:pos="2381"/>
          <w:tab w:val="clear" w:pos="2948"/>
          <w:tab w:val="clear" w:pos="3515"/>
          <w:tab w:val="clear" w:pos="4082"/>
          <w:tab w:val="left" w:pos="624"/>
        </w:tabs>
        <w:spacing w:after="120"/>
        <w:ind w:left="1247" w:firstLine="624"/>
        <w:rPr>
          <w:i/>
        </w:rPr>
      </w:pPr>
      <w:r w:rsidRPr="00026A9B">
        <w:t>[</w:t>
      </w:r>
      <w:r w:rsidRPr="00026A9B">
        <w:rPr>
          <w:i/>
        </w:rPr>
        <w:t>Invites</w:t>
      </w:r>
      <w:r w:rsidRPr="00026A9B">
        <w:t xml:space="preserve"> Switzerland to include in its contribution to the voluntary Special Trust Fund support for, among other things, the participation of developing</w:t>
      </w:r>
      <w:r w:rsidR="008F4EF8">
        <w:t xml:space="preserve"> countries that are parties to the Convention</w:t>
      </w:r>
      <w:r w:rsidRPr="00026A9B">
        <w:t xml:space="preserve">, in particular least developed countries and small island developing States, and </w:t>
      </w:r>
      <w:r w:rsidR="008F4EF8" w:rsidRPr="00241415">
        <w:t>p</w:t>
      </w:r>
      <w:r w:rsidRPr="00241415">
        <w:t>arties with economies</w:t>
      </w:r>
      <w:r w:rsidRPr="00026A9B">
        <w:t xml:space="preserve"> in transition, in meetings of the Convention and joint activities between the Basel, Rotterdam and Stockholm conventions];</w:t>
      </w:r>
    </w:p>
    <w:p w14:paraId="70C2074F" w14:textId="084CB25F" w:rsidR="00BB1444" w:rsidRPr="004C7753" w:rsidRDefault="00BB1444" w:rsidP="0033544C">
      <w:pPr>
        <w:pStyle w:val="CH2"/>
        <w:spacing w:after="80"/>
        <w:ind w:right="0" w:firstLine="0"/>
        <w:jc w:val="center"/>
      </w:pPr>
      <w:r w:rsidRPr="00241415">
        <w:t>III</w:t>
      </w:r>
    </w:p>
    <w:p w14:paraId="55C47021" w14:textId="0AB481D2" w:rsidR="00BB1444" w:rsidRPr="00DA2428" w:rsidRDefault="005D5AE3" w:rsidP="0033544C">
      <w:pPr>
        <w:pStyle w:val="CH2"/>
        <w:spacing w:before="0"/>
        <w:ind w:right="0" w:firstLine="0"/>
        <w:jc w:val="center"/>
      </w:pPr>
      <w:r w:rsidRPr="00241415">
        <w:t>Current biennium and p</w:t>
      </w:r>
      <w:r w:rsidR="00BB1444" w:rsidRPr="00241415">
        <w:t>reparations for the next biennium</w:t>
      </w:r>
      <w:r w:rsidR="007B52DF">
        <w:t xml:space="preserve"> </w:t>
      </w:r>
    </w:p>
    <w:p w14:paraId="792C5340" w14:textId="0A3362CD" w:rsidR="003E2D1B" w:rsidRDefault="003E2D1B">
      <w:pPr>
        <w:pStyle w:val="Normal-pool"/>
        <w:numPr>
          <w:ilvl w:val="0"/>
          <w:numId w:val="6"/>
        </w:numPr>
        <w:tabs>
          <w:tab w:val="clear" w:pos="1247"/>
          <w:tab w:val="clear" w:pos="1814"/>
          <w:tab w:val="clear" w:pos="2381"/>
          <w:tab w:val="clear" w:pos="2948"/>
          <w:tab w:val="clear" w:pos="3515"/>
          <w:tab w:val="clear" w:pos="4082"/>
          <w:tab w:val="left" w:pos="624"/>
        </w:tabs>
        <w:spacing w:after="120"/>
        <w:ind w:left="1247" w:firstLine="624"/>
      </w:pPr>
      <w:r w:rsidRPr="00026A9B">
        <w:rPr>
          <w:i/>
        </w:rPr>
        <w:t>Requests</w:t>
      </w:r>
      <w:r>
        <w:t xml:space="preserve"> the Executive </w:t>
      </w:r>
      <w:r w:rsidRPr="00C03273">
        <w:t>Secretar</w:t>
      </w:r>
      <w:r w:rsidR="00BB26C9" w:rsidRPr="00C03273">
        <w:t>y</w:t>
      </w:r>
      <w:r w:rsidRPr="00143F7A">
        <w:t xml:space="preserve"> </w:t>
      </w:r>
      <w:r w:rsidRPr="00026A9B">
        <w:t xml:space="preserve">at the </w:t>
      </w:r>
      <w:r>
        <w:t xml:space="preserve">second meeting of the Conference of the Parties to provide an update on </w:t>
      </w:r>
      <w:r w:rsidRPr="00026A9B">
        <w:t xml:space="preserve">[   ] </w:t>
      </w:r>
      <w:r>
        <w:t>and</w:t>
      </w:r>
      <w:r w:rsidR="00410A75">
        <w:t>,</w:t>
      </w:r>
      <w:r>
        <w:t xml:space="preserve"> </w:t>
      </w:r>
      <w:r w:rsidRPr="00026A9B">
        <w:t xml:space="preserve">where relevant, cost estimates for actions that have budgetary implications that </w:t>
      </w:r>
      <w:r>
        <w:t>were</w:t>
      </w:r>
      <w:r w:rsidRPr="00026A9B">
        <w:t xml:space="preserve"> not foreseen in the </w:t>
      </w:r>
      <w:r>
        <w:t>first</w:t>
      </w:r>
      <w:r w:rsidRPr="00026A9B">
        <w:t xml:space="preserve"> programme of work but are included in proposed draft decisions</w:t>
      </w:r>
      <w:r w:rsidR="004272BD">
        <w:t>,</w:t>
      </w:r>
      <w:r w:rsidRPr="00026A9B">
        <w:t xml:space="preserve"> before the adoption of those decisions by the Conference of the Parties</w:t>
      </w:r>
      <w:r w:rsidR="007B52DF">
        <w:t>,</w:t>
      </w:r>
      <w:r w:rsidR="005D5AE3">
        <w:t xml:space="preserve"> and therefore have budgetary implication</w:t>
      </w:r>
      <w:r w:rsidR="00410A75">
        <w:t>s</w:t>
      </w:r>
      <w:r w:rsidR="005D5AE3">
        <w:t xml:space="preserve"> in the current biennium</w:t>
      </w:r>
      <w:r w:rsidRPr="00026A9B">
        <w:t>;</w:t>
      </w:r>
    </w:p>
    <w:p w14:paraId="4C28F2E9" w14:textId="067D1D0C" w:rsidR="003E2D1B" w:rsidRPr="00026A9B" w:rsidRDefault="003E2D1B" w:rsidP="00040F66">
      <w:pPr>
        <w:pStyle w:val="Normal-pool"/>
        <w:numPr>
          <w:ilvl w:val="0"/>
          <w:numId w:val="6"/>
        </w:numPr>
        <w:tabs>
          <w:tab w:val="clear" w:pos="1247"/>
          <w:tab w:val="clear" w:pos="1814"/>
          <w:tab w:val="clear" w:pos="2381"/>
          <w:tab w:val="clear" w:pos="2948"/>
          <w:tab w:val="clear" w:pos="3515"/>
          <w:tab w:val="clear" w:pos="4082"/>
          <w:tab w:val="left" w:pos="624"/>
        </w:tabs>
        <w:spacing w:after="120"/>
        <w:ind w:left="1247" w:firstLine="624"/>
        <w:rPr>
          <w:i/>
        </w:rPr>
      </w:pPr>
      <w:r w:rsidRPr="00026A9B">
        <w:rPr>
          <w:i/>
        </w:rPr>
        <w:t xml:space="preserve">Requests </w:t>
      </w:r>
      <w:r>
        <w:t>the Executive Secretary</w:t>
      </w:r>
      <w:r w:rsidRPr="00026A9B">
        <w:t xml:space="preserve"> to pre</w:t>
      </w:r>
      <w:r w:rsidR="00BE23BC">
        <w:t xml:space="preserve">pare a budget for the biennium </w:t>
      </w:r>
      <w:r w:rsidRPr="00026A9B">
        <w:t xml:space="preserve">2020–2021, for consideration by the Conference of the Parties at its </w:t>
      </w:r>
      <w:r w:rsidR="00BE23BC">
        <w:t>third</w:t>
      </w:r>
      <w:r w:rsidRPr="00026A9B">
        <w:t xml:space="preserve"> meeting</w:t>
      </w:r>
      <w:r w:rsidR="005D5AE3">
        <w:t xml:space="preserve"> in 2019</w:t>
      </w:r>
      <w:r w:rsidRPr="00026A9B">
        <w:t xml:space="preserve">, explaining the key principles, assumptions and programmatic strategy on which the budget is based and presenting expenditures for the </w:t>
      </w:r>
      <w:r w:rsidR="00410A75">
        <w:t>that biennium</w:t>
      </w:r>
      <w:r w:rsidRPr="00026A9B">
        <w:t xml:space="preserve"> in a programmatic format</w:t>
      </w:r>
      <w:r w:rsidR="00410A75">
        <w:t>.</w:t>
      </w:r>
      <w:r w:rsidRPr="00026A9B">
        <w:t xml:space="preserve"> </w:t>
      </w:r>
    </w:p>
    <w:p w14:paraId="1CA2DBD7" w14:textId="7954980E" w:rsidR="00D63972" w:rsidRPr="008162A1" w:rsidRDefault="00D63972">
      <w:pPr>
        <w:tabs>
          <w:tab w:val="clear" w:pos="1247"/>
          <w:tab w:val="clear" w:pos="1814"/>
          <w:tab w:val="clear" w:pos="2381"/>
          <w:tab w:val="clear" w:pos="2948"/>
          <w:tab w:val="clear" w:pos="3515"/>
        </w:tabs>
        <w:rPr>
          <w:b/>
          <w:bCs/>
          <w:sz w:val="28"/>
          <w:szCs w:val="22"/>
          <w:lang w:val="en-GB"/>
        </w:rPr>
      </w:pPr>
      <w:r w:rsidRPr="008162A1">
        <w:rPr>
          <w:lang w:val="en-GB"/>
        </w:rPr>
        <w:br w:type="page"/>
      </w:r>
    </w:p>
    <w:p w14:paraId="3D5A50FD" w14:textId="6D212A9D" w:rsidR="00D63972" w:rsidRPr="008162A1" w:rsidRDefault="00D63972" w:rsidP="00367F75">
      <w:pPr>
        <w:pStyle w:val="ZZAnxheader"/>
      </w:pPr>
      <w:r w:rsidRPr="008162A1">
        <w:rPr>
          <w:szCs w:val="28"/>
        </w:rPr>
        <w:t>Annex II</w:t>
      </w:r>
      <w:r w:rsidR="007423DF" w:rsidRPr="008162A1">
        <w:rPr>
          <w:szCs w:val="28"/>
        </w:rPr>
        <w:t xml:space="preserve"> </w:t>
      </w:r>
    </w:p>
    <w:p w14:paraId="4587FD74" w14:textId="08D0023F" w:rsidR="00FF1C4E" w:rsidRPr="006F6715" w:rsidRDefault="00FF1C4E" w:rsidP="00FF1C4E">
      <w:pPr>
        <w:pStyle w:val="ZZAnxtitle"/>
        <w:rPr>
          <w:sz w:val="24"/>
          <w:szCs w:val="24"/>
        </w:rPr>
      </w:pPr>
      <w:r w:rsidRPr="006F6715">
        <w:rPr>
          <w:sz w:val="24"/>
          <w:szCs w:val="24"/>
        </w:rPr>
        <w:t xml:space="preserve">List of proposed activities included in the </w:t>
      </w:r>
      <w:proofErr w:type="spellStart"/>
      <w:r w:rsidRPr="006F6715">
        <w:rPr>
          <w:sz w:val="24"/>
          <w:szCs w:val="24"/>
        </w:rPr>
        <w:t>Minamata</w:t>
      </w:r>
      <w:proofErr w:type="spellEnd"/>
      <w:r w:rsidRPr="006F6715">
        <w:rPr>
          <w:sz w:val="24"/>
          <w:szCs w:val="24"/>
        </w:rPr>
        <w:t xml:space="preserve"> Convention </w:t>
      </w:r>
      <w:r w:rsidR="00BF6266">
        <w:rPr>
          <w:sz w:val="24"/>
          <w:szCs w:val="24"/>
        </w:rPr>
        <w:t xml:space="preserve">on Mercury </w:t>
      </w:r>
      <w:r w:rsidRPr="006F6715">
        <w:rPr>
          <w:sz w:val="24"/>
          <w:szCs w:val="24"/>
        </w:rPr>
        <w:t>programme of work for the period 2018</w:t>
      </w:r>
      <w:r w:rsidRPr="006F6715">
        <w:rPr>
          <w:rFonts w:eastAsia="Calibri"/>
          <w:sz w:val="24"/>
          <w:szCs w:val="24"/>
        </w:rPr>
        <w:t>–</w:t>
      </w:r>
      <w:r w:rsidRPr="006F6715">
        <w:rPr>
          <w:sz w:val="24"/>
          <w:szCs w:val="24"/>
        </w:rPr>
        <w:t>2019</w:t>
      </w:r>
      <w:r w:rsidR="00717BEA">
        <w:rPr>
          <w:sz w:val="24"/>
          <w:szCs w:val="24"/>
        </w:rPr>
        <w:t xml:space="preserve"> </w:t>
      </w:r>
    </w:p>
    <w:tbl>
      <w:tblPr>
        <w:tblW w:w="8221" w:type="dxa"/>
        <w:tblInd w:w="1385" w:type="dxa"/>
        <w:tblLook w:val="01E0" w:firstRow="1" w:lastRow="1" w:firstColumn="1" w:lastColumn="1" w:noHBand="0" w:noVBand="0"/>
      </w:tblPr>
      <w:tblGrid>
        <w:gridCol w:w="991"/>
        <w:gridCol w:w="7230"/>
      </w:tblGrid>
      <w:tr w:rsidR="00FF1C4E" w:rsidRPr="008162A1" w14:paraId="16BD7E85" w14:textId="77777777" w:rsidTr="00C03273">
        <w:trPr>
          <w:trHeight w:val="522"/>
          <w:tblHeader/>
        </w:trPr>
        <w:tc>
          <w:tcPr>
            <w:tcW w:w="991" w:type="dxa"/>
            <w:tcBorders>
              <w:top w:val="single" w:sz="4" w:space="0" w:color="auto"/>
              <w:bottom w:val="single" w:sz="12" w:space="0" w:color="auto"/>
            </w:tcBorders>
            <w:vAlign w:val="center"/>
          </w:tcPr>
          <w:p w14:paraId="0D132EE0" w14:textId="77777777" w:rsidR="00FF1C4E" w:rsidRPr="008162A1" w:rsidRDefault="00FF1C4E" w:rsidP="00D815A6">
            <w:pPr>
              <w:tabs>
                <w:tab w:val="clear" w:pos="1814"/>
                <w:tab w:val="clear" w:pos="2381"/>
                <w:tab w:val="clear" w:pos="2948"/>
                <w:tab w:val="clear" w:pos="3515"/>
                <w:tab w:val="left" w:pos="624"/>
                <w:tab w:val="left" w:pos="1871"/>
                <w:tab w:val="left" w:pos="2495"/>
                <w:tab w:val="left" w:pos="3119"/>
                <w:tab w:val="left" w:pos="3742"/>
              </w:tabs>
              <w:spacing w:before="60" w:after="60"/>
              <w:rPr>
                <w:i/>
                <w:lang w:val="en-GB"/>
              </w:rPr>
            </w:pPr>
            <w:r w:rsidRPr="008162A1">
              <w:rPr>
                <w:i/>
                <w:lang w:val="en-GB"/>
              </w:rPr>
              <w:t>Activity number</w:t>
            </w:r>
          </w:p>
        </w:tc>
        <w:tc>
          <w:tcPr>
            <w:tcW w:w="7230" w:type="dxa"/>
            <w:tcBorders>
              <w:top w:val="single" w:sz="4" w:space="0" w:color="auto"/>
              <w:bottom w:val="single" w:sz="12" w:space="0" w:color="auto"/>
            </w:tcBorders>
            <w:vAlign w:val="center"/>
          </w:tcPr>
          <w:p w14:paraId="33F9F1C9" w14:textId="77777777" w:rsidR="00FF1C4E" w:rsidRPr="008162A1" w:rsidRDefault="00FF1C4E" w:rsidP="00D815A6">
            <w:pPr>
              <w:tabs>
                <w:tab w:val="clear" w:pos="1814"/>
                <w:tab w:val="clear" w:pos="2381"/>
                <w:tab w:val="clear" w:pos="2948"/>
                <w:tab w:val="clear" w:pos="3515"/>
                <w:tab w:val="left" w:pos="624"/>
                <w:tab w:val="left" w:pos="1871"/>
                <w:tab w:val="left" w:pos="2495"/>
                <w:tab w:val="left" w:pos="3119"/>
                <w:tab w:val="left" w:pos="3742"/>
              </w:tabs>
              <w:spacing w:before="60" w:after="60"/>
              <w:rPr>
                <w:i/>
                <w:lang w:val="en-GB"/>
              </w:rPr>
            </w:pPr>
            <w:r w:rsidRPr="008162A1">
              <w:rPr>
                <w:i/>
                <w:lang w:val="en-GB"/>
              </w:rPr>
              <w:t>Headings and activity description</w:t>
            </w:r>
          </w:p>
        </w:tc>
      </w:tr>
      <w:tr w:rsidR="00FF1C4E" w:rsidRPr="008162A1" w14:paraId="3992051A" w14:textId="77777777" w:rsidTr="00C03273">
        <w:tc>
          <w:tcPr>
            <w:tcW w:w="991" w:type="dxa"/>
            <w:tcBorders>
              <w:top w:val="single" w:sz="12" w:space="0" w:color="auto"/>
              <w:bottom w:val="single" w:sz="4" w:space="0" w:color="auto"/>
            </w:tcBorders>
          </w:tcPr>
          <w:p w14:paraId="7EAB6744" w14:textId="77777777" w:rsidR="00FF1C4E" w:rsidRPr="008162A1" w:rsidRDefault="00FF1C4E" w:rsidP="00D815A6">
            <w:pPr>
              <w:tabs>
                <w:tab w:val="clear" w:pos="1814"/>
                <w:tab w:val="clear" w:pos="2381"/>
                <w:tab w:val="clear" w:pos="2948"/>
                <w:tab w:val="clear" w:pos="3515"/>
                <w:tab w:val="left" w:pos="624"/>
                <w:tab w:val="left" w:pos="1871"/>
                <w:tab w:val="left" w:pos="2495"/>
                <w:tab w:val="left" w:pos="3119"/>
                <w:tab w:val="left" w:pos="3742"/>
              </w:tabs>
              <w:spacing w:before="60" w:after="60"/>
              <w:jc w:val="center"/>
              <w:rPr>
                <w:b/>
                <w:bCs/>
                <w:lang w:val="en-GB"/>
              </w:rPr>
            </w:pPr>
          </w:p>
        </w:tc>
        <w:tc>
          <w:tcPr>
            <w:tcW w:w="7230" w:type="dxa"/>
            <w:tcBorders>
              <w:top w:val="single" w:sz="12" w:space="0" w:color="auto"/>
              <w:bottom w:val="single" w:sz="4" w:space="0" w:color="auto"/>
            </w:tcBorders>
          </w:tcPr>
          <w:p w14:paraId="10A58954" w14:textId="77777777" w:rsidR="00FF1C4E" w:rsidRPr="008162A1" w:rsidRDefault="00FF1C4E" w:rsidP="00D815A6">
            <w:pPr>
              <w:tabs>
                <w:tab w:val="clear" w:pos="1814"/>
                <w:tab w:val="clear" w:pos="2381"/>
                <w:tab w:val="clear" w:pos="2948"/>
                <w:tab w:val="clear" w:pos="3515"/>
                <w:tab w:val="left" w:pos="624"/>
                <w:tab w:val="left" w:pos="1871"/>
                <w:tab w:val="left" w:pos="2495"/>
                <w:tab w:val="left" w:pos="3119"/>
                <w:tab w:val="left" w:pos="3742"/>
              </w:tabs>
              <w:spacing w:before="60" w:after="60"/>
              <w:rPr>
                <w:b/>
                <w:u w:val="single"/>
                <w:lang w:val="en-GB"/>
              </w:rPr>
            </w:pPr>
            <w:r w:rsidRPr="008162A1">
              <w:rPr>
                <w:b/>
                <w:lang w:val="en-GB"/>
              </w:rPr>
              <w:t>1. Conferences and meetings</w:t>
            </w:r>
          </w:p>
        </w:tc>
      </w:tr>
      <w:tr w:rsidR="00FF1C4E" w:rsidRPr="00AA1F5E" w14:paraId="21BE9BCC" w14:textId="77777777" w:rsidTr="00C03273">
        <w:tc>
          <w:tcPr>
            <w:tcW w:w="991" w:type="dxa"/>
            <w:tcBorders>
              <w:top w:val="single" w:sz="4" w:space="0" w:color="auto"/>
            </w:tcBorders>
          </w:tcPr>
          <w:p w14:paraId="31DA8904" w14:textId="77777777" w:rsidR="00FF1C4E" w:rsidRPr="008162A1" w:rsidRDefault="00FF1C4E" w:rsidP="00D815A6">
            <w:pPr>
              <w:tabs>
                <w:tab w:val="clear" w:pos="1814"/>
                <w:tab w:val="clear" w:pos="2381"/>
                <w:tab w:val="clear" w:pos="2948"/>
                <w:tab w:val="clear" w:pos="3515"/>
                <w:tab w:val="left" w:pos="624"/>
                <w:tab w:val="left" w:pos="1871"/>
                <w:tab w:val="left" w:pos="2495"/>
                <w:tab w:val="left" w:pos="3119"/>
                <w:tab w:val="left" w:pos="3742"/>
              </w:tabs>
              <w:spacing w:before="60" w:after="60"/>
              <w:jc w:val="center"/>
              <w:rPr>
                <w:bCs/>
                <w:lang w:val="en-GB"/>
              </w:rPr>
            </w:pPr>
            <w:r w:rsidRPr="008162A1">
              <w:rPr>
                <w:bCs/>
                <w:lang w:val="en-GB"/>
              </w:rPr>
              <w:t xml:space="preserve">1 </w:t>
            </w:r>
          </w:p>
        </w:tc>
        <w:tc>
          <w:tcPr>
            <w:tcW w:w="7230" w:type="dxa"/>
            <w:tcBorders>
              <w:top w:val="single" w:sz="4" w:space="0" w:color="auto"/>
            </w:tcBorders>
          </w:tcPr>
          <w:p w14:paraId="27C73EBD" w14:textId="77777777" w:rsidR="00FF1C4E" w:rsidRPr="008162A1" w:rsidRDefault="00FF1C4E" w:rsidP="00D815A6">
            <w:pPr>
              <w:tabs>
                <w:tab w:val="clear" w:pos="1814"/>
                <w:tab w:val="clear" w:pos="2381"/>
                <w:tab w:val="clear" w:pos="2948"/>
                <w:tab w:val="clear" w:pos="3515"/>
                <w:tab w:val="left" w:pos="624"/>
                <w:tab w:val="left" w:pos="1871"/>
                <w:tab w:val="left" w:pos="2495"/>
                <w:tab w:val="left" w:pos="3119"/>
                <w:tab w:val="left" w:pos="3742"/>
              </w:tabs>
              <w:spacing w:before="60" w:after="60"/>
              <w:rPr>
                <w:lang w:val="en-GB"/>
              </w:rPr>
            </w:pPr>
            <w:r w:rsidRPr="008162A1">
              <w:rPr>
                <w:lang w:val="en-GB"/>
              </w:rPr>
              <w:t>Second meeting of the Conference of the Parties</w:t>
            </w:r>
          </w:p>
        </w:tc>
      </w:tr>
      <w:tr w:rsidR="00FF1C4E" w:rsidRPr="00AA1F5E" w14:paraId="3287CAAA" w14:textId="77777777" w:rsidTr="00C03273">
        <w:tc>
          <w:tcPr>
            <w:tcW w:w="991" w:type="dxa"/>
          </w:tcPr>
          <w:p w14:paraId="286BB15C" w14:textId="77777777" w:rsidR="00FF1C4E" w:rsidRPr="008162A1" w:rsidRDefault="00FF1C4E" w:rsidP="00D815A6">
            <w:pPr>
              <w:tabs>
                <w:tab w:val="clear" w:pos="1814"/>
                <w:tab w:val="clear" w:pos="2381"/>
                <w:tab w:val="clear" w:pos="2948"/>
                <w:tab w:val="clear" w:pos="3515"/>
                <w:tab w:val="left" w:pos="624"/>
                <w:tab w:val="left" w:pos="1871"/>
                <w:tab w:val="left" w:pos="2495"/>
                <w:tab w:val="left" w:pos="3119"/>
                <w:tab w:val="left" w:pos="3742"/>
              </w:tabs>
              <w:spacing w:before="60" w:after="60"/>
              <w:jc w:val="center"/>
              <w:rPr>
                <w:bCs/>
                <w:lang w:val="en-GB"/>
              </w:rPr>
            </w:pPr>
            <w:r w:rsidRPr="008162A1">
              <w:rPr>
                <w:bCs/>
                <w:lang w:val="en-GB"/>
              </w:rPr>
              <w:t>2</w:t>
            </w:r>
          </w:p>
        </w:tc>
        <w:tc>
          <w:tcPr>
            <w:tcW w:w="7230" w:type="dxa"/>
          </w:tcPr>
          <w:p w14:paraId="467FDE81" w14:textId="77777777" w:rsidR="00FF1C4E" w:rsidRPr="008162A1" w:rsidRDefault="00FF1C4E" w:rsidP="00D815A6">
            <w:pPr>
              <w:tabs>
                <w:tab w:val="clear" w:pos="1814"/>
                <w:tab w:val="clear" w:pos="2381"/>
                <w:tab w:val="clear" w:pos="2948"/>
                <w:tab w:val="clear" w:pos="3515"/>
                <w:tab w:val="left" w:pos="624"/>
                <w:tab w:val="left" w:pos="1871"/>
                <w:tab w:val="left" w:pos="2495"/>
                <w:tab w:val="left" w:pos="3119"/>
                <w:tab w:val="left" w:pos="3742"/>
              </w:tabs>
              <w:spacing w:before="60" w:after="60"/>
              <w:rPr>
                <w:lang w:val="en-GB"/>
              </w:rPr>
            </w:pPr>
            <w:r w:rsidRPr="008162A1">
              <w:rPr>
                <w:lang w:val="en-GB"/>
              </w:rPr>
              <w:t>Third meeting of the Conference of the Parties</w:t>
            </w:r>
          </w:p>
        </w:tc>
      </w:tr>
      <w:tr w:rsidR="00FF1C4E" w:rsidRPr="00AA1F5E" w14:paraId="776B07F1" w14:textId="77777777" w:rsidTr="00C03273">
        <w:tc>
          <w:tcPr>
            <w:tcW w:w="991" w:type="dxa"/>
          </w:tcPr>
          <w:p w14:paraId="1E76A065" w14:textId="77777777" w:rsidR="00FF1C4E" w:rsidRPr="008162A1" w:rsidRDefault="00FF1C4E" w:rsidP="00D815A6">
            <w:pPr>
              <w:tabs>
                <w:tab w:val="clear" w:pos="1814"/>
                <w:tab w:val="clear" w:pos="2381"/>
                <w:tab w:val="clear" w:pos="2948"/>
                <w:tab w:val="clear" w:pos="3515"/>
                <w:tab w:val="left" w:pos="624"/>
                <w:tab w:val="left" w:pos="1871"/>
                <w:tab w:val="left" w:pos="2495"/>
                <w:tab w:val="left" w:pos="3119"/>
                <w:tab w:val="left" w:pos="3742"/>
              </w:tabs>
              <w:spacing w:before="60" w:after="60"/>
              <w:jc w:val="center"/>
              <w:rPr>
                <w:bCs/>
                <w:lang w:val="en-GB"/>
              </w:rPr>
            </w:pPr>
            <w:r w:rsidRPr="008162A1">
              <w:rPr>
                <w:bCs/>
                <w:lang w:val="en-GB"/>
              </w:rPr>
              <w:t>3</w:t>
            </w:r>
          </w:p>
        </w:tc>
        <w:tc>
          <w:tcPr>
            <w:tcW w:w="7230" w:type="dxa"/>
          </w:tcPr>
          <w:p w14:paraId="47F404DA" w14:textId="77777777" w:rsidR="00FF1C4E" w:rsidRPr="008162A1" w:rsidRDefault="00FF1C4E" w:rsidP="00D815A6">
            <w:pPr>
              <w:tabs>
                <w:tab w:val="clear" w:pos="1814"/>
                <w:tab w:val="clear" w:pos="2381"/>
                <w:tab w:val="clear" w:pos="2948"/>
                <w:tab w:val="clear" w:pos="3515"/>
                <w:tab w:val="left" w:pos="624"/>
                <w:tab w:val="left" w:pos="1871"/>
                <w:tab w:val="left" w:pos="2495"/>
                <w:tab w:val="left" w:pos="3119"/>
                <w:tab w:val="left" w:pos="3742"/>
              </w:tabs>
              <w:spacing w:before="60" w:after="60"/>
              <w:rPr>
                <w:lang w:val="en-GB"/>
              </w:rPr>
            </w:pPr>
            <w:r w:rsidRPr="008162A1">
              <w:rPr>
                <w:lang w:val="en-GB"/>
              </w:rPr>
              <w:t>Bureau of the Conference of the Parties</w:t>
            </w:r>
          </w:p>
        </w:tc>
      </w:tr>
      <w:tr w:rsidR="00FF1C4E" w:rsidRPr="008162A1" w14:paraId="7C9358FE" w14:textId="77777777" w:rsidTr="00C03273">
        <w:tc>
          <w:tcPr>
            <w:tcW w:w="991" w:type="dxa"/>
          </w:tcPr>
          <w:p w14:paraId="601CA634" w14:textId="77777777" w:rsidR="00FF1C4E" w:rsidRPr="008162A1" w:rsidRDefault="00FF1C4E" w:rsidP="00D815A6">
            <w:pPr>
              <w:tabs>
                <w:tab w:val="clear" w:pos="1814"/>
                <w:tab w:val="clear" w:pos="2381"/>
                <w:tab w:val="clear" w:pos="2948"/>
                <w:tab w:val="clear" w:pos="3515"/>
                <w:tab w:val="left" w:pos="624"/>
                <w:tab w:val="left" w:pos="1871"/>
                <w:tab w:val="left" w:pos="2495"/>
                <w:tab w:val="left" w:pos="3119"/>
                <w:tab w:val="left" w:pos="3742"/>
              </w:tabs>
              <w:spacing w:before="60" w:after="60"/>
              <w:jc w:val="center"/>
              <w:rPr>
                <w:bCs/>
                <w:lang w:val="en-GB"/>
              </w:rPr>
            </w:pPr>
            <w:r w:rsidRPr="008162A1">
              <w:rPr>
                <w:bCs/>
                <w:lang w:val="en-GB"/>
              </w:rPr>
              <w:t>4</w:t>
            </w:r>
          </w:p>
        </w:tc>
        <w:tc>
          <w:tcPr>
            <w:tcW w:w="7230" w:type="dxa"/>
          </w:tcPr>
          <w:p w14:paraId="46210A42" w14:textId="77777777" w:rsidR="00FF1C4E" w:rsidRPr="008162A1" w:rsidRDefault="00FF1C4E" w:rsidP="00D815A6">
            <w:pPr>
              <w:tabs>
                <w:tab w:val="clear" w:pos="1814"/>
                <w:tab w:val="clear" w:pos="2381"/>
                <w:tab w:val="clear" w:pos="2948"/>
                <w:tab w:val="clear" w:pos="3515"/>
                <w:tab w:val="left" w:pos="624"/>
                <w:tab w:val="left" w:pos="1871"/>
                <w:tab w:val="left" w:pos="2495"/>
                <w:tab w:val="left" w:pos="3119"/>
                <w:tab w:val="left" w:pos="3742"/>
              </w:tabs>
              <w:spacing w:before="60" w:after="60"/>
              <w:rPr>
                <w:lang w:val="en-GB"/>
              </w:rPr>
            </w:pPr>
            <w:r w:rsidRPr="008162A1">
              <w:rPr>
                <w:lang w:val="en-GB"/>
              </w:rPr>
              <w:t xml:space="preserve">Implementation and Compliance Committee </w:t>
            </w:r>
          </w:p>
        </w:tc>
      </w:tr>
      <w:tr w:rsidR="00FF1C4E" w:rsidRPr="00AA1F5E" w14:paraId="010EC01B" w14:textId="77777777" w:rsidTr="00C03273">
        <w:tc>
          <w:tcPr>
            <w:tcW w:w="991" w:type="dxa"/>
            <w:tcBorders>
              <w:top w:val="single" w:sz="4" w:space="0" w:color="auto"/>
              <w:bottom w:val="single" w:sz="4" w:space="0" w:color="auto"/>
            </w:tcBorders>
          </w:tcPr>
          <w:p w14:paraId="3BCA125E" w14:textId="77777777" w:rsidR="00FF1C4E" w:rsidRPr="008162A1" w:rsidRDefault="00FF1C4E" w:rsidP="00D815A6">
            <w:pPr>
              <w:tabs>
                <w:tab w:val="clear" w:pos="1814"/>
                <w:tab w:val="clear" w:pos="2381"/>
                <w:tab w:val="clear" w:pos="2948"/>
                <w:tab w:val="clear" w:pos="3515"/>
                <w:tab w:val="left" w:pos="624"/>
                <w:tab w:val="left" w:pos="1871"/>
                <w:tab w:val="left" w:pos="2495"/>
                <w:tab w:val="left" w:pos="3119"/>
                <w:tab w:val="left" w:pos="3742"/>
              </w:tabs>
              <w:spacing w:before="60" w:after="60"/>
              <w:rPr>
                <w:lang w:val="en-GB"/>
              </w:rPr>
            </w:pPr>
          </w:p>
        </w:tc>
        <w:tc>
          <w:tcPr>
            <w:tcW w:w="7230" w:type="dxa"/>
            <w:tcBorders>
              <w:top w:val="single" w:sz="4" w:space="0" w:color="auto"/>
              <w:bottom w:val="single" w:sz="4" w:space="0" w:color="auto"/>
            </w:tcBorders>
          </w:tcPr>
          <w:p w14:paraId="522F70FF" w14:textId="77777777" w:rsidR="00FF1C4E" w:rsidRPr="008162A1" w:rsidRDefault="00FF1C4E" w:rsidP="00D815A6">
            <w:pPr>
              <w:tabs>
                <w:tab w:val="clear" w:pos="1814"/>
                <w:tab w:val="clear" w:pos="2381"/>
                <w:tab w:val="clear" w:pos="2948"/>
                <w:tab w:val="clear" w:pos="3515"/>
                <w:tab w:val="left" w:pos="624"/>
                <w:tab w:val="left" w:pos="1871"/>
                <w:tab w:val="left" w:pos="2495"/>
                <w:tab w:val="left" w:pos="3119"/>
                <w:tab w:val="left" w:pos="3742"/>
              </w:tabs>
              <w:spacing w:before="60" w:after="60"/>
              <w:rPr>
                <w:b/>
                <w:u w:val="single"/>
                <w:lang w:val="en-GB"/>
              </w:rPr>
            </w:pPr>
            <w:r w:rsidRPr="008162A1">
              <w:rPr>
                <w:b/>
                <w:lang w:val="en-GB"/>
              </w:rPr>
              <w:t>2. Cap</w:t>
            </w:r>
            <w:r>
              <w:rPr>
                <w:b/>
                <w:lang w:val="en-GB"/>
              </w:rPr>
              <w:t>acity-</w:t>
            </w:r>
            <w:r w:rsidRPr="008162A1">
              <w:rPr>
                <w:b/>
                <w:lang w:val="en-GB"/>
              </w:rPr>
              <w:t>building and technical assistance</w:t>
            </w:r>
          </w:p>
        </w:tc>
      </w:tr>
      <w:tr w:rsidR="00FF1C4E" w:rsidRPr="00AA1F5E" w14:paraId="2DE6C879" w14:textId="77777777" w:rsidTr="00C03273">
        <w:tc>
          <w:tcPr>
            <w:tcW w:w="991" w:type="dxa"/>
            <w:tcBorders>
              <w:top w:val="single" w:sz="4" w:space="0" w:color="auto"/>
            </w:tcBorders>
          </w:tcPr>
          <w:p w14:paraId="2DEC7AA4" w14:textId="77777777" w:rsidR="00FF1C4E" w:rsidRPr="008162A1" w:rsidRDefault="00FF1C4E" w:rsidP="00D815A6">
            <w:pPr>
              <w:tabs>
                <w:tab w:val="clear" w:pos="1814"/>
                <w:tab w:val="clear" w:pos="2381"/>
                <w:tab w:val="clear" w:pos="2948"/>
                <w:tab w:val="clear" w:pos="3515"/>
                <w:tab w:val="left" w:pos="624"/>
                <w:tab w:val="left" w:pos="1871"/>
                <w:tab w:val="left" w:pos="2495"/>
                <w:tab w:val="left" w:pos="3119"/>
                <w:tab w:val="left" w:pos="3742"/>
              </w:tabs>
              <w:spacing w:before="60" w:after="60"/>
              <w:jc w:val="center"/>
              <w:rPr>
                <w:bCs/>
                <w:lang w:val="en-GB"/>
              </w:rPr>
            </w:pPr>
            <w:r>
              <w:rPr>
                <w:bCs/>
                <w:lang w:val="en-GB"/>
              </w:rPr>
              <w:t>5</w:t>
            </w:r>
          </w:p>
        </w:tc>
        <w:tc>
          <w:tcPr>
            <w:tcW w:w="7230" w:type="dxa"/>
            <w:tcBorders>
              <w:top w:val="single" w:sz="4" w:space="0" w:color="auto"/>
            </w:tcBorders>
          </w:tcPr>
          <w:p w14:paraId="6429AD35" w14:textId="77777777" w:rsidR="00FF1C4E" w:rsidRPr="008162A1" w:rsidRDefault="00FF1C4E" w:rsidP="00D815A6">
            <w:pPr>
              <w:tabs>
                <w:tab w:val="clear" w:pos="1814"/>
                <w:tab w:val="clear" w:pos="2381"/>
                <w:tab w:val="clear" w:pos="2948"/>
                <w:tab w:val="clear" w:pos="3515"/>
                <w:tab w:val="left" w:pos="624"/>
                <w:tab w:val="left" w:pos="1871"/>
                <w:tab w:val="left" w:pos="2495"/>
                <w:tab w:val="left" w:pos="3119"/>
                <w:tab w:val="left" w:pos="3742"/>
              </w:tabs>
              <w:spacing w:before="60" w:after="60"/>
              <w:rPr>
                <w:lang w:val="en-GB"/>
              </w:rPr>
            </w:pPr>
            <w:r>
              <w:rPr>
                <w:lang w:val="en-GB"/>
              </w:rPr>
              <w:t>Capacity-</w:t>
            </w:r>
            <w:r w:rsidRPr="008162A1">
              <w:rPr>
                <w:lang w:val="en-GB"/>
              </w:rPr>
              <w:t xml:space="preserve">building and technical assistance programme of the </w:t>
            </w:r>
            <w:proofErr w:type="spellStart"/>
            <w:r w:rsidRPr="008162A1">
              <w:rPr>
                <w:lang w:val="en-GB"/>
              </w:rPr>
              <w:t>Minamata</w:t>
            </w:r>
            <w:proofErr w:type="spellEnd"/>
            <w:r w:rsidRPr="008162A1">
              <w:rPr>
                <w:lang w:val="en-GB"/>
              </w:rPr>
              <w:t xml:space="preserve"> Convention</w:t>
            </w:r>
          </w:p>
        </w:tc>
      </w:tr>
      <w:tr w:rsidR="00FF1C4E" w:rsidRPr="008162A1" w14:paraId="04067F76" w14:textId="77777777" w:rsidTr="00C03273">
        <w:tc>
          <w:tcPr>
            <w:tcW w:w="991" w:type="dxa"/>
            <w:tcBorders>
              <w:top w:val="single" w:sz="4" w:space="0" w:color="auto"/>
              <w:bottom w:val="single" w:sz="4" w:space="0" w:color="auto"/>
            </w:tcBorders>
          </w:tcPr>
          <w:p w14:paraId="09A58FA5" w14:textId="77777777" w:rsidR="00FF1C4E" w:rsidRPr="008162A1" w:rsidRDefault="00FF1C4E" w:rsidP="00D815A6">
            <w:pPr>
              <w:keepNext/>
              <w:keepLines/>
              <w:tabs>
                <w:tab w:val="clear" w:pos="1814"/>
                <w:tab w:val="clear" w:pos="2381"/>
                <w:tab w:val="clear" w:pos="2948"/>
                <w:tab w:val="clear" w:pos="3515"/>
                <w:tab w:val="left" w:pos="624"/>
                <w:tab w:val="left" w:pos="1871"/>
                <w:tab w:val="left" w:pos="2495"/>
                <w:tab w:val="left" w:pos="3119"/>
                <w:tab w:val="left" w:pos="3742"/>
              </w:tabs>
              <w:spacing w:before="60" w:after="60"/>
              <w:rPr>
                <w:lang w:val="en-GB"/>
              </w:rPr>
            </w:pPr>
          </w:p>
        </w:tc>
        <w:tc>
          <w:tcPr>
            <w:tcW w:w="7230" w:type="dxa"/>
            <w:tcBorders>
              <w:top w:val="single" w:sz="4" w:space="0" w:color="auto"/>
              <w:bottom w:val="single" w:sz="4" w:space="0" w:color="auto"/>
            </w:tcBorders>
          </w:tcPr>
          <w:p w14:paraId="2F845D92" w14:textId="77777777" w:rsidR="00FF1C4E" w:rsidRPr="008162A1" w:rsidRDefault="00FF1C4E" w:rsidP="00D815A6">
            <w:pPr>
              <w:tabs>
                <w:tab w:val="clear" w:pos="1814"/>
                <w:tab w:val="clear" w:pos="2381"/>
                <w:tab w:val="clear" w:pos="2948"/>
                <w:tab w:val="clear" w:pos="3515"/>
                <w:tab w:val="left" w:pos="624"/>
                <w:tab w:val="left" w:pos="1871"/>
                <w:tab w:val="left" w:pos="2495"/>
                <w:tab w:val="left" w:pos="3119"/>
                <w:tab w:val="left" w:pos="3742"/>
              </w:tabs>
              <w:spacing w:before="60" w:after="60"/>
              <w:rPr>
                <w:b/>
                <w:u w:val="single"/>
                <w:lang w:val="en-GB"/>
              </w:rPr>
            </w:pPr>
            <w:r w:rsidRPr="008162A1">
              <w:rPr>
                <w:b/>
                <w:lang w:val="en-GB"/>
              </w:rPr>
              <w:t>3. Scientific and technical activities</w:t>
            </w:r>
          </w:p>
        </w:tc>
      </w:tr>
      <w:tr w:rsidR="00FF1C4E" w:rsidRPr="00AA1F5E" w14:paraId="7D321B07" w14:textId="77777777" w:rsidTr="00C03273">
        <w:tc>
          <w:tcPr>
            <w:tcW w:w="991" w:type="dxa"/>
            <w:tcBorders>
              <w:top w:val="single" w:sz="4" w:space="0" w:color="auto"/>
            </w:tcBorders>
          </w:tcPr>
          <w:p w14:paraId="0854880B" w14:textId="77777777" w:rsidR="00FF1C4E" w:rsidRPr="008162A1" w:rsidRDefault="00FF1C4E" w:rsidP="00D815A6">
            <w:pPr>
              <w:keepNext/>
              <w:keepLines/>
              <w:tabs>
                <w:tab w:val="clear" w:pos="1814"/>
                <w:tab w:val="clear" w:pos="2381"/>
                <w:tab w:val="clear" w:pos="2948"/>
                <w:tab w:val="clear" w:pos="3515"/>
                <w:tab w:val="left" w:pos="624"/>
                <w:tab w:val="left" w:pos="1871"/>
                <w:tab w:val="left" w:pos="2495"/>
                <w:tab w:val="left" w:pos="3119"/>
                <w:tab w:val="left" w:pos="3742"/>
              </w:tabs>
              <w:spacing w:before="60" w:after="60"/>
              <w:jc w:val="center"/>
              <w:rPr>
                <w:bCs/>
                <w:lang w:val="en-GB"/>
              </w:rPr>
            </w:pPr>
            <w:r>
              <w:rPr>
                <w:bCs/>
                <w:lang w:val="en-GB"/>
              </w:rPr>
              <w:t>6</w:t>
            </w:r>
          </w:p>
        </w:tc>
        <w:tc>
          <w:tcPr>
            <w:tcW w:w="7230" w:type="dxa"/>
            <w:tcBorders>
              <w:top w:val="single" w:sz="4" w:space="0" w:color="auto"/>
            </w:tcBorders>
          </w:tcPr>
          <w:p w14:paraId="2DF3CDFC" w14:textId="25FB1885" w:rsidR="00FF1C4E" w:rsidRPr="00B745EE" w:rsidRDefault="00FF1C4E" w:rsidP="00717BEA">
            <w:pPr>
              <w:keepNext/>
              <w:keepLines/>
              <w:tabs>
                <w:tab w:val="clear" w:pos="1814"/>
                <w:tab w:val="clear" w:pos="2381"/>
                <w:tab w:val="clear" w:pos="2948"/>
                <w:tab w:val="clear" w:pos="3515"/>
                <w:tab w:val="left" w:pos="624"/>
                <w:tab w:val="left" w:pos="1871"/>
                <w:tab w:val="left" w:pos="2495"/>
                <w:tab w:val="left" w:pos="3119"/>
                <w:tab w:val="left" w:pos="3742"/>
              </w:tabs>
              <w:spacing w:before="60" w:after="60"/>
              <w:rPr>
                <w:lang w:val="en-GB"/>
              </w:rPr>
            </w:pPr>
            <w:r w:rsidRPr="00241415">
              <w:rPr>
                <w:lang w:val="en-GB"/>
              </w:rPr>
              <w:t xml:space="preserve">Scientific support </w:t>
            </w:r>
            <w:r w:rsidR="00717BEA" w:rsidRPr="00241415">
              <w:rPr>
                <w:lang w:val="en-GB"/>
              </w:rPr>
              <w:t>to the States p</w:t>
            </w:r>
            <w:r w:rsidRPr="00241415">
              <w:rPr>
                <w:lang w:val="en-GB"/>
              </w:rPr>
              <w:t xml:space="preserve">arties to the </w:t>
            </w:r>
            <w:proofErr w:type="spellStart"/>
            <w:r w:rsidRPr="00241415">
              <w:rPr>
                <w:lang w:val="en-GB"/>
              </w:rPr>
              <w:t>Minamata</w:t>
            </w:r>
            <w:proofErr w:type="spellEnd"/>
            <w:r w:rsidRPr="00241415">
              <w:rPr>
                <w:lang w:val="en-GB"/>
              </w:rPr>
              <w:t xml:space="preserve"> Convention</w:t>
            </w:r>
          </w:p>
        </w:tc>
      </w:tr>
      <w:tr w:rsidR="00FF1C4E" w:rsidRPr="00AA1F5E" w14:paraId="4DB9701B" w14:textId="77777777" w:rsidTr="00C03273">
        <w:tc>
          <w:tcPr>
            <w:tcW w:w="991" w:type="dxa"/>
          </w:tcPr>
          <w:p w14:paraId="0643DD9F" w14:textId="77777777" w:rsidR="00FF1C4E" w:rsidRPr="008162A1" w:rsidRDefault="00FF1C4E" w:rsidP="00D815A6">
            <w:pPr>
              <w:keepNext/>
              <w:keepLines/>
              <w:tabs>
                <w:tab w:val="clear" w:pos="1814"/>
                <w:tab w:val="clear" w:pos="2381"/>
                <w:tab w:val="clear" w:pos="2948"/>
                <w:tab w:val="clear" w:pos="3515"/>
                <w:tab w:val="left" w:pos="624"/>
                <w:tab w:val="left" w:pos="1871"/>
                <w:tab w:val="left" w:pos="2495"/>
                <w:tab w:val="left" w:pos="3119"/>
                <w:tab w:val="left" w:pos="3742"/>
              </w:tabs>
              <w:spacing w:before="60" w:after="60"/>
              <w:jc w:val="center"/>
              <w:rPr>
                <w:bCs/>
                <w:lang w:val="en-GB"/>
              </w:rPr>
            </w:pPr>
            <w:r>
              <w:rPr>
                <w:bCs/>
                <w:lang w:val="en-GB"/>
              </w:rPr>
              <w:t>7</w:t>
            </w:r>
          </w:p>
        </w:tc>
        <w:tc>
          <w:tcPr>
            <w:tcW w:w="7230" w:type="dxa"/>
          </w:tcPr>
          <w:p w14:paraId="7499DCD3" w14:textId="77777777" w:rsidR="00FF1C4E" w:rsidRPr="00B745EE" w:rsidRDefault="00FF1C4E" w:rsidP="00D815A6">
            <w:pPr>
              <w:keepNext/>
              <w:keepLines/>
              <w:tabs>
                <w:tab w:val="clear" w:pos="1814"/>
                <w:tab w:val="clear" w:pos="2381"/>
                <w:tab w:val="clear" w:pos="2948"/>
                <w:tab w:val="clear" w:pos="3515"/>
                <w:tab w:val="left" w:pos="624"/>
                <w:tab w:val="left" w:pos="1871"/>
                <w:tab w:val="left" w:pos="2495"/>
                <w:tab w:val="left" w:pos="3119"/>
                <w:tab w:val="left" w:pos="3742"/>
              </w:tabs>
              <w:spacing w:before="60" w:after="60"/>
              <w:rPr>
                <w:lang w:val="en-GB"/>
              </w:rPr>
            </w:pPr>
            <w:r w:rsidRPr="00241415">
              <w:rPr>
                <w:lang w:val="en-GB"/>
              </w:rPr>
              <w:t>Effectiveness evaluation and the global monitoring plan</w:t>
            </w:r>
          </w:p>
        </w:tc>
      </w:tr>
      <w:tr w:rsidR="00FF1C4E" w:rsidRPr="00AA1F5E" w14:paraId="48EA0545" w14:textId="77777777" w:rsidTr="00C03273">
        <w:tc>
          <w:tcPr>
            <w:tcW w:w="991" w:type="dxa"/>
            <w:tcBorders>
              <w:bottom w:val="single" w:sz="4" w:space="0" w:color="auto"/>
            </w:tcBorders>
          </w:tcPr>
          <w:p w14:paraId="5E0E938C" w14:textId="77777777" w:rsidR="00FF1C4E" w:rsidRPr="008162A1" w:rsidRDefault="00FF1C4E" w:rsidP="00D815A6">
            <w:pPr>
              <w:keepNext/>
              <w:keepLines/>
              <w:tabs>
                <w:tab w:val="clear" w:pos="1814"/>
                <w:tab w:val="clear" w:pos="2381"/>
                <w:tab w:val="clear" w:pos="2948"/>
                <w:tab w:val="clear" w:pos="3515"/>
                <w:tab w:val="left" w:pos="624"/>
                <w:tab w:val="left" w:pos="1871"/>
                <w:tab w:val="left" w:pos="2495"/>
                <w:tab w:val="left" w:pos="3119"/>
                <w:tab w:val="left" w:pos="3742"/>
              </w:tabs>
              <w:spacing w:before="60" w:after="60"/>
              <w:jc w:val="center"/>
              <w:rPr>
                <w:bCs/>
                <w:lang w:val="en-GB"/>
              </w:rPr>
            </w:pPr>
            <w:r>
              <w:rPr>
                <w:bCs/>
                <w:lang w:val="en-GB"/>
              </w:rPr>
              <w:t>8</w:t>
            </w:r>
          </w:p>
        </w:tc>
        <w:tc>
          <w:tcPr>
            <w:tcW w:w="7230" w:type="dxa"/>
            <w:tcBorders>
              <w:bottom w:val="single" w:sz="4" w:space="0" w:color="auto"/>
            </w:tcBorders>
          </w:tcPr>
          <w:p w14:paraId="703F5698" w14:textId="77777777" w:rsidR="00FF1C4E" w:rsidRPr="008162A1" w:rsidRDefault="00FF1C4E" w:rsidP="00D815A6">
            <w:pPr>
              <w:keepNext/>
              <w:keepLines/>
              <w:tabs>
                <w:tab w:val="clear" w:pos="1814"/>
                <w:tab w:val="clear" w:pos="2381"/>
                <w:tab w:val="clear" w:pos="2948"/>
                <w:tab w:val="clear" w:pos="3515"/>
                <w:tab w:val="left" w:pos="624"/>
                <w:tab w:val="left" w:pos="1871"/>
                <w:tab w:val="left" w:pos="2495"/>
                <w:tab w:val="left" w:pos="3119"/>
                <w:tab w:val="left" w:pos="3742"/>
              </w:tabs>
              <w:spacing w:before="60" w:after="60"/>
              <w:rPr>
                <w:lang w:val="en-GB"/>
              </w:rPr>
            </w:pPr>
            <w:r w:rsidRPr="008162A1">
              <w:rPr>
                <w:lang w:val="en-GB"/>
              </w:rPr>
              <w:t xml:space="preserve">National reporting under the </w:t>
            </w:r>
            <w:proofErr w:type="spellStart"/>
            <w:r w:rsidRPr="008162A1">
              <w:rPr>
                <w:lang w:val="en-GB"/>
              </w:rPr>
              <w:t>Minamata</w:t>
            </w:r>
            <w:proofErr w:type="spellEnd"/>
            <w:r w:rsidRPr="008162A1">
              <w:rPr>
                <w:lang w:val="en-GB"/>
              </w:rPr>
              <w:t xml:space="preserve"> Convention</w:t>
            </w:r>
          </w:p>
        </w:tc>
      </w:tr>
      <w:tr w:rsidR="00FF1C4E" w:rsidRPr="00AA1F5E" w14:paraId="06AD8033" w14:textId="77777777" w:rsidTr="00C03273">
        <w:tc>
          <w:tcPr>
            <w:tcW w:w="991" w:type="dxa"/>
            <w:tcBorders>
              <w:top w:val="single" w:sz="4" w:space="0" w:color="auto"/>
              <w:bottom w:val="single" w:sz="4" w:space="0" w:color="auto"/>
            </w:tcBorders>
          </w:tcPr>
          <w:p w14:paraId="54D9123D" w14:textId="77777777" w:rsidR="00FF1C4E" w:rsidRPr="008162A1" w:rsidRDefault="00FF1C4E" w:rsidP="00D815A6">
            <w:pPr>
              <w:keepNext/>
              <w:keepLines/>
              <w:tabs>
                <w:tab w:val="clear" w:pos="1814"/>
                <w:tab w:val="clear" w:pos="2381"/>
                <w:tab w:val="clear" w:pos="2948"/>
                <w:tab w:val="clear" w:pos="3515"/>
                <w:tab w:val="left" w:pos="624"/>
                <w:tab w:val="left" w:pos="1871"/>
                <w:tab w:val="left" w:pos="2495"/>
                <w:tab w:val="left" w:pos="3119"/>
                <w:tab w:val="left" w:pos="3742"/>
              </w:tabs>
              <w:spacing w:before="60" w:after="60"/>
              <w:rPr>
                <w:lang w:val="en-GB"/>
              </w:rPr>
            </w:pPr>
          </w:p>
        </w:tc>
        <w:tc>
          <w:tcPr>
            <w:tcW w:w="7230" w:type="dxa"/>
            <w:tcBorders>
              <w:top w:val="single" w:sz="4" w:space="0" w:color="auto"/>
              <w:bottom w:val="single" w:sz="4" w:space="0" w:color="auto"/>
            </w:tcBorders>
          </w:tcPr>
          <w:p w14:paraId="269D96C3" w14:textId="77777777" w:rsidR="00FF1C4E" w:rsidRPr="008162A1" w:rsidRDefault="00FF1C4E" w:rsidP="00D815A6">
            <w:pPr>
              <w:tabs>
                <w:tab w:val="clear" w:pos="1814"/>
                <w:tab w:val="clear" w:pos="2381"/>
                <w:tab w:val="clear" w:pos="2948"/>
                <w:tab w:val="clear" w:pos="3515"/>
                <w:tab w:val="left" w:pos="624"/>
                <w:tab w:val="left" w:pos="1871"/>
                <w:tab w:val="left" w:pos="2495"/>
                <w:tab w:val="left" w:pos="3119"/>
                <w:tab w:val="left" w:pos="3742"/>
              </w:tabs>
              <w:spacing w:before="60" w:after="60"/>
              <w:rPr>
                <w:b/>
                <w:u w:val="single"/>
                <w:lang w:val="en-GB"/>
              </w:rPr>
            </w:pPr>
            <w:r w:rsidRPr="008162A1">
              <w:rPr>
                <w:b/>
                <w:lang w:val="en-GB"/>
              </w:rPr>
              <w:t>4. Knowledge and information management</w:t>
            </w:r>
            <w:r>
              <w:rPr>
                <w:b/>
                <w:lang w:val="en-GB"/>
              </w:rPr>
              <w:t>,</w:t>
            </w:r>
            <w:r w:rsidRPr="008162A1">
              <w:rPr>
                <w:b/>
                <w:lang w:val="en-GB"/>
              </w:rPr>
              <w:t xml:space="preserve"> and outreach</w:t>
            </w:r>
          </w:p>
        </w:tc>
      </w:tr>
      <w:tr w:rsidR="00FF1C4E" w:rsidRPr="008162A1" w14:paraId="226E1264" w14:textId="77777777" w:rsidTr="00C03273">
        <w:tc>
          <w:tcPr>
            <w:tcW w:w="991" w:type="dxa"/>
          </w:tcPr>
          <w:p w14:paraId="491BD156" w14:textId="77777777" w:rsidR="00FF1C4E" w:rsidRPr="008162A1" w:rsidRDefault="00FF1C4E" w:rsidP="00D815A6">
            <w:pPr>
              <w:tabs>
                <w:tab w:val="clear" w:pos="1814"/>
                <w:tab w:val="clear" w:pos="2381"/>
                <w:tab w:val="clear" w:pos="2948"/>
                <w:tab w:val="clear" w:pos="3515"/>
                <w:tab w:val="left" w:pos="624"/>
                <w:tab w:val="left" w:pos="1871"/>
                <w:tab w:val="left" w:pos="2495"/>
                <w:tab w:val="left" w:pos="3119"/>
                <w:tab w:val="left" w:pos="3742"/>
              </w:tabs>
              <w:spacing w:before="60" w:after="60"/>
              <w:jc w:val="center"/>
              <w:rPr>
                <w:bCs/>
                <w:lang w:val="en-GB"/>
              </w:rPr>
            </w:pPr>
            <w:r>
              <w:rPr>
                <w:bCs/>
                <w:lang w:val="en-GB"/>
              </w:rPr>
              <w:t>9</w:t>
            </w:r>
          </w:p>
        </w:tc>
        <w:tc>
          <w:tcPr>
            <w:tcW w:w="7230" w:type="dxa"/>
          </w:tcPr>
          <w:p w14:paraId="4B3A9B8B" w14:textId="77777777" w:rsidR="00FF1C4E" w:rsidRPr="008162A1" w:rsidRDefault="00FF1C4E" w:rsidP="00D815A6">
            <w:pPr>
              <w:tabs>
                <w:tab w:val="clear" w:pos="1814"/>
                <w:tab w:val="clear" w:pos="2381"/>
                <w:tab w:val="clear" w:pos="2948"/>
                <w:tab w:val="clear" w:pos="3515"/>
                <w:tab w:val="left" w:pos="624"/>
                <w:tab w:val="left" w:pos="1871"/>
                <w:tab w:val="left" w:pos="2495"/>
                <w:tab w:val="left" w:pos="3119"/>
                <w:tab w:val="left" w:pos="3742"/>
              </w:tabs>
              <w:spacing w:before="60" w:after="60"/>
              <w:rPr>
                <w:lang w:val="en-GB"/>
              </w:rPr>
            </w:pPr>
            <w:r w:rsidRPr="008162A1">
              <w:rPr>
                <w:lang w:val="en-GB"/>
              </w:rPr>
              <w:t>Publications</w:t>
            </w:r>
          </w:p>
        </w:tc>
      </w:tr>
      <w:tr w:rsidR="00FF1C4E" w:rsidRPr="00AA1F5E" w14:paraId="64E46768" w14:textId="77777777" w:rsidTr="00C03273">
        <w:tc>
          <w:tcPr>
            <w:tcW w:w="991" w:type="dxa"/>
            <w:tcBorders>
              <w:bottom w:val="single" w:sz="4" w:space="0" w:color="auto"/>
            </w:tcBorders>
          </w:tcPr>
          <w:p w14:paraId="73C45992" w14:textId="77777777" w:rsidR="00FF1C4E" w:rsidRPr="008162A1" w:rsidRDefault="00FF1C4E" w:rsidP="00D815A6">
            <w:pPr>
              <w:tabs>
                <w:tab w:val="clear" w:pos="1814"/>
                <w:tab w:val="clear" w:pos="2381"/>
                <w:tab w:val="clear" w:pos="2948"/>
                <w:tab w:val="clear" w:pos="3515"/>
                <w:tab w:val="left" w:pos="624"/>
                <w:tab w:val="left" w:pos="1871"/>
                <w:tab w:val="left" w:pos="2495"/>
                <w:tab w:val="left" w:pos="3119"/>
                <w:tab w:val="left" w:pos="3742"/>
              </w:tabs>
              <w:spacing w:before="60" w:after="60"/>
              <w:jc w:val="center"/>
              <w:rPr>
                <w:bCs/>
                <w:lang w:val="en-GB"/>
              </w:rPr>
            </w:pPr>
            <w:r>
              <w:rPr>
                <w:bCs/>
                <w:lang w:val="en-GB"/>
              </w:rPr>
              <w:t>10</w:t>
            </w:r>
          </w:p>
        </w:tc>
        <w:tc>
          <w:tcPr>
            <w:tcW w:w="7230" w:type="dxa"/>
            <w:tcBorders>
              <w:bottom w:val="single" w:sz="4" w:space="0" w:color="auto"/>
            </w:tcBorders>
          </w:tcPr>
          <w:p w14:paraId="4EAD2EAC" w14:textId="77777777" w:rsidR="00FF1C4E" w:rsidRPr="008162A1" w:rsidRDefault="00FF1C4E" w:rsidP="00D815A6">
            <w:pPr>
              <w:tabs>
                <w:tab w:val="clear" w:pos="1814"/>
                <w:tab w:val="clear" w:pos="2381"/>
                <w:tab w:val="clear" w:pos="2948"/>
                <w:tab w:val="clear" w:pos="3515"/>
                <w:tab w:val="left" w:pos="624"/>
                <w:tab w:val="left" w:pos="1871"/>
                <w:tab w:val="left" w:pos="2495"/>
                <w:tab w:val="left" w:pos="3119"/>
                <w:tab w:val="left" w:pos="3742"/>
              </w:tabs>
              <w:spacing w:before="60" w:after="60"/>
              <w:rPr>
                <w:lang w:val="en-GB"/>
              </w:rPr>
            </w:pPr>
            <w:r w:rsidRPr="008162A1">
              <w:rPr>
                <w:lang w:val="en-GB"/>
              </w:rPr>
              <w:t>Communication, outreach and public awareness</w:t>
            </w:r>
          </w:p>
        </w:tc>
      </w:tr>
      <w:tr w:rsidR="00FF1C4E" w:rsidRPr="008162A1" w14:paraId="2C743174" w14:textId="77777777" w:rsidTr="00C03273">
        <w:tc>
          <w:tcPr>
            <w:tcW w:w="991" w:type="dxa"/>
            <w:tcBorders>
              <w:top w:val="single" w:sz="4" w:space="0" w:color="auto"/>
              <w:bottom w:val="single" w:sz="4" w:space="0" w:color="auto"/>
            </w:tcBorders>
          </w:tcPr>
          <w:p w14:paraId="295FE257" w14:textId="77777777" w:rsidR="00FF1C4E" w:rsidRPr="008162A1" w:rsidRDefault="00FF1C4E" w:rsidP="00D815A6">
            <w:pPr>
              <w:tabs>
                <w:tab w:val="clear" w:pos="1814"/>
                <w:tab w:val="clear" w:pos="2381"/>
                <w:tab w:val="clear" w:pos="2948"/>
                <w:tab w:val="clear" w:pos="3515"/>
                <w:tab w:val="left" w:pos="624"/>
                <w:tab w:val="left" w:pos="1871"/>
                <w:tab w:val="left" w:pos="2495"/>
                <w:tab w:val="left" w:pos="3119"/>
                <w:tab w:val="left" w:pos="3742"/>
              </w:tabs>
              <w:spacing w:before="60" w:after="60"/>
              <w:jc w:val="center"/>
              <w:rPr>
                <w:bCs/>
                <w:lang w:val="en-GB"/>
              </w:rPr>
            </w:pPr>
          </w:p>
        </w:tc>
        <w:tc>
          <w:tcPr>
            <w:tcW w:w="7230" w:type="dxa"/>
            <w:tcBorders>
              <w:top w:val="single" w:sz="4" w:space="0" w:color="auto"/>
              <w:bottom w:val="single" w:sz="4" w:space="0" w:color="auto"/>
            </w:tcBorders>
          </w:tcPr>
          <w:p w14:paraId="5E7AEA1D" w14:textId="77777777" w:rsidR="00FF1C4E" w:rsidRPr="008162A1" w:rsidRDefault="00FF1C4E" w:rsidP="00D815A6">
            <w:pPr>
              <w:tabs>
                <w:tab w:val="clear" w:pos="1814"/>
                <w:tab w:val="clear" w:pos="2381"/>
                <w:tab w:val="clear" w:pos="2948"/>
                <w:tab w:val="clear" w:pos="3515"/>
                <w:tab w:val="left" w:pos="624"/>
                <w:tab w:val="left" w:pos="1871"/>
                <w:tab w:val="left" w:pos="2495"/>
                <w:tab w:val="left" w:pos="3119"/>
                <w:tab w:val="left" w:pos="3742"/>
              </w:tabs>
              <w:spacing w:before="60" w:after="60"/>
              <w:rPr>
                <w:b/>
                <w:u w:val="single"/>
                <w:lang w:val="en-GB"/>
              </w:rPr>
            </w:pPr>
            <w:r w:rsidRPr="008162A1">
              <w:rPr>
                <w:b/>
                <w:lang w:val="en-GB"/>
              </w:rPr>
              <w:t>5. Overall management</w:t>
            </w:r>
          </w:p>
        </w:tc>
      </w:tr>
      <w:tr w:rsidR="00FF1C4E" w:rsidRPr="008162A1" w14:paraId="27DD0992" w14:textId="77777777" w:rsidTr="00C03273">
        <w:tc>
          <w:tcPr>
            <w:tcW w:w="991" w:type="dxa"/>
            <w:tcBorders>
              <w:top w:val="single" w:sz="4" w:space="0" w:color="auto"/>
            </w:tcBorders>
          </w:tcPr>
          <w:p w14:paraId="0099FD98" w14:textId="77777777" w:rsidR="00FF1C4E" w:rsidRPr="008162A1" w:rsidRDefault="00FF1C4E" w:rsidP="00D815A6">
            <w:pPr>
              <w:tabs>
                <w:tab w:val="clear" w:pos="1814"/>
                <w:tab w:val="clear" w:pos="2381"/>
                <w:tab w:val="clear" w:pos="2948"/>
                <w:tab w:val="clear" w:pos="3515"/>
                <w:tab w:val="left" w:pos="624"/>
                <w:tab w:val="left" w:pos="1871"/>
                <w:tab w:val="left" w:pos="2495"/>
                <w:tab w:val="left" w:pos="3119"/>
                <w:tab w:val="left" w:pos="3742"/>
              </w:tabs>
              <w:spacing w:before="60" w:after="60"/>
              <w:jc w:val="center"/>
              <w:rPr>
                <w:bCs/>
                <w:lang w:val="en-GB"/>
              </w:rPr>
            </w:pPr>
            <w:r>
              <w:rPr>
                <w:bCs/>
                <w:lang w:val="en-GB"/>
              </w:rPr>
              <w:t>11</w:t>
            </w:r>
          </w:p>
        </w:tc>
        <w:tc>
          <w:tcPr>
            <w:tcW w:w="7230" w:type="dxa"/>
            <w:tcBorders>
              <w:top w:val="single" w:sz="4" w:space="0" w:color="auto"/>
            </w:tcBorders>
          </w:tcPr>
          <w:p w14:paraId="2EA26A84" w14:textId="77777777" w:rsidR="00FF1C4E" w:rsidRPr="008162A1" w:rsidRDefault="00FF1C4E" w:rsidP="00D815A6">
            <w:pPr>
              <w:tabs>
                <w:tab w:val="clear" w:pos="1814"/>
                <w:tab w:val="clear" w:pos="2381"/>
                <w:tab w:val="clear" w:pos="2948"/>
                <w:tab w:val="clear" w:pos="3515"/>
                <w:tab w:val="left" w:pos="624"/>
                <w:tab w:val="left" w:pos="1871"/>
                <w:tab w:val="left" w:pos="2495"/>
                <w:tab w:val="left" w:pos="3119"/>
                <w:tab w:val="left" w:pos="3742"/>
              </w:tabs>
              <w:spacing w:before="60" w:after="60"/>
              <w:rPr>
                <w:lang w:val="en-GB"/>
              </w:rPr>
            </w:pPr>
            <w:r w:rsidRPr="008162A1">
              <w:rPr>
                <w:lang w:val="en-GB"/>
              </w:rPr>
              <w:t>Executive direction and management</w:t>
            </w:r>
          </w:p>
        </w:tc>
      </w:tr>
      <w:tr w:rsidR="00FF1C4E" w:rsidRPr="008162A1" w14:paraId="02A95DDB" w14:textId="77777777" w:rsidTr="00C03273">
        <w:tc>
          <w:tcPr>
            <w:tcW w:w="991" w:type="dxa"/>
          </w:tcPr>
          <w:p w14:paraId="65C4ED2E" w14:textId="77777777" w:rsidR="00FF1C4E" w:rsidRPr="008162A1" w:rsidRDefault="00FF1C4E" w:rsidP="00D815A6">
            <w:pPr>
              <w:tabs>
                <w:tab w:val="clear" w:pos="1814"/>
                <w:tab w:val="clear" w:pos="2381"/>
                <w:tab w:val="clear" w:pos="2948"/>
                <w:tab w:val="clear" w:pos="3515"/>
                <w:tab w:val="left" w:pos="624"/>
                <w:tab w:val="left" w:pos="1871"/>
                <w:tab w:val="left" w:pos="2495"/>
                <w:tab w:val="left" w:pos="3119"/>
                <w:tab w:val="left" w:pos="3742"/>
              </w:tabs>
              <w:spacing w:before="60" w:after="60"/>
              <w:jc w:val="center"/>
              <w:rPr>
                <w:bCs/>
                <w:lang w:val="en-GB"/>
              </w:rPr>
            </w:pPr>
            <w:r>
              <w:rPr>
                <w:bCs/>
                <w:lang w:val="en-GB"/>
              </w:rPr>
              <w:t>12</w:t>
            </w:r>
          </w:p>
        </w:tc>
        <w:tc>
          <w:tcPr>
            <w:tcW w:w="7230" w:type="dxa"/>
          </w:tcPr>
          <w:p w14:paraId="4ECBFCAD" w14:textId="77777777" w:rsidR="00FF1C4E" w:rsidRPr="008162A1" w:rsidRDefault="00FF1C4E" w:rsidP="00D815A6">
            <w:pPr>
              <w:tabs>
                <w:tab w:val="clear" w:pos="1814"/>
                <w:tab w:val="clear" w:pos="2381"/>
                <w:tab w:val="clear" w:pos="2948"/>
                <w:tab w:val="clear" w:pos="3515"/>
                <w:tab w:val="left" w:pos="624"/>
                <w:tab w:val="left" w:pos="1871"/>
                <w:tab w:val="left" w:pos="2495"/>
                <w:tab w:val="left" w:pos="3119"/>
                <w:tab w:val="left" w:pos="3742"/>
              </w:tabs>
              <w:spacing w:before="60" w:after="60"/>
              <w:rPr>
                <w:lang w:val="en-GB"/>
              </w:rPr>
            </w:pPr>
            <w:r w:rsidRPr="008162A1">
              <w:rPr>
                <w:lang w:val="en-GB"/>
              </w:rPr>
              <w:t>International cooperation and coordination</w:t>
            </w:r>
          </w:p>
        </w:tc>
      </w:tr>
      <w:tr w:rsidR="00FF1C4E" w:rsidRPr="008162A1" w14:paraId="7E901E40" w14:textId="77777777" w:rsidTr="00C03273">
        <w:tc>
          <w:tcPr>
            <w:tcW w:w="991" w:type="dxa"/>
            <w:tcBorders>
              <w:bottom w:val="single" w:sz="4" w:space="0" w:color="auto"/>
            </w:tcBorders>
          </w:tcPr>
          <w:p w14:paraId="36824857" w14:textId="77777777" w:rsidR="00FF1C4E" w:rsidRPr="008162A1" w:rsidRDefault="00FF1C4E" w:rsidP="00D815A6">
            <w:pPr>
              <w:tabs>
                <w:tab w:val="clear" w:pos="1814"/>
                <w:tab w:val="clear" w:pos="2381"/>
                <w:tab w:val="clear" w:pos="2948"/>
                <w:tab w:val="clear" w:pos="3515"/>
                <w:tab w:val="left" w:pos="624"/>
                <w:tab w:val="left" w:pos="1871"/>
                <w:tab w:val="left" w:pos="2495"/>
                <w:tab w:val="left" w:pos="3119"/>
                <w:tab w:val="left" w:pos="3742"/>
              </w:tabs>
              <w:spacing w:before="60" w:after="60"/>
              <w:jc w:val="center"/>
              <w:rPr>
                <w:bCs/>
                <w:lang w:val="en-GB"/>
              </w:rPr>
            </w:pPr>
            <w:r>
              <w:rPr>
                <w:bCs/>
                <w:lang w:val="en-GB"/>
              </w:rPr>
              <w:t>13</w:t>
            </w:r>
          </w:p>
        </w:tc>
        <w:tc>
          <w:tcPr>
            <w:tcW w:w="7230" w:type="dxa"/>
            <w:tcBorders>
              <w:bottom w:val="single" w:sz="4" w:space="0" w:color="auto"/>
            </w:tcBorders>
          </w:tcPr>
          <w:p w14:paraId="3F1E0AC6" w14:textId="77777777" w:rsidR="00FF1C4E" w:rsidRPr="008162A1" w:rsidRDefault="00FF1C4E" w:rsidP="00D815A6">
            <w:pPr>
              <w:tabs>
                <w:tab w:val="clear" w:pos="1814"/>
                <w:tab w:val="clear" w:pos="2381"/>
                <w:tab w:val="clear" w:pos="2948"/>
                <w:tab w:val="clear" w:pos="3515"/>
                <w:tab w:val="left" w:pos="624"/>
                <w:tab w:val="left" w:pos="1871"/>
                <w:tab w:val="left" w:pos="2495"/>
                <w:tab w:val="left" w:pos="3119"/>
                <w:tab w:val="left" w:pos="3742"/>
              </w:tabs>
              <w:spacing w:before="60" w:after="60"/>
              <w:rPr>
                <w:lang w:val="en-GB"/>
              </w:rPr>
            </w:pPr>
            <w:r w:rsidRPr="008162A1">
              <w:rPr>
                <w:lang w:val="en-GB"/>
              </w:rPr>
              <w:t>Fi</w:t>
            </w:r>
            <w:r>
              <w:rPr>
                <w:lang w:val="en-GB"/>
              </w:rPr>
              <w:t>nancial resources and mechanism</w:t>
            </w:r>
          </w:p>
        </w:tc>
      </w:tr>
      <w:tr w:rsidR="00FF1C4E" w:rsidRPr="008162A1" w14:paraId="4E9600A4" w14:textId="77777777" w:rsidTr="00C03273">
        <w:tc>
          <w:tcPr>
            <w:tcW w:w="991" w:type="dxa"/>
            <w:tcBorders>
              <w:top w:val="single" w:sz="4" w:space="0" w:color="auto"/>
              <w:bottom w:val="single" w:sz="4" w:space="0" w:color="auto"/>
            </w:tcBorders>
          </w:tcPr>
          <w:p w14:paraId="79E572A9" w14:textId="77777777" w:rsidR="00FF1C4E" w:rsidRPr="008162A1" w:rsidRDefault="00FF1C4E" w:rsidP="00D815A6">
            <w:pPr>
              <w:tabs>
                <w:tab w:val="clear" w:pos="1814"/>
                <w:tab w:val="clear" w:pos="2381"/>
                <w:tab w:val="clear" w:pos="2948"/>
                <w:tab w:val="clear" w:pos="3515"/>
                <w:tab w:val="left" w:pos="624"/>
                <w:tab w:val="left" w:pos="1871"/>
                <w:tab w:val="left" w:pos="2495"/>
                <w:tab w:val="left" w:pos="3119"/>
                <w:tab w:val="left" w:pos="3742"/>
              </w:tabs>
              <w:spacing w:before="60" w:after="60"/>
              <w:jc w:val="center"/>
              <w:rPr>
                <w:bCs/>
                <w:lang w:val="en-GB"/>
              </w:rPr>
            </w:pPr>
          </w:p>
        </w:tc>
        <w:tc>
          <w:tcPr>
            <w:tcW w:w="7230" w:type="dxa"/>
            <w:tcBorders>
              <w:top w:val="single" w:sz="4" w:space="0" w:color="auto"/>
              <w:bottom w:val="single" w:sz="4" w:space="0" w:color="auto"/>
            </w:tcBorders>
          </w:tcPr>
          <w:p w14:paraId="726CAF82" w14:textId="77777777" w:rsidR="00FF1C4E" w:rsidRPr="008162A1" w:rsidRDefault="00FF1C4E" w:rsidP="00D815A6">
            <w:pPr>
              <w:tabs>
                <w:tab w:val="clear" w:pos="1814"/>
                <w:tab w:val="clear" w:pos="2381"/>
                <w:tab w:val="clear" w:pos="2948"/>
                <w:tab w:val="clear" w:pos="3515"/>
                <w:tab w:val="left" w:pos="624"/>
                <w:tab w:val="left" w:pos="1871"/>
                <w:tab w:val="left" w:pos="2495"/>
                <w:tab w:val="left" w:pos="3119"/>
                <w:tab w:val="left" w:pos="3742"/>
              </w:tabs>
              <w:spacing w:before="60" w:after="60"/>
              <w:rPr>
                <w:u w:val="single"/>
                <w:lang w:val="en-GB"/>
              </w:rPr>
            </w:pPr>
            <w:r w:rsidRPr="008162A1">
              <w:rPr>
                <w:b/>
                <w:lang w:val="en-GB"/>
              </w:rPr>
              <w:t xml:space="preserve">6. Legal and policy activities </w:t>
            </w:r>
          </w:p>
        </w:tc>
      </w:tr>
      <w:tr w:rsidR="00FF1C4E" w:rsidRPr="008162A1" w14:paraId="3678387B" w14:textId="77777777" w:rsidTr="00C03273">
        <w:tc>
          <w:tcPr>
            <w:tcW w:w="991" w:type="dxa"/>
            <w:tcBorders>
              <w:top w:val="single" w:sz="4" w:space="0" w:color="auto"/>
            </w:tcBorders>
          </w:tcPr>
          <w:p w14:paraId="6BA37B80" w14:textId="77777777" w:rsidR="00FF1C4E" w:rsidRPr="008162A1" w:rsidRDefault="00FF1C4E" w:rsidP="00D815A6">
            <w:pPr>
              <w:tabs>
                <w:tab w:val="clear" w:pos="1814"/>
                <w:tab w:val="clear" w:pos="2381"/>
                <w:tab w:val="clear" w:pos="2948"/>
                <w:tab w:val="clear" w:pos="3515"/>
                <w:tab w:val="left" w:pos="624"/>
                <w:tab w:val="left" w:pos="1871"/>
                <w:tab w:val="left" w:pos="2495"/>
                <w:tab w:val="left" w:pos="3119"/>
                <w:tab w:val="left" w:pos="3742"/>
              </w:tabs>
              <w:spacing w:before="60" w:after="60"/>
              <w:jc w:val="center"/>
              <w:rPr>
                <w:bCs/>
                <w:lang w:val="en-GB"/>
              </w:rPr>
            </w:pPr>
            <w:r>
              <w:rPr>
                <w:bCs/>
                <w:lang w:val="en-GB"/>
              </w:rPr>
              <w:t>14</w:t>
            </w:r>
          </w:p>
        </w:tc>
        <w:tc>
          <w:tcPr>
            <w:tcW w:w="7230" w:type="dxa"/>
            <w:tcBorders>
              <w:top w:val="single" w:sz="4" w:space="0" w:color="auto"/>
            </w:tcBorders>
          </w:tcPr>
          <w:p w14:paraId="79C5DB3A" w14:textId="77777777" w:rsidR="00FF1C4E" w:rsidRPr="008162A1" w:rsidRDefault="00FF1C4E" w:rsidP="00D815A6">
            <w:pPr>
              <w:tabs>
                <w:tab w:val="clear" w:pos="1814"/>
                <w:tab w:val="clear" w:pos="2381"/>
                <w:tab w:val="clear" w:pos="2948"/>
                <w:tab w:val="clear" w:pos="3515"/>
                <w:tab w:val="left" w:pos="624"/>
                <w:tab w:val="left" w:pos="1871"/>
                <w:tab w:val="left" w:pos="2495"/>
                <w:tab w:val="left" w:pos="3119"/>
                <w:tab w:val="left" w:pos="3742"/>
              </w:tabs>
              <w:spacing w:before="60" w:after="60"/>
              <w:rPr>
                <w:lang w:val="en-GB"/>
              </w:rPr>
            </w:pPr>
            <w:r w:rsidRPr="008162A1">
              <w:rPr>
                <w:lang w:val="en-GB"/>
              </w:rPr>
              <w:t>Legal and po</w:t>
            </w:r>
            <w:r>
              <w:rPr>
                <w:lang w:val="en-GB"/>
              </w:rPr>
              <w:t>licy activities</w:t>
            </w:r>
          </w:p>
        </w:tc>
      </w:tr>
      <w:tr w:rsidR="00FF1C4E" w:rsidRPr="008162A1" w14:paraId="31B501C5" w14:textId="77777777" w:rsidTr="00C03273">
        <w:tc>
          <w:tcPr>
            <w:tcW w:w="991" w:type="dxa"/>
            <w:tcBorders>
              <w:top w:val="single" w:sz="4" w:space="0" w:color="auto"/>
              <w:bottom w:val="single" w:sz="4" w:space="0" w:color="auto"/>
            </w:tcBorders>
          </w:tcPr>
          <w:p w14:paraId="3D1B9CA0" w14:textId="77777777" w:rsidR="00FF1C4E" w:rsidRPr="008162A1" w:rsidRDefault="00FF1C4E" w:rsidP="00D815A6">
            <w:pPr>
              <w:tabs>
                <w:tab w:val="clear" w:pos="1814"/>
                <w:tab w:val="clear" w:pos="2381"/>
                <w:tab w:val="clear" w:pos="2948"/>
                <w:tab w:val="clear" w:pos="3515"/>
                <w:tab w:val="left" w:pos="624"/>
                <w:tab w:val="left" w:pos="1871"/>
                <w:tab w:val="left" w:pos="2495"/>
                <w:tab w:val="left" w:pos="3119"/>
                <w:tab w:val="left" w:pos="3742"/>
              </w:tabs>
              <w:spacing w:before="60" w:after="60"/>
              <w:jc w:val="center"/>
              <w:rPr>
                <w:bCs/>
                <w:lang w:val="en-GB"/>
              </w:rPr>
            </w:pPr>
          </w:p>
        </w:tc>
        <w:tc>
          <w:tcPr>
            <w:tcW w:w="7230" w:type="dxa"/>
            <w:tcBorders>
              <w:top w:val="single" w:sz="4" w:space="0" w:color="auto"/>
              <w:bottom w:val="single" w:sz="4" w:space="0" w:color="auto"/>
            </w:tcBorders>
          </w:tcPr>
          <w:p w14:paraId="67548D13" w14:textId="77777777" w:rsidR="00FF1C4E" w:rsidRPr="008162A1" w:rsidRDefault="00FF1C4E" w:rsidP="00D815A6">
            <w:pPr>
              <w:tabs>
                <w:tab w:val="clear" w:pos="1814"/>
                <w:tab w:val="clear" w:pos="2381"/>
                <w:tab w:val="clear" w:pos="2948"/>
                <w:tab w:val="clear" w:pos="3515"/>
                <w:tab w:val="left" w:pos="624"/>
                <w:tab w:val="left" w:pos="1871"/>
                <w:tab w:val="left" w:pos="2495"/>
                <w:tab w:val="left" w:pos="3119"/>
                <w:tab w:val="left" w:pos="3742"/>
              </w:tabs>
              <w:spacing w:before="60" w:after="60"/>
              <w:rPr>
                <w:b/>
                <w:u w:val="single"/>
                <w:lang w:val="en-GB"/>
              </w:rPr>
            </w:pPr>
            <w:r w:rsidRPr="008162A1">
              <w:rPr>
                <w:b/>
                <w:lang w:val="en-GB"/>
              </w:rPr>
              <w:t>7. Office maintenance and services</w:t>
            </w:r>
          </w:p>
        </w:tc>
      </w:tr>
      <w:tr w:rsidR="00FF1C4E" w:rsidRPr="008162A1" w14:paraId="262061ED" w14:textId="77777777" w:rsidTr="00C03273">
        <w:tc>
          <w:tcPr>
            <w:tcW w:w="991" w:type="dxa"/>
            <w:tcBorders>
              <w:top w:val="single" w:sz="4" w:space="0" w:color="auto"/>
            </w:tcBorders>
          </w:tcPr>
          <w:p w14:paraId="0811C3AD" w14:textId="77777777" w:rsidR="00FF1C4E" w:rsidRPr="008162A1" w:rsidRDefault="00FF1C4E" w:rsidP="00D815A6">
            <w:pPr>
              <w:tabs>
                <w:tab w:val="clear" w:pos="1814"/>
                <w:tab w:val="clear" w:pos="2381"/>
                <w:tab w:val="clear" w:pos="2948"/>
                <w:tab w:val="clear" w:pos="3515"/>
                <w:tab w:val="left" w:pos="624"/>
                <w:tab w:val="left" w:pos="1871"/>
                <w:tab w:val="left" w:pos="2495"/>
                <w:tab w:val="left" w:pos="3119"/>
                <w:tab w:val="left" w:pos="3742"/>
              </w:tabs>
              <w:spacing w:before="60" w:after="60"/>
              <w:jc w:val="center"/>
              <w:rPr>
                <w:bCs/>
                <w:lang w:val="en-GB"/>
              </w:rPr>
            </w:pPr>
            <w:r>
              <w:rPr>
                <w:bCs/>
                <w:lang w:val="en-GB"/>
              </w:rPr>
              <w:t>15</w:t>
            </w:r>
          </w:p>
        </w:tc>
        <w:tc>
          <w:tcPr>
            <w:tcW w:w="7230" w:type="dxa"/>
            <w:tcBorders>
              <w:top w:val="single" w:sz="4" w:space="0" w:color="auto"/>
            </w:tcBorders>
          </w:tcPr>
          <w:p w14:paraId="2C8C86E9" w14:textId="77777777" w:rsidR="00FF1C4E" w:rsidRPr="008162A1" w:rsidRDefault="00FF1C4E" w:rsidP="00D815A6">
            <w:pPr>
              <w:tabs>
                <w:tab w:val="clear" w:pos="1814"/>
                <w:tab w:val="clear" w:pos="2381"/>
                <w:tab w:val="clear" w:pos="2948"/>
                <w:tab w:val="clear" w:pos="3515"/>
                <w:tab w:val="left" w:pos="624"/>
                <w:tab w:val="left" w:pos="1871"/>
                <w:tab w:val="left" w:pos="2495"/>
                <w:tab w:val="left" w:pos="3119"/>
                <w:tab w:val="left" w:pos="3742"/>
              </w:tabs>
              <w:spacing w:before="60" w:after="60"/>
              <w:rPr>
                <w:lang w:val="en-GB"/>
              </w:rPr>
            </w:pPr>
            <w:r w:rsidRPr="008162A1">
              <w:rPr>
                <w:lang w:val="en-GB"/>
              </w:rPr>
              <w:t xml:space="preserve">Office maintenance and services </w:t>
            </w:r>
          </w:p>
        </w:tc>
      </w:tr>
      <w:tr w:rsidR="00FF1C4E" w:rsidRPr="008162A1" w14:paraId="41931B36" w14:textId="77777777" w:rsidTr="00C03273">
        <w:tc>
          <w:tcPr>
            <w:tcW w:w="991" w:type="dxa"/>
            <w:tcBorders>
              <w:bottom w:val="single" w:sz="12" w:space="0" w:color="auto"/>
            </w:tcBorders>
          </w:tcPr>
          <w:p w14:paraId="43598D4D" w14:textId="77777777" w:rsidR="00FF1C4E" w:rsidRPr="008162A1" w:rsidRDefault="00FF1C4E" w:rsidP="00D815A6">
            <w:pPr>
              <w:tabs>
                <w:tab w:val="clear" w:pos="1814"/>
                <w:tab w:val="clear" w:pos="2381"/>
                <w:tab w:val="clear" w:pos="2948"/>
                <w:tab w:val="clear" w:pos="3515"/>
                <w:tab w:val="left" w:pos="624"/>
                <w:tab w:val="left" w:pos="1871"/>
                <w:tab w:val="left" w:pos="2495"/>
                <w:tab w:val="left" w:pos="3119"/>
                <w:tab w:val="left" w:pos="3742"/>
              </w:tabs>
              <w:spacing w:before="60" w:after="60"/>
              <w:jc w:val="center"/>
              <w:rPr>
                <w:bCs/>
                <w:lang w:val="en-GB"/>
              </w:rPr>
            </w:pPr>
            <w:r>
              <w:rPr>
                <w:bCs/>
                <w:lang w:val="en-GB"/>
              </w:rPr>
              <w:t>16</w:t>
            </w:r>
          </w:p>
        </w:tc>
        <w:tc>
          <w:tcPr>
            <w:tcW w:w="7230" w:type="dxa"/>
            <w:tcBorders>
              <w:bottom w:val="single" w:sz="12" w:space="0" w:color="auto"/>
            </w:tcBorders>
          </w:tcPr>
          <w:p w14:paraId="5D8E9265" w14:textId="77777777" w:rsidR="00FF1C4E" w:rsidRPr="008162A1" w:rsidRDefault="00FF1C4E" w:rsidP="00D815A6">
            <w:pPr>
              <w:tabs>
                <w:tab w:val="clear" w:pos="1814"/>
                <w:tab w:val="clear" w:pos="2381"/>
                <w:tab w:val="clear" w:pos="2948"/>
                <w:tab w:val="clear" w:pos="3515"/>
                <w:tab w:val="left" w:pos="624"/>
                <w:tab w:val="left" w:pos="1871"/>
                <w:tab w:val="left" w:pos="2495"/>
                <w:tab w:val="left" w:pos="3119"/>
                <w:tab w:val="left" w:pos="3742"/>
              </w:tabs>
              <w:spacing w:before="60" w:after="60"/>
              <w:rPr>
                <w:lang w:val="en-GB"/>
              </w:rPr>
            </w:pPr>
            <w:r w:rsidRPr="008162A1">
              <w:rPr>
                <w:lang w:val="en-GB"/>
              </w:rPr>
              <w:t>Information technology services</w:t>
            </w:r>
          </w:p>
        </w:tc>
      </w:tr>
    </w:tbl>
    <w:p w14:paraId="1A14D8A9" w14:textId="28C7FB38" w:rsidR="00EC371B" w:rsidRDefault="00EC371B" w:rsidP="00040F66">
      <w:pPr>
        <w:pStyle w:val="Normal-pool"/>
        <w:rPr>
          <w:rFonts w:eastAsia="Calibri"/>
        </w:rPr>
      </w:pPr>
    </w:p>
    <w:tbl>
      <w:tblPr>
        <w:tblStyle w:val="PlainTable41"/>
        <w:tblW w:w="0" w:type="auto"/>
        <w:tblLook w:val="04A0" w:firstRow="1" w:lastRow="0" w:firstColumn="1" w:lastColumn="0" w:noHBand="0" w:noVBand="1"/>
      </w:tblPr>
      <w:tblGrid>
        <w:gridCol w:w="1897"/>
        <w:gridCol w:w="1897"/>
        <w:gridCol w:w="1897"/>
        <w:gridCol w:w="1898"/>
        <w:gridCol w:w="1898"/>
      </w:tblGrid>
      <w:tr w:rsidR="00D2022F" w14:paraId="3414B89F" w14:textId="77777777" w:rsidTr="00D2022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7" w:type="dxa"/>
          </w:tcPr>
          <w:p w14:paraId="416FAD0A" w14:textId="77777777" w:rsidR="00D2022F" w:rsidRDefault="00D2022F" w:rsidP="00D2022F">
            <w:pPr>
              <w:pStyle w:val="Normal-pool"/>
              <w:spacing w:before="520"/>
              <w:rPr>
                <w:rFonts w:eastAsia="Calibri"/>
              </w:rPr>
            </w:pPr>
          </w:p>
        </w:tc>
        <w:tc>
          <w:tcPr>
            <w:tcW w:w="1897" w:type="dxa"/>
          </w:tcPr>
          <w:p w14:paraId="744E2C06" w14:textId="77777777" w:rsidR="00D2022F" w:rsidRDefault="00D2022F" w:rsidP="00D2022F">
            <w:pPr>
              <w:pStyle w:val="Normal-pool"/>
              <w:spacing w:before="520"/>
              <w:cnfStyle w:val="100000000000" w:firstRow="1" w:lastRow="0" w:firstColumn="0" w:lastColumn="0" w:oddVBand="0" w:evenVBand="0" w:oddHBand="0" w:evenHBand="0" w:firstRowFirstColumn="0" w:firstRowLastColumn="0" w:lastRowFirstColumn="0" w:lastRowLastColumn="0"/>
              <w:rPr>
                <w:rFonts w:eastAsia="Calibri"/>
              </w:rPr>
            </w:pPr>
          </w:p>
        </w:tc>
        <w:tc>
          <w:tcPr>
            <w:tcW w:w="1897" w:type="dxa"/>
            <w:tcBorders>
              <w:bottom w:val="single" w:sz="4" w:space="0" w:color="auto"/>
            </w:tcBorders>
          </w:tcPr>
          <w:p w14:paraId="75FBE8BF" w14:textId="77777777" w:rsidR="00D2022F" w:rsidRDefault="00D2022F" w:rsidP="00D2022F">
            <w:pPr>
              <w:pStyle w:val="Normal-pool"/>
              <w:spacing w:before="520"/>
              <w:cnfStyle w:val="100000000000" w:firstRow="1" w:lastRow="0" w:firstColumn="0" w:lastColumn="0" w:oddVBand="0" w:evenVBand="0" w:oddHBand="0" w:evenHBand="0" w:firstRowFirstColumn="0" w:firstRowLastColumn="0" w:lastRowFirstColumn="0" w:lastRowLastColumn="0"/>
              <w:rPr>
                <w:rFonts w:eastAsia="Calibri"/>
              </w:rPr>
            </w:pPr>
          </w:p>
        </w:tc>
        <w:tc>
          <w:tcPr>
            <w:tcW w:w="1898" w:type="dxa"/>
          </w:tcPr>
          <w:p w14:paraId="5C1CF048" w14:textId="77777777" w:rsidR="00D2022F" w:rsidRDefault="00D2022F" w:rsidP="00D2022F">
            <w:pPr>
              <w:pStyle w:val="Normal-pool"/>
              <w:spacing w:before="520"/>
              <w:cnfStyle w:val="100000000000" w:firstRow="1" w:lastRow="0" w:firstColumn="0" w:lastColumn="0" w:oddVBand="0" w:evenVBand="0" w:oddHBand="0" w:evenHBand="0" w:firstRowFirstColumn="0" w:firstRowLastColumn="0" w:lastRowFirstColumn="0" w:lastRowLastColumn="0"/>
              <w:rPr>
                <w:rFonts w:eastAsia="Calibri"/>
              </w:rPr>
            </w:pPr>
          </w:p>
        </w:tc>
        <w:tc>
          <w:tcPr>
            <w:tcW w:w="1898" w:type="dxa"/>
          </w:tcPr>
          <w:p w14:paraId="5D3ACE99" w14:textId="77777777" w:rsidR="00D2022F" w:rsidRDefault="00D2022F" w:rsidP="00D2022F">
            <w:pPr>
              <w:pStyle w:val="Normal-pool"/>
              <w:spacing w:before="520"/>
              <w:cnfStyle w:val="100000000000" w:firstRow="1" w:lastRow="0" w:firstColumn="0" w:lastColumn="0" w:oddVBand="0" w:evenVBand="0" w:oddHBand="0" w:evenHBand="0" w:firstRowFirstColumn="0" w:firstRowLastColumn="0" w:lastRowFirstColumn="0" w:lastRowLastColumn="0"/>
              <w:rPr>
                <w:rFonts w:eastAsia="Calibri"/>
              </w:rPr>
            </w:pPr>
          </w:p>
        </w:tc>
      </w:tr>
    </w:tbl>
    <w:p w14:paraId="43CA7C20" w14:textId="77777777" w:rsidR="00040F66" w:rsidRPr="008162A1" w:rsidRDefault="00040F66" w:rsidP="00040F66">
      <w:pPr>
        <w:pStyle w:val="Normal-pool"/>
        <w:rPr>
          <w:rFonts w:eastAsia="Calibri"/>
        </w:rPr>
      </w:pPr>
    </w:p>
    <w:sectPr w:rsidR="00040F66" w:rsidRPr="008162A1" w:rsidSect="00A816C6">
      <w:headerReference w:type="even" r:id="rId12"/>
      <w:headerReference w:type="default" r:id="rId13"/>
      <w:footerReference w:type="even" r:id="rId14"/>
      <w:footerReference w:type="default" r:id="rId15"/>
      <w:headerReference w:type="first" r:id="rId16"/>
      <w:footerReference w:type="first" r:id="rId17"/>
      <w:type w:val="continuous"/>
      <w:pgSz w:w="11907" w:h="16839" w:code="9"/>
      <w:pgMar w:top="907" w:right="992" w:bottom="1418" w:left="1418" w:header="539" w:footer="975" w:gutter="0"/>
      <w:cols w:space="53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836362" w14:textId="77777777" w:rsidR="00241415" w:rsidRDefault="00241415">
      <w:r>
        <w:separator/>
      </w:r>
    </w:p>
  </w:endnote>
  <w:endnote w:type="continuationSeparator" w:id="0">
    <w:p w14:paraId="7ED76D35" w14:textId="77777777" w:rsidR="00241415" w:rsidRDefault="00241415">
      <w:r>
        <w:continuationSeparator/>
      </w:r>
    </w:p>
  </w:endnote>
  <w:endnote w:type="continuationNotice" w:id="1">
    <w:p w14:paraId="781C9816" w14:textId="77777777" w:rsidR="00241415" w:rsidRDefault="002414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5FA2F1" w14:textId="7B4F89DE" w:rsidR="007F0801" w:rsidRDefault="007F0801">
    <w:pPr>
      <w:pStyle w:val="Footer"/>
    </w:pPr>
    <w:r>
      <w:rPr>
        <w:rStyle w:val="PageNumber"/>
      </w:rPr>
      <w:fldChar w:fldCharType="begin"/>
    </w:r>
    <w:r>
      <w:rPr>
        <w:rStyle w:val="PageNumber"/>
      </w:rPr>
      <w:instrText xml:space="preserve"> PAGE </w:instrText>
    </w:r>
    <w:r>
      <w:rPr>
        <w:rStyle w:val="PageNumber"/>
      </w:rPr>
      <w:fldChar w:fldCharType="separate"/>
    </w:r>
    <w:r w:rsidR="008E4376">
      <w:rPr>
        <w:rStyle w:val="PageNumber"/>
        <w:noProof/>
      </w:rPr>
      <w:t>14</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9F1944" w14:textId="4D978BCE" w:rsidR="007F0801" w:rsidRDefault="007F0801" w:rsidP="00035EDE">
    <w:pPr>
      <w:pStyle w:val="Footer"/>
      <w:jc w:val="right"/>
    </w:pPr>
    <w:r>
      <w:rPr>
        <w:rStyle w:val="PageNumber"/>
      </w:rPr>
      <w:fldChar w:fldCharType="begin"/>
    </w:r>
    <w:r>
      <w:rPr>
        <w:rStyle w:val="PageNumber"/>
      </w:rPr>
      <w:instrText xml:space="preserve"> PAGE </w:instrText>
    </w:r>
    <w:r>
      <w:rPr>
        <w:rStyle w:val="PageNumber"/>
      </w:rPr>
      <w:fldChar w:fldCharType="separate"/>
    </w:r>
    <w:r w:rsidR="008E4376">
      <w:rPr>
        <w:rStyle w:val="PageNumber"/>
        <w:noProof/>
      </w:rPr>
      <w:t>13</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E14040" w14:textId="7CED6B85" w:rsidR="007F0801" w:rsidRDefault="007F0801">
    <w:pPr>
      <w:pStyle w:val="Footer"/>
    </w:pPr>
    <w:r>
      <w:t>K1707118</w:t>
    </w:r>
    <w:r>
      <w:tab/>
    </w:r>
    <w:r w:rsidR="0033544C">
      <w:t>0809</w:t>
    </w:r>
    <w:r>
      <w:t>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CACCC8" w14:textId="77777777" w:rsidR="00241415" w:rsidRPr="00636DD8" w:rsidRDefault="00241415" w:rsidP="00636DD8">
      <w:pPr>
        <w:tabs>
          <w:tab w:val="clear" w:pos="1247"/>
          <w:tab w:val="clear" w:pos="1814"/>
          <w:tab w:val="clear" w:pos="2381"/>
          <w:tab w:val="clear" w:pos="2948"/>
          <w:tab w:val="clear" w:pos="3515"/>
          <w:tab w:val="left" w:pos="624"/>
        </w:tabs>
        <w:spacing w:before="60"/>
        <w:ind w:left="624"/>
        <w:rPr>
          <w:sz w:val="18"/>
          <w:szCs w:val="18"/>
        </w:rPr>
      </w:pPr>
      <w:r w:rsidRPr="00636DD8">
        <w:rPr>
          <w:sz w:val="18"/>
          <w:szCs w:val="18"/>
        </w:rPr>
        <w:separator/>
      </w:r>
    </w:p>
  </w:footnote>
  <w:footnote w:type="continuationSeparator" w:id="0">
    <w:p w14:paraId="2417CB28" w14:textId="77777777" w:rsidR="00241415" w:rsidRDefault="00241415">
      <w:r>
        <w:continuationSeparator/>
      </w:r>
    </w:p>
  </w:footnote>
  <w:footnote w:type="continuationNotice" w:id="1">
    <w:p w14:paraId="7C7B798B" w14:textId="77777777" w:rsidR="00241415" w:rsidRDefault="00241415"/>
  </w:footnote>
  <w:footnote w:id="2">
    <w:p w14:paraId="34211281" w14:textId="77777777" w:rsidR="007F0801" w:rsidRPr="00EE7AA1" w:rsidRDefault="007F0801" w:rsidP="00CC4FD8">
      <w:pPr>
        <w:tabs>
          <w:tab w:val="left" w:pos="624"/>
        </w:tabs>
        <w:spacing w:before="20" w:after="40"/>
        <w:ind w:left="1247"/>
        <w:rPr>
          <w:sz w:val="18"/>
          <w:szCs w:val="18"/>
          <w:lang w:val="en-GB"/>
        </w:rPr>
      </w:pPr>
      <w:proofErr w:type="gramStart"/>
      <w:r w:rsidRPr="00EE7AA1">
        <w:rPr>
          <w:sz w:val="18"/>
          <w:szCs w:val="18"/>
          <w:lang w:val="en-GB"/>
        </w:rPr>
        <w:t>* UNEP/MC/COP.1/1.</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2CD1AC" w14:textId="7019F932" w:rsidR="007F0801" w:rsidRPr="005642B6" w:rsidRDefault="007F0801" w:rsidP="005642B6">
    <w:pPr>
      <w:pStyle w:val="Header"/>
    </w:pPr>
    <w:r w:rsidRPr="005642B6">
      <w:rPr>
        <w:lang w:val="en-US"/>
      </w:rPr>
      <w:t>UNEP/MC/COP.1/21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16728C" w14:textId="2F79E9B4" w:rsidR="007F0801" w:rsidRPr="0033544C" w:rsidRDefault="007F0801" w:rsidP="0033544C">
    <w:pPr>
      <w:pStyle w:val="Header"/>
      <w:jc w:val="right"/>
      <w:rPr>
        <w:lang w:val="en-US"/>
      </w:rPr>
    </w:pPr>
    <w:r w:rsidRPr="0065130E">
      <w:rPr>
        <w:lang w:val="en-US"/>
      </w:rPr>
      <w:t>UNEP/MC/COP.1/21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54231C" w14:textId="5E369C60" w:rsidR="007F0801" w:rsidRDefault="007F0801" w:rsidP="00AE431B">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62EB7"/>
    <w:multiLevelType w:val="singleLevel"/>
    <w:tmpl w:val="6A30529A"/>
    <w:lvl w:ilvl="0">
      <w:start w:val="1"/>
      <w:numFmt w:val="decimal"/>
      <w:pStyle w:val="Paralevel1"/>
      <w:lvlText w:val="%1."/>
      <w:lvlJc w:val="left"/>
      <w:pPr>
        <w:tabs>
          <w:tab w:val="num" w:pos="360"/>
        </w:tabs>
        <w:ind w:left="0" w:firstLine="0"/>
      </w:pPr>
      <w:rPr>
        <w:rFonts w:ascii="Times New Roman" w:hAnsi="Times New Roman" w:hint="default"/>
        <w:b w:val="0"/>
        <w:i w:val="0"/>
        <w:sz w:val="20"/>
        <w:szCs w:val="20"/>
      </w:rPr>
    </w:lvl>
  </w:abstractNum>
  <w:abstractNum w:abstractNumId="1">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2">
    <w:nsid w:val="27C5756C"/>
    <w:multiLevelType w:val="hybridMultilevel"/>
    <w:tmpl w:val="8716BDF2"/>
    <w:lvl w:ilvl="0" w:tplc="DD28C7D8">
      <w:start w:val="34"/>
      <w:numFmt w:val="decimal"/>
      <w:pStyle w:val="Level1"/>
      <w:lvlText w:val="%1."/>
      <w:lvlJc w:val="left"/>
      <w:pPr>
        <w:tabs>
          <w:tab w:val="num" w:pos="578"/>
        </w:tabs>
        <w:ind w:left="578" w:firstLine="0"/>
      </w:pPr>
      <w:rPr>
        <w:rFonts w:ascii="Times New Roman" w:hAnsi="Times New Roman" w:hint="default"/>
        <w:b w:val="0"/>
        <w:i w:val="0"/>
        <w:sz w:val="20"/>
        <w:szCs w:val="20"/>
      </w:rPr>
    </w:lvl>
    <w:lvl w:ilvl="1" w:tplc="54243CD6" w:tentative="1">
      <w:start w:val="1"/>
      <w:numFmt w:val="lowerLetter"/>
      <w:lvlText w:val="%2."/>
      <w:lvlJc w:val="left"/>
      <w:pPr>
        <w:tabs>
          <w:tab w:val="num" w:pos="1440"/>
        </w:tabs>
        <w:ind w:left="1440" w:hanging="360"/>
      </w:pPr>
    </w:lvl>
    <w:lvl w:ilvl="2" w:tplc="568ED738" w:tentative="1">
      <w:start w:val="1"/>
      <w:numFmt w:val="lowerRoman"/>
      <w:lvlText w:val="%3."/>
      <w:lvlJc w:val="right"/>
      <w:pPr>
        <w:tabs>
          <w:tab w:val="num" w:pos="2160"/>
        </w:tabs>
        <w:ind w:left="2160" w:hanging="180"/>
      </w:pPr>
    </w:lvl>
    <w:lvl w:ilvl="3" w:tplc="FFD070A0" w:tentative="1">
      <w:start w:val="1"/>
      <w:numFmt w:val="decimal"/>
      <w:lvlText w:val="%4."/>
      <w:lvlJc w:val="left"/>
      <w:pPr>
        <w:tabs>
          <w:tab w:val="num" w:pos="2880"/>
        </w:tabs>
        <w:ind w:left="2880" w:hanging="360"/>
      </w:pPr>
    </w:lvl>
    <w:lvl w:ilvl="4" w:tplc="4E50DE1C" w:tentative="1">
      <w:start w:val="1"/>
      <w:numFmt w:val="lowerLetter"/>
      <w:lvlText w:val="%5."/>
      <w:lvlJc w:val="left"/>
      <w:pPr>
        <w:tabs>
          <w:tab w:val="num" w:pos="3600"/>
        </w:tabs>
        <w:ind w:left="3600" w:hanging="360"/>
      </w:pPr>
    </w:lvl>
    <w:lvl w:ilvl="5" w:tplc="90D4C250" w:tentative="1">
      <w:start w:val="1"/>
      <w:numFmt w:val="lowerRoman"/>
      <w:lvlText w:val="%6."/>
      <w:lvlJc w:val="right"/>
      <w:pPr>
        <w:tabs>
          <w:tab w:val="num" w:pos="4320"/>
        </w:tabs>
        <w:ind w:left="4320" w:hanging="180"/>
      </w:pPr>
    </w:lvl>
    <w:lvl w:ilvl="6" w:tplc="25EAE8E4" w:tentative="1">
      <w:start w:val="1"/>
      <w:numFmt w:val="decimal"/>
      <w:lvlText w:val="%7."/>
      <w:lvlJc w:val="left"/>
      <w:pPr>
        <w:tabs>
          <w:tab w:val="num" w:pos="5040"/>
        </w:tabs>
        <w:ind w:left="5040" w:hanging="360"/>
      </w:pPr>
    </w:lvl>
    <w:lvl w:ilvl="7" w:tplc="14DA7768" w:tentative="1">
      <w:start w:val="1"/>
      <w:numFmt w:val="lowerLetter"/>
      <w:lvlText w:val="%8."/>
      <w:lvlJc w:val="left"/>
      <w:pPr>
        <w:tabs>
          <w:tab w:val="num" w:pos="5760"/>
        </w:tabs>
        <w:ind w:left="5760" w:hanging="360"/>
      </w:pPr>
    </w:lvl>
    <w:lvl w:ilvl="8" w:tplc="2CA07D02" w:tentative="1">
      <w:start w:val="1"/>
      <w:numFmt w:val="lowerRoman"/>
      <w:lvlText w:val="%9."/>
      <w:lvlJc w:val="right"/>
      <w:pPr>
        <w:tabs>
          <w:tab w:val="num" w:pos="6480"/>
        </w:tabs>
        <w:ind w:left="6480" w:hanging="180"/>
      </w:pPr>
    </w:lvl>
  </w:abstractNum>
  <w:abstractNum w:abstractNumId="3">
    <w:nsid w:val="34D8005F"/>
    <w:multiLevelType w:val="hybridMultilevel"/>
    <w:tmpl w:val="90FEFC3A"/>
    <w:lvl w:ilvl="0" w:tplc="C8D66788">
      <w:start w:val="1"/>
      <w:numFmt w:val="decimal"/>
      <w:pStyle w:val="Normalnumber"/>
      <w:lvlText w:val="%1."/>
      <w:lvlJc w:val="left"/>
      <w:pPr>
        <w:ind w:left="1530" w:hanging="360"/>
      </w:pPr>
      <w:rPr>
        <w:rFonts w:hint="default"/>
        <w:b w:val="0"/>
        <w:i w:val="0"/>
      </w:rPr>
    </w:lvl>
    <w:lvl w:ilvl="1" w:tplc="FF98245C">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5">
    <w:nsid w:val="3ACE28C5"/>
    <w:multiLevelType w:val="hybridMultilevel"/>
    <w:tmpl w:val="8028F1D6"/>
    <w:lvl w:ilvl="0" w:tplc="FF98245C">
      <w:start w:val="1"/>
      <w:numFmt w:val="lowerLetter"/>
      <w:lvlText w:val="(%1)"/>
      <w:lvlJc w:val="left"/>
      <w:pPr>
        <w:ind w:left="1530" w:hanging="360"/>
      </w:pPr>
      <w:rPr>
        <w:rFonts w:hint="default"/>
        <w:b w:val="0"/>
        <w:i w:val="0"/>
      </w:rPr>
    </w:lvl>
    <w:lvl w:ilvl="1" w:tplc="FF98245C">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2A66A9D"/>
    <w:multiLevelType w:val="multilevel"/>
    <w:tmpl w:val="D07A6E4C"/>
    <w:styleLink w:val="Normallist"/>
    <w:lvl w:ilvl="0">
      <w:start w:val="1"/>
      <w:numFmt w:val="decimal"/>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7">
    <w:nsid w:val="532D1D36"/>
    <w:multiLevelType w:val="hybridMultilevel"/>
    <w:tmpl w:val="CF4E5826"/>
    <w:lvl w:ilvl="0" w:tplc="C8D66788">
      <w:start w:val="1"/>
      <w:numFmt w:val="decimal"/>
      <w:lvlText w:val="%1."/>
      <w:lvlJc w:val="left"/>
      <w:pPr>
        <w:ind w:left="1530" w:hanging="360"/>
      </w:pPr>
      <w:rPr>
        <w:rFonts w:hint="default"/>
        <w:b w:val="0"/>
        <w:i w:val="0"/>
      </w:rPr>
    </w:lvl>
    <w:lvl w:ilvl="1" w:tplc="0809000F">
      <w:start w:val="1"/>
      <w:numFmt w:val="decimal"/>
      <w:lvlText w:val="%2."/>
      <w:lvlJc w:val="left"/>
      <w:pPr>
        <w:ind w:left="1440" w:hanging="360"/>
      </w:pPr>
    </w:lvl>
    <w:lvl w:ilvl="2" w:tplc="0409001B">
      <w:start w:val="1"/>
      <w:numFmt w:val="lowerRoman"/>
      <w:lvlText w:val="%3."/>
      <w:lvlJc w:val="right"/>
      <w:pPr>
        <w:ind w:left="2160" w:hanging="180"/>
      </w:pPr>
    </w:lvl>
    <w:lvl w:ilvl="3" w:tplc="FF98245C">
      <w:start w:val="1"/>
      <w:numFmt w:val="low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35013A6"/>
    <w:multiLevelType w:val="hybridMultilevel"/>
    <w:tmpl w:val="27BE306C"/>
    <w:lvl w:ilvl="0" w:tplc="294A7B7C">
      <w:start w:val="1"/>
      <w:numFmt w:val="decimal"/>
      <w:lvlText w:val="%1."/>
      <w:lvlJc w:val="left"/>
      <w:pPr>
        <w:ind w:left="1636" w:hanging="360"/>
      </w:pPr>
      <w:rPr>
        <w:rFonts w:hint="default"/>
        <w:b w:val="0"/>
        <w:i w:val="0"/>
      </w:rPr>
    </w:lvl>
    <w:lvl w:ilvl="1" w:tplc="08090019" w:tentative="1">
      <w:start w:val="1"/>
      <w:numFmt w:val="lowerLetter"/>
      <w:lvlText w:val="%2."/>
      <w:lvlJc w:val="left"/>
      <w:pPr>
        <w:ind w:left="2356" w:hanging="360"/>
      </w:pPr>
    </w:lvl>
    <w:lvl w:ilvl="2" w:tplc="0809001B" w:tentative="1">
      <w:start w:val="1"/>
      <w:numFmt w:val="lowerRoman"/>
      <w:lvlText w:val="%3."/>
      <w:lvlJc w:val="right"/>
      <w:pPr>
        <w:ind w:left="3076" w:hanging="180"/>
      </w:pPr>
    </w:lvl>
    <w:lvl w:ilvl="3" w:tplc="0809000F" w:tentative="1">
      <w:start w:val="1"/>
      <w:numFmt w:val="decimal"/>
      <w:lvlText w:val="%4."/>
      <w:lvlJc w:val="left"/>
      <w:pPr>
        <w:ind w:left="3796" w:hanging="360"/>
      </w:pPr>
    </w:lvl>
    <w:lvl w:ilvl="4" w:tplc="08090019" w:tentative="1">
      <w:start w:val="1"/>
      <w:numFmt w:val="lowerLetter"/>
      <w:lvlText w:val="%5."/>
      <w:lvlJc w:val="left"/>
      <w:pPr>
        <w:ind w:left="4516" w:hanging="360"/>
      </w:pPr>
    </w:lvl>
    <w:lvl w:ilvl="5" w:tplc="0809001B" w:tentative="1">
      <w:start w:val="1"/>
      <w:numFmt w:val="lowerRoman"/>
      <w:lvlText w:val="%6."/>
      <w:lvlJc w:val="right"/>
      <w:pPr>
        <w:ind w:left="5236" w:hanging="180"/>
      </w:pPr>
    </w:lvl>
    <w:lvl w:ilvl="6" w:tplc="0809000F" w:tentative="1">
      <w:start w:val="1"/>
      <w:numFmt w:val="decimal"/>
      <w:lvlText w:val="%7."/>
      <w:lvlJc w:val="left"/>
      <w:pPr>
        <w:ind w:left="5956" w:hanging="360"/>
      </w:pPr>
    </w:lvl>
    <w:lvl w:ilvl="7" w:tplc="08090019" w:tentative="1">
      <w:start w:val="1"/>
      <w:numFmt w:val="lowerLetter"/>
      <w:lvlText w:val="%8."/>
      <w:lvlJc w:val="left"/>
      <w:pPr>
        <w:ind w:left="6676" w:hanging="360"/>
      </w:pPr>
    </w:lvl>
    <w:lvl w:ilvl="8" w:tplc="0809001B" w:tentative="1">
      <w:start w:val="1"/>
      <w:numFmt w:val="lowerRoman"/>
      <w:lvlText w:val="%9."/>
      <w:lvlJc w:val="right"/>
      <w:pPr>
        <w:ind w:left="7396" w:hanging="180"/>
      </w:pPr>
    </w:lvl>
  </w:abstractNum>
  <w:num w:numId="1">
    <w:abstractNumId w:val="6"/>
  </w:num>
  <w:num w:numId="2">
    <w:abstractNumId w:val="1"/>
  </w:num>
  <w:num w:numId="3">
    <w:abstractNumId w:val="4"/>
  </w:num>
  <w:num w:numId="4">
    <w:abstractNumId w:val="0"/>
  </w:num>
  <w:num w:numId="5">
    <w:abstractNumId w:val="2"/>
  </w:num>
  <w:num w:numId="6">
    <w:abstractNumId w:val="8"/>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3"/>
  </w:num>
  <w:num w:numId="25">
    <w:abstractNumId w:val="3"/>
  </w:num>
  <w:num w:numId="26">
    <w:abstractNumId w:val="3"/>
  </w:num>
  <w:num w:numId="27">
    <w:abstractNumId w:val="3"/>
  </w:num>
  <w:num w:numId="28">
    <w:abstractNumId w:val="3"/>
  </w:num>
  <w:num w:numId="29">
    <w:abstractNumId w:val="3"/>
  </w:num>
  <w:num w:numId="30">
    <w:abstractNumId w:val="3"/>
  </w:num>
  <w:num w:numId="31">
    <w:abstractNumId w:val="3"/>
  </w:num>
  <w:num w:numId="32">
    <w:abstractNumId w:val="3"/>
  </w:num>
  <w:num w:numId="33">
    <w:abstractNumId w:val="3"/>
  </w:num>
  <w:num w:numId="34">
    <w:abstractNumId w:val="3"/>
  </w:num>
  <w:num w:numId="35">
    <w:abstractNumId w:val="3"/>
  </w:num>
  <w:num w:numId="36">
    <w:abstractNumId w:val="3"/>
  </w:num>
  <w:num w:numId="37">
    <w:abstractNumId w:val="3"/>
  </w:num>
  <w:num w:numId="38">
    <w:abstractNumId w:val="3"/>
  </w:num>
  <w:num w:numId="39">
    <w:abstractNumId w:val="3"/>
  </w:num>
  <w:num w:numId="40">
    <w:abstractNumId w:val="3"/>
  </w:num>
  <w:num w:numId="41">
    <w:abstractNumId w:val="3"/>
  </w:num>
  <w:num w:numId="42">
    <w:abstractNumId w:val="3"/>
  </w:num>
  <w:num w:numId="43">
    <w:abstractNumId w:val="3"/>
  </w:num>
  <w:num w:numId="44">
    <w:abstractNumId w:val="3"/>
  </w:num>
  <w:num w:numId="45">
    <w:abstractNumId w:val="3"/>
  </w:num>
  <w:num w:numId="46">
    <w:abstractNumId w:val="3"/>
  </w:num>
  <w:num w:numId="47">
    <w:abstractNumId w:val="3"/>
  </w:num>
  <w:num w:numId="48">
    <w:abstractNumId w:val="3"/>
  </w:num>
  <w:num w:numId="49">
    <w:abstractNumId w:val="3"/>
  </w:num>
  <w:num w:numId="50">
    <w:abstractNumId w:val="3"/>
  </w:num>
  <w:num w:numId="51">
    <w:abstractNumId w:val="3"/>
  </w:num>
  <w:num w:numId="52">
    <w:abstractNumId w:val="3"/>
  </w:num>
  <w:num w:numId="53">
    <w:abstractNumId w:val="3"/>
  </w:num>
  <w:num w:numId="54">
    <w:abstractNumId w:val="3"/>
  </w:num>
  <w:num w:numId="55">
    <w:abstractNumId w:val="3"/>
  </w:num>
  <w:num w:numId="56">
    <w:abstractNumId w:val="3"/>
  </w:num>
  <w:num w:numId="57">
    <w:abstractNumId w:val="3"/>
  </w:num>
  <w:num w:numId="58">
    <w:abstractNumId w:val="3"/>
  </w:num>
  <w:num w:numId="59">
    <w:abstractNumId w:val="3"/>
  </w:num>
  <w:num w:numId="60">
    <w:abstractNumId w:val="3"/>
  </w:num>
  <w:num w:numId="61">
    <w:abstractNumId w:val="3"/>
  </w:num>
  <w:num w:numId="62">
    <w:abstractNumId w:val="3"/>
  </w:num>
  <w:num w:numId="63">
    <w:abstractNumId w:val="3"/>
  </w:num>
  <w:num w:numId="64">
    <w:abstractNumId w:val="3"/>
  </w:num>
  <w:num w:numId="65">
    <w:abstractNumId w:val="3"/>
  </w:num>
  <w:num w:numId="66">
    <w:abstractNumId w:val="3"/>
  </w:num>
  <w:num w:numId="67">
    <w:abstractNumId w:val="7"/>
  </w:num>
  <w:num w:numId="68">
    <w:abstractNumId w:val="3"/>
  </w:num>
  <w:num w:numId="69">
    <w:abstractNumId w:val="3"/>
  </w:num>
  <w:num w:numId="70">
    <w:abstractNumId w:val="3"/>
  </w:num>
  <w:num w:numId="71">
    <w:abstractNumId w:val="3"/>
  </w:num>
  <w:num w:numId="72">
    <w:abstractNumId w:val="3"/>
  </w:num>
  <w:num w:numId="73">
    <w:abstractNumId w:val="3"/>
  </w:num>
  <w:num w:numId="74">
    <w:abstractNumId w:val="3"/>
  </w:num>
  <w:num w:numId="75">
    <w:abstractNumId w:val="3"/>
  </w:num>
  <w:num w:numId="76">
    <w:abstractNumId w:val="3"/>
  </w:num>
  <w:num w:numId="77">
    <w:abstractNumId w:val="5"/>
  </w:num>
  <w:numIdMacAtCleanup w:val="7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rah Dowdall">
    <w15:presenceInfo w15:providerId="None" w15:userId="Sarah Dowdal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fr-FR" w:vendorID="64" w:dllVersion="0" w:nlCheck="1" w:checkStyle="0"/>
  <w:activeWritingStyle w:appName="MSWord" w:lang="en-US" w:vendorID="64" w:dllVersion="0" w:nlCheck="1" w:checkStyle="1"/>
  <w:activeWritingStyle w:appName="MSWord" w:lang="en-GB" w:vendorID="64" w:dllVersion="0" w:nlCheck="1" w:checkStyle="1"/>
  <w:activeWritingStyle w:appName="MSWord" w:lang="es-ES" w:vendorID="64" w:dllVersion="0"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proofState w:spelling="clean" w:grammar="clean"/>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revisionView w:markup="0"/>
  <w:defaultTabStop w:val="624"/>
  <w:hyphenationZone w:val="425"/>
  <w:evenAndOddHeaders/>
  <w:noPunctuationKerning/>
  <w:characterSpacingControl w:val="doNotCompress"/>
  <w:hdrShapeDefaults>
    <o:shapedefaults v:ext="edit" spidmax="2052"/>
  </w:hdrShapeDefaults>
  <w:footnotePr>
    <w:footnote w:id="-1"/>
    <w:footnote w:id="0"/>
    <w:footnote w:id="1"/>
  </w:footnotePr>
  <w:endnotePr>
    <w:endnote w:id="-1"/>
    <w:endnote w:id="0"/>
    <w:endnote w:id="1"/>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718"/>
    <w:rsid w:val="00002490"/>
    <w:rsid w:val="00004393"/>
    <w:rsid w:val="00004744"/>
    <w:rsid w:val="00005808"/>
    <w:rsid w:val="00006B07"/>
    <w:rsid w:val="0001018F"/>
    <w:rsid w:val="00010465"/>
    <w:rsid w:val="000113F1"/>
    <w:rsid w:val="0001274D"/>
    <w:rsid w:val="00013A3A"/>
    <w:rsid w:val="0001425E"/>
    <w:rsid w:val="000149E6"/>
    <w:rsid w:val="00016078"/>
    <w:rsid w:val="0001790A"/>
    <w:rsid w:val="00020A06"/>
    <w:rsid w:val="00022D32"/>
    <w:rsid w:val="00023440"/>
    <w:rsid w:val="000244D0"/>
    <w:rsid w:val="000247B0"/>
    <w:rsid w:val="00024938"/>
    <w:rsid w:val="00024BCC"/>
    <w:rsid w:val="0002540B"/>
    <w:rsid w:val="0002596B"/>
    <w:rsid w:val="000268EC"/>
    <w:rsid w:val="00026997"/>
    <w:rsid w:val="00026A9B"/>
    <w:rsid w:val="00027A20"/>
    <w:rsid w:val="00027A65"/>
    <w:rsid w:val="00030C1A"/>
    <w:rsid w:val="00031A11"/>
    <w:rsid w:val="00031A96"/>
    <w:rsid w:val="00032A06"/>
    <w:rsid w:val="000335F1"/>
    <w:rsid w:val="00033A66"/>
    <w:rsid w:val="00033E0B"/>
    <w:rsid w:val="000347EA"/>
    <w:rsid w:val="00035EDE"/>
    <w:rsid w:val="00037F2D"/>
    <w:rsid w:val="0004005F"/>
    <w:rsid w:val="00040F66"/>
    <w:rsid w:val="00041C0C"/>
    <w:rsid w:val="0004308E"/>
    <w:rsid w:val="00045A1D"/>
    <w:rsid w:val="0004653A"/>
    <w:rsid w:val="00046ED2"/>
    <w:rsid w:val="000472C9"/>
    <w:rsid w:val="00050462"/>
    <w:rsid w:val="0005054B"/>
    <w:rsid w:val="000509B4"/>
    <w:rsid w:val="00050CEB"/>
    <w:rsid w:val="000550A3"/>
    <w:rsid w:val="00057E6E"/>
    <w:rsid w:val="0006035B"/>
    <w:rsid w:val="00060625"/>
    <w:rsid w:val="00061B9C"/>
    <w:rsid w:val="00062993"/>
    <w:rsid w:val="00064641"/>
    <w:rsid w:val="00065928"/>
    <w:rsid w:val="00065E8D"/>
    <w:rsid w:val="0006674D"/>
    <w:rsid w:val="00070486"/>
    <w:rsid w:val="00071705"/>
    <w:rsid w:val="00071886"/>
    <w:rsid w:val="00072269"/>
    <w:rsid w:val="00072BF1"/>
    <w:rsid w:val="00072D5C"/>
    <w:rsid w:val="000742BC"/>
    <w:rsid w:val="0007771A"/>
    <w:rsid w:val="000810AE"/>
    <w:rsid w:val="00081A19"/>
    <w:rsid w:val="00081CA8"/>
    <w:rsid w:val="000822E1"/>
    <w:rsid w:val="00082A0C"/>
    <w:rsid w:val="00083504"/>
    <w:rsid w:val="00083D93"/>
    <w:rsid w:val="000866B9"/>
    <w:rsid w:val="000867B1"/>
    <w:rsid w:val="00086F84"/>
    <w:rsid w:val="0008780C"/>
    <w:rsid w:val="000904A7"/>
    <w:rsid w:val="00092DFD"/>
    <w:rsid w:val="000943B9"/>
    <w:rsid w:val="00094EB6"/>
    <w:rsid w:val="0009539A"/>
    <w:rsid w:val="000962BA"/>
    <w:rsid w:val="000962D9"/>
    <w:rsid w:val="0009640C"/>
    <w:rsid w:val="00096574"/>
    <w:rsid w:val="00096BBD"/>
    <w:rsid w:val="000A0EDA"/>
    <w:rsid w:val="000A18EA"/>
    <w:rsid w:val="000A4D3B"/>
    <w:rsid w:val="000A6BE1"/>
    <w:rsid w:val="000A7CE7"/>
    <w:rsid w:val="000B08F0"/>
    <w:rsid w:val="000B0BC0"/>
    <w:rsid w:val="000B0DAC"/>
    <w:rsid w:val="000B22A2"/>
    <w:rsid w:val="000B354F"/>
    <w:rsid w:val="000B36CD"/>
    <w:rsid w:val="000B475F"/>
    <w:rsid w:val="000B4B86"/>
    <w:rsid w:val="000B5CC0"/>
    <w:rsid w:val="000B6CE1"/>
    <w:rsid w:val="000C1DAC"/>
    <w:rsid w:val="000C28C3"/>
    <w:rsid w:val="000C2A52"/>
    <w:rsid w:val="000C2F85"/>
    <w:rsid w:val="000C3FC9"/>
    <w:rsid w:val="000C5A20"/>
    <w:rsid w:val="000C790F"/>
    <w:rsid w:val="000C7B0C"/>
    <w:rsid w:val="000D1381"/>
    <w:rsid w:val="000D21AB"/>
    <w:rsid w:val="000D2FC2"/>
    <w:rsid w:val="000D33C0"/>
    <w:rsid w:val="000D355B"/>
    <w:rsid w:val="000D48BA"/>
    <w:rsid w:val="000D4F3B"/>
    <w:rsid w:val="000D5438"/>
    <w:rsid w:val="000D5A08"/>
    <w:rsid w:val="000D6941"/>
    <w:rsid w:val="000D7B5D"/>
    <w:rsid w:val="000D7C58"/>
    <w:rsid w:val="000E05D3"/>
    <w:rsid w:val="000E301B"/>
    <w:rsid w:val="000E3AB0"/>
    <w:rsid w:val="000E45DE"/>
    <w:rsid w:val="000E5516"/>
    <w:rsid w:val="000E55D9"/>
    <w:rsid w:val="000E62F0"/>
    <w:rsid w:val="000E6A75"/>
    <w:rsid w:val="000F1744"/>
    <w:rsid w:val="000F3C6F"/>
    <w:rsid w:val="000F4888"/>
    <w:rsid w:val="000F68CE"/>
    <w:rsid w:val="001017D8"/>
    <w:rsid w:val="00101884"/>
    <w:rsid w:val="001021E3"/>
    <w:rsid w:val="00102297"/>
    <w:rsid w:val="00103700"/>
    <w:rsid w:val="00103FA6"/>
    <w:rsid w:val="00104B1C"/>
    <w:rsid w:val="00106A80"/>
    <w:rsid w:val="00107835"/>
    <w:rsid w:val="001106D7"/>
    <w:rsid w:val="001117B9"/>
    <w:rsid w:val="00112029"/>
    <w:rsid w:val="00112540"/>
    <w:rsid w:val="0011334F"/>
    <w:rsid w:val="001134DA"/>
    <w:rsid w:val="00115B14"/>
    <w:rsid w:val="0011610A"/>
    <w:rsid w:val="001170F8"/>
    <w:rsid w:val="001202E3"/>
    <w:rsid w:val="00120EAE"/>
    <w:rsid w:val="001226EB"/>
    <w:rsid w:val="00123699"/>
    <w:rsid w:val="00124F81"/>
    <w:rsid w:val="001258EC"/>
    <w:rsid w:val="00126184"/>
    <w:rsid w:val="00127A99"/>
    <w:rsid w:val="0013059D"/>
    <w:rsid w:val="0013122B"/>
    <w:rsid w:val="001332A0"/>
    <w:rsid w:val="001341D4"/>
    <w:rsid w:val="001346F4"/>
    <w:rsid w:val="00134E8E"/>
    <w:rsid w:val="00135676"/>
    <w:rsid w:val="0013622A"/>
    <w:rsid w:val="00136795"/>
    <w:rsid w:val="00141A55"/>
    <w:rsid w:val="00142E67"/>
    <w:rsid w:val="001435BA"/>
    <w:rsid w:val="00143F7A"/>
    <w:rsid w:val="001446A3"/>
    <w:rsid w:val="00144B2F"/>
    <w:rsid w:val="00150A3D"/>
    <w:rsid w:val="00151EC9"/>
    <w:rsid w:val="00154EB2"/>
    <w:rsid w:val="00155395"/>
    <w:rsid w:val="00155B13"/>
    <w:rsid w:val="00156829"/>
    <w:rsid w:val="00157143"/>
    <w:rsid w:val="00160D74"/>
    <w:rsid w:val="00162EAC"/>
    <w:rsid w:val="00167D02"/>
    <w:rsid w:val="001701C1"/>
    <w:rsid w:val="00171E78"/>
    <w:rsid w:val="001755C7"/>
    <w:rsid w:val="0018016F"/>
    <w:rsid w:val="00181EC8"/>
    <w:rsid w:val="00182E89"/>
    <w:rsid w:val="00184349"/>
    <w:rsid w:val="00190B61"/>
    <w:rsid w:val="0019304F"/>
    <w:rsid w:val="0019380A"/>
    <w:rsid w:val="00195F33"/>
    <w:rsid w:val="001A0AE1"/>
    <w:rsid w:val="001A1F8B"/>
    <w:rsid w:val="001A7224"/>
    <w:rsid w:val="001A7557"/>
    <w:rsid w:val="001A7E34"/>
    <w:rsid w:val="001B126A"/>
    <w:rsid w:val="001B1617"/>
    <w:rsid w:val="001B17C4"/>
    <w:rsid w:val="001B2250"/>
    <w:rsid w:val="001B37D9"/>
    <w:rsid w:val="001B504B"/>
    <w:rsid w:val="001C0754"/>
    <w:rsid w:val="001C3FB0"/>
    <w:rsid w:val="001C7D10"/>
    <w:rsid w:val="001D0C39"/>
    <w:rsid w:val="001D1FA7"/>
    <w:rsid w:val="001D3874"/>
    <w:rsid w:val="001D5478"/>
    <w:rsid w:val="001D57CD"/>
    <w:rsid w:val="001D7910"/>
    <w:rsid w:val="001D7A26"/>
    <w:rsid w:val="001D7DBE"/>
    <w:rsid w:val="001D7E75"/>
    <w:rsid w:val="001E3CD6"/>
    <w:rsid w:val="001E3D63"/>
    <w:rsid w:val="001E4049"/>
    <w:rsid w:val="001E56D2"/>
    <w:rsid w:val="001E6142"/>
    <w:rsid w:val="001E65EF"/>
    <w:rsid w:val="001E6B23"/>
    <w:rsid w:val="001E7D56"/>
    <w:rsid w:val="001F0388"/>
    <w:rsid w:val="001F183F"/>
    <w:rsid w:val="001F1F06"/>
    <w:rsid w:val="001F68CE"/>
    <w:rsid w:val="001F75DE"/>
    <w:rsid w:val="00200D58"/>
    <w:rsid w:val="0020121D"/>
    <w:rsid w:val="002013BE"/>
    <w:rsid w:val="002018A3"/>
    <w:rsid w:val="002047F9"/>
    <w:rsid w:val="002057AD"/>
    <w:rsid w:val="002063A4"/>
    <w:rsid w:val="00206D50"/>
    <w:rsid w:val="0021145B"/>
    <w:rsid w:val="00211B18"/>
    <w:rsid w:val="002142CD"/>
    <w:rsid w:val="00215567"/>
    <w:rsid w:val="00216594"/>
    <w:rsid w:val="00217B53"/>
    <w:rsid w:val="002205DD"/>
    <w:rsid w:val="00221FE2"/>
    <w:rsid w:val="002225C7"/>
    <w:rsid w:val="0022422C"/>
    <w:rsid w:val="002247FB"/>
    <w:rsid w:val="002252BD"/>
    <w:rsid w:val="00225FA4"/>
    <w:rsid w:val="0023016B"/>
    <w:rsid w:val="00230C67"/>
    <w:rsid w:val="00230E02"/>
    <w:rsid w:val="00231286"/>
    <w:rsid w:val="0023189C"/>
    <w:rsid w:val="00231D29"/>
    <w:rsid w:val="00231FA8"/>
    <w:rsid w:val="00234F53"/>
    <w:rsid w:val="002359AA"/>
    <w:rsid w:val="002363D5"/>
    <w:rsid w:val="002400F0"/>
    <w:rsid w:val="00241098"/>
    <w:rsid w:val="00241415"/>
    <w:rsid w:val="00242A25"/>
    <w:rsid w:val="00243A99"/>
    <w:rsid w:val="00243D36"/>
    <w:rsid w:val="00243D37"/>
    <w:rsid w:val="002440B7"/>
    <w:rsid w:val="0024504C"/>
    <w:rsid w:val="00246A3C"/>
    <w:rsid w:val="00247707"/>
    <w:rsid w:val="002506FD"/>
    <w:rsid w:val="00250E16"/>
    <w:rsid w:val="00252C3F"/>
    <w:rsid w:val="00253274"/>
    <w:rsid w:val="00253DCE"/>
    <w:rsid w:val="00255982"/>
    <w:rsid w:val="00256712"/>
    <w:rsid w:val="00257D31"/>
    <w:rsid w:val="0026018E"/>
    <w:rsid w:val="00263326"/>
    <w:rsid w:val="00266C58"/>
    <w:rsid w:val="00267C93"/>
    <w:rsid w:val="00270340"/>
    <w:rsid w:val="002704A4"/>
    <w:rsid w:val="00271EC8"/>
    <w:rsid w:val="002738BA"/>
    <w:rsid w:val="00275B02"/>
    <w:rsid w:val="00276BC0"/>
    <w:rsid w:val="0027794C"/>
    <w:rsid w:val="002779E8"/>
    <w:rsid w:val="00282710"/>
    <w:rsid w:val="00282EDB"/>
    <w:rsid w:val="00283070"/>
    <w:rsid w:val="00283F8B"/>
    <w:rsid w:val="0028454A"/>
    <w:rsid w:val="00285A5C"/>
    <w:rsid w:val="00286740"/>
    <w:rsid w:val="0028685F"/>
    <w:rsid w:val="00287ACC"/>
    <w:rsid w:val="0029120A"/>
    <w:rsid w:val="002929D8"/>
    <w:rsid w:val="00294386"/>
    <w:rsid w:val="002948E8"/>
    <w:rsid w:val="002A237D"/>
    <w:rsid w:val="002A4379"/>
    <w:rsid w:val="002A4C53"/>
    <w:rsid w:val="002A589A"/>
    <w:rsid w:val="002A5AE9"/>
    <w:rsid w:val="002A6E73"/>
    <w:rsid w:val="002A7A44"/>
    <w:rsid w:val="002B0210"/>
    <w:rsid w:val="002B0672"/>
    <w:rsid w:val="002B0B75"/>
    <w:rsid w:val="002B247F"/>
    <w:rsid w:val="002B2D24"/>
    <w:rsid w:val="002B30D2"/>
    <w:rsid w:val="002B362B"/>
    <w:rsid w:val="002B5D13"/>
    <w:rsid w:val="002B687B"/>
    <w:rsid w:val="002C01DD"/>
    <w:rsid w:val="002C145D"/>
    <w:rsid w:val="002C2C3E"/>
    <w:rsid w:val="002C2CAE"/>
    <w:rsid w:val="002C2D79"/>
    <w:rsid w:val="002C3E31"/>
    <w:rsid w:val="002C461F"/>
    <w:rsid w:val="002C49EF"/>
    <w:rsid w:val="002C533E"/>
    <w:rsid w:val="002C55C4"/>
    <w:rsid w:val="002C6C92"/>
    <w:rsid w:val="002C7741"/>
    <w:rsid w:val="002D027F"/>
    <w:rsid w:val="002D126D"/>
    <w:rsid w:val="002D21EA"/>
    <w:rsid w:val="002D3A9E"/>
    <w:rsid w:val="002D4F0B"/>
    <w:rsid w:val="002D5106"/>
    <w:rsid w:val="002D7A85"/>
    <w:rsid w:val="002D7B60"/>
    <w:rsid w:val="002D7D94"/>
    <w:rsid w:val="002E0BC4"/>
    <w:rsid w:val="002E20A2"/>
    <w:rsid w:val="002E553C"/>
    <w:rsid w:val="002E6887"/>
    <w:rsid w:val="002E725C"/>
    <w:rsid w:val="002E73EF"/>
    <w:rsid w:val="002E79DB"/>
    <w:rsid w:val="002F03E8"/>
    <w:rsid w:val="002F3ED0"/>
    <w:rsid w:val="002F4761"/>
    <w:rsid w:val="002F5A96"/>
    <w:rsid w:val="002F5C79"/>
    <w:rsid w:val="002F6416"/>
    <w:rsid w:val="002F76F2"/>
    <w:rsid w:val="00301399"/>
    <w:rsid w:val="003017C8"/>
    <w:rsid w:val="003019E2"/>
    <w:rsid w:val="0030234B"/>
    <w:rsid w:val="003026D4"/>
    <w:rsid w:val="003033BA"/>
    <w:rsid w:val="00305B81"/>
    <w:rsid w:val="00306438"/>
    <w:rsid w:val="003065AE"/>
    <w:rsid w:val="00312F1B"/>
    <w:rsid w:val="00313772"/>
    <w:rsid w:val="0031413F"/>
    <w:rsid w:val="003148BB"/>
    <w:rsid w:val="00314DA5"/>
    <w:rsid w:val="00316C6B"/>
    <w:rsid w:val="00317976"/>
    <w:rsid w:val="00322B1D"/>
    <w:rsid w:val="00323347"/>
    <w:rsid w:val="003245C8"/>
    <w:rsid w:val="00324D6C"/>
    <w:rsid w:val="00324E45"/>
    <w:rsid w:val="00327196"/>
    <w:rsid w:val="00330E8E"/>
    <w:rsid w:val="0033544C"/>
    <w:rsid w:val="003360C6"/>
    <w:rsid w:val="00336272"/>
    <w:rsid w:val="00336EAA"/>
    <w:rsid w:val="003446A7"/>
    <w:rsid w:val="003448C7"/>
    <w:rsid w:val="00346013"/>
    <w:rsid w:val="0034621D"/>
    <w:rsid w:val="003466ED"/>
    <w:rsid w:val="0034674C"/>
    <w:rsid w:val="00346ACA"/>
    <w:rsid w:val="003531D7"/>
    <w:rsid w:val="003537F1"/>
    <w:rsid w:val="00355EA9"/>
    <w:rsid w:val="00355F3F"/>
    <w:rsid w:val="003572FD"/>
    <w:rsid w:val="003578DE"/>
    <w:rsid w:val="00361520"/>
    <w:rsid w:val="0036264F"/>
    <w:rsid w:val="00362BC9"/>
    <w:rsid w:val="00363316"/>
    <w:rsid w:val="003648B0"/>
    <w:rsid w:val="0036498C"/>
    <w:rsid w:val="0036504F"/>
    <w:rsid w:val="00365888"/>
    <w:rsid w:val="00365AD8"/>
    <w:rsid w:val="003660BF"/>
    <w:rsid w:val="00366AFF"/>
    <w:rsid w:val="00367446"/>
    <w:rsid w:val="00367F75"/>
    <w:rsid w:val="003708B6"/>
    <w:rsid w:val="00370F9B"/>
    <w:rsid w:val="00373C6D"/>
    <w:rsid w:val="0037412C"/>
    <w:rsid w:val="00375FB2"/>
    <w:rsid w:val="0037643A"/>
    <w:rsid w:val="00380C51"/>
    <w:rsid w:val="00380F93"/>
    <w:rsid w:val="00381D88"/>
    <w:rsid w:val="00382B83"/>
    <w:rsid w:val="0038432C"/>
    <w:rsid w:val="0038456F"/>
    <w:rsid w:val="003851A7"/>
    <w:rsid w:val="003877DF"/>
    <w:rsid w:val="00390E72"/>
    <w:rsid w:val="0039112A"/>
    <w:rsid w:val="00391F03"/>
    <w:rsid w:val="00392075"/>
    <w:rsid w:val="00392577"/>
    <w:rsid w:val="00393368"/>
    <w:rsid w:val="0039431F"/>
    <w:rsid w:val="00395233"/>
    <w:rsid w:val="00396257"/>
    <w:rsid w:val="00397EB8"/>
    <w:rsid w:val="003A40DE"/>
    <w:rsid w:val="003A4FD0"/>
    <w:rsid w:val="003A69D1"/>
    <w:rsid w:val="003A7705"/>
    <w:rsid w:val="003A77F1"/>
    <w:rsid w:val="003A7D53"/>
    <w:rsid w:val="003B03DB"/>
    <w:rsid w:val="003B1545"/>
    <w:rsid w:val="003B167B"/>
    <w:rsid w:val="003B403A"/>
    <w:rsid w:val="003B496E"/>
    <w:rsid w:val="003C409D"/>
    <w:rsid w:val="003C5BA6"/>
    <w:rsid w:val="003C6001"/>
    <w:rsid w:val="003C76BA"/>
    <w:rsid w:val="003D00F8"/>
    <w:rsid w:val="003D0F5E"/>
    <w:rsid w:val="003D18D9"/>
    <w:rsid w:val="003D246F"/>
    <w:rsid w:val="003D2A32"/>
    <w:rsid w:val="003D4714"/>
    <w:rsid w:val="003D59AE"/>
    <w:rsid w:val="003D5CAA"/>
    <w:rsid w:val="003D5D79"/>
    <w:rsid w:val="003E0C5B"/>
    <w:rsid w:val="003E0CD5"/>
    <w:rsid w:val="003E0D97"/>
    <w:rsid w:val="003E0FF4"/>
    <w:rsid w:val="003E142A"/>
    <w:rsid w:val="003E1E66"/>
    <w:rsid w:val="003E2D1B"/>
    <w:rsid w:val="003E2DB0"/>
    <w:rsid w:val="003E62DF"/>
    <w:rsid w:val="003E70E8"/>
    <w:rsid w:val="003E7376"/>
    <w:rsid w:val="003E7CB4"/>
    <w:rsid w:val="003E7E49"/>
    <w:rsid w:val="003F0E85"/>
    <w:rsid w:val="003F3871"/>
    <w:rsid w:val="003F6881"/>
    <w:rsid w:val="003F715E"/>
    <w:rsid w:val="003F7AB4"/>
    <w:rsid w:val="0040074C"/>
    <w:rsid w:val="004021EA"/>
    <w:rsid w:val="00404061"/>
    <w:rsid w:val="00404617"/>
    <w:rsid w:val="00404D50"/>
    <w:rsid w:val="00405483"/>
    <w:rsid w:val="00405734"/>
    <w:rsid w:val="00407FCB"/>
    <w:rsid w:val="00410721"/>
    <w:rsid w:val="00410A75"/>
    <w:rsid w:val="00410C55"/>
    <w:rsid w:val="00411CF8"/>
    <w:rsid w:val="00411E16"/>
    <w:rsid w:val="00411E8F"/>
    <w:rsid w:val="00412AE9"/>
    <w:rsid w:val="00413F9C"/>
    <w:rsid w:val="00414C8E"/>
    <w:rsid w:val="00416854"/>
    <w:rsid w:val="00416AC9"/>
    <w:rsid w:val="00417725"/>
    <w:rsid w:val="004178E0"/>
    <w:rsid w:val="00417BE2"/>
    <w:rsid w:val="00417E4A"/>
    <w:rsid w:val="004209E8"/>
    <w:rsid w:val="00422755"/>
    <w:rsid w:val="00424370"/>
    <w:rsid w:val="00424F45"/>
    <w:rsid w:val="00425318"/>
    <w:rsid w:val="00425A73"/>
    <w:rsid w:val="00426ADC"/>
    <w:rsid w:val="00426FD8"/>
    <w:rsid w:val="004272BD"/>
    <w:rsid w:val="004304D9"/>
    <w:rsid w:val="00430605"/>
    <w:rsid w:val="004309EE"/>
    <w:rsid w:val="00431574"/>
    <w:rsid w:val="00431A61"/>
    <w:rsid w:val="0043208D"/>
    <w:rsid w:val="00434606"/>
    <w:rsid w:val="004358F5"/>
    <w:rsid w:val="004370E4"/>
    <w:rsid w:val="00437F26"/>
    <w:rsid w:val="00440054"/>
    <w:rsid w:val="0044130A"/>
    <w:rsid w:val="00444097"/>
    <w:rsid w:val="00444E16"/>
    <w:rsid w:val="004450DA"/>
    <w:rsid w:val="00445487"/>
    <w:rsid w:val="0044598F"/>
    <w:rsid w:val="00445EFC"/>
    <w:rsid w:val="00446662"/>
    <w:rsid w:val="00450DAF"/>
    <w:rsid w:val="00451064"/>
    <w:rsid w:val="004510AE"/>
    <w:rsid w:val="0045139F"/>
    <w:rsid w:val="004534E4"/>
    <w:rsid w:val="00454769"/>
    <w:rsid w:val="004619A1"/>
    <w:rsid w:val="00462F39"/>
    <w:rsid w:val="004634F9"/>
    <w:rsid w:val="00463C95"/>
    <w:rsid w:val="00464079"/>
    <w:rsid w:val="0046565A"/>
    <w:rsid w:val="004661C0"/>
    <w:rsid w:val="00466991"/>
    <w:rsid w:val="00466C95"/>
    <w:rsid w:val="004677C9"/>
    <w:rsid w:val="0047064C"/>
    <w:rsid w:val="00470904"/>
    <w:rsid w:val="00471EEC"/>
    <w:rsid w:val="00472994"/>
    <w:rsid w:val="00475DD3"/>
    <w:rsid w:val="00476B1D"/>
    <w:rsid w:val="00477480"/>
    <w:rsid w:val="00477647"/>
    <w:rsid w:val="00480E9B"/>
    <w:rsid w:val="004838E1"/>
    <w:rsid w:val="00484D82"/>
    <w:rsid w:val="00485FB4"/>
    <w:rsid w:val="004865B6"/>
    <w:rsid w:val="00487F8D"/>
    <w:rsid w:val="004908C1"/>
    <w:rsid w:val="00493409"/>
    <w:rsid w:val="00495F8E"/>
    <w:rsid w:val="004A0271"/>
    <w:rsid w:val="004A02FC"/>
    <w:rsid w:val="004A05D2"/>
    <w:rsid w:val="004A0FE9"/>
    <w:rsid w:val="004A1729"/>
    <w:rsid w:val="004A412C"/>
    <w:rsid w:val="004A42E1"/>
    <w:rsid w:val="004A5554"/>
    <w:rsid w:val="004A58A9"/>
    <w:rsid w:val="004A5A6A"/>
    <w:rsid w:val="004A5D3A"/>
    <w:rsid w:val="004A5E24"/>
    <w:rsid w:val="004B0371"/>
    <w:rsid w:val="004B1029"/>
    <w:rsid w:val="004B162C"/>
    <w:rsid w:val="004B34AB"/>
    <w:rsid w:val="004B3C19"/>
    <w:rsid w:val="004B43F6"/>
    <w:rsid w:val="004B5038"/>
    <w:rsid w:val="004B576C"/>
    <w:rsid w:val="004B6386"/>
    <w:rsid w:val="004B6AAB"/>
    <w:rsid w:val="004C1A82"/>
    <w:rsid w:val="004C3380"/>
    <w:rsid w:val="004C3DBE"/>
    <w:rsid w:val="004C5C96"/>
    <w:rsid w:val="004C769D"/>
    <w:rsid w:val="004C7753"/>
    <w:rsid w:val="004D06A4"/>
    <w:rsid w:val="004D18A1"/>
    <w:rsid w:val="004D514B"/>
    <w:rsid w:val="004D63F3"/>
    <w:rsid w:val="004E1124"/>
    <w:rsid w:val="004E1EB1"/>
    <w:rsid w:val="004E20B3"/>
    <w:rsid w:val="004E37B9"/>
    <w:rsid w:val="004E380E"/>
    <w:rsid w:val="004E3A49"/>
    <w:rsid w:val="004E6106"/>
    <w:rsid w:val="004F0C62"/>
    <w:rsid w:val="004F1A81"/>
    <w:rsid w:val="004F2CD2"/>
    <w:rsid w:val="004F4229"/>
    <w:rsid w:val="004F45E1"/>
    <w:rsid w:val="004F4A0C"/>
    <w:rsid w:val="004F582B"/>
    <w:rsid w:val="004F68BA"/>
    <w:rsid w:val="00500D68"/>
    <w:rsid w:val="00502BEB"/>
    <w:rsid w:val="00502D55"/>
    <w:rsid w:val="0050499B"/>
    <w:rsid w:val="00504DEC"/>
    <w:rsid w:val="0050591F"/>
    <w:rsid w:val="005059FE"/>
    <w:rsid w:val="00505F26"/>
    <w:rsid w:val="005076C0"/>
    <w:rsid w:val="005077FB"/>
    <w:rsid w:val="00510281"/>
    <w:rsid w:val="0051131A"/>
    <w:rsid w:val="005114A3"/>
    <w:rsid w:val="005114AD"/>
    <w:rsid w:val="00511D5A"/>
    <w:rsid w:val="00514630"/>
    <w:rsid w:val="0051482F"/>
    <w:rsid w:val="00515134"/>
    <w:rsid w:val="00515C85"/>
    <w:rsid w:val="0051662C"/>
    <w:rsid w:val="00516B72"/>
    <w:rsid w:val="005218D9"/>
    <w:rsid w:val="005260AD"/>
    <w:rsid w:val="00526660"/>
    <w:rsid w:val="00526DFC"/>
    <w:rsid w:val="00527E00"/>
    <w:rsid w:val="005301BA"/>
    <w:rsid w:val="005308F9"/>
    <w:rsid w:val="00531D0C"/>
    <w:rsid w:val="00532129"/>
    <w:rsid w:val="005324E7"/>
    <w:rsid w:val="00536186"/>
    <w:rsid w:val="0053686B"/>
    <w:rsid w:val="00537ED5"/>
    <w:rsid w:val="00541DB4"/>
    <w:rsid w:val="00541F17"/>
    <w:rsid w:val="00542FF9"/>
    <w:rsid w:val="005430EF"/>
    <w:rsid w:val="0054350E"/>
    <w:rsid w:val="005448E2"/>
    <w:rsid w:val="00544CBB"/>
    <w:rsid w:val="0054731D"/>
    <w:rsid w:val="00550714"/>
    <w:rsid w:val="00551A8D"/>
    <w:rsid w:val="00553C6B"/>
    <w:rsid w:val="00553D11"/>
    <w:rsid w:val="00554BBD"/>
    <w:rsid w:val="005563D9"/>
    <w:rsid w:val="00556553"/>
    <w:rsid w:val="00556F3A"/>
    <w:rsid w:val="005576F4"/>
    <w:rsid w:val="00557CF5"/>
    <w:rsid w:val="00560E6C"/>
    <w:rsid w:val="00561324"/>
    <w:rsid w:val="00561FB6"/>
    <w:rsid w:val="00562C77"/>
    <w:rsid w:val="00563AF5"/>
    <w:rsid w:val="005642B6"/>
    <w:rsid w:val="005677BD"/>
    <w:rsid w:val="0057050C"/>
    <w:rsid w:val="0057111C"/>
    <w:rsid w:val="0057315F"/>
    <w:rsid w:val="00573740"/>
    <w:rsid w:val="00573ED7"/>
    <w:rsid w:val="00576104"/>
    <w:rsid w:val="0057633F"/>
    <w:rsid w:val="005764BB"/>
    <w:rsid w:val="00577868"/>
    <w:rsid w:val="005804C9"/>
    <w:rsid w:val="0058124D"/>
    <w:rsid w:val="00581441"/>
    <w:rsid w:val="005856C2"/>
    <w:rsid w:val="00586815"/>
    <w:rsid w:val="00586C3C"/>
    <w:rsid w:val="00587778"/>
    <w:rsid w:val="005900AA"/>
    <w:rsid w:val="00593548"/>
    <w:rsid w:val="00593EAB"/>
    <w:rsid w:val="00595D8A"/>
    <w:rsid w:val="005A0730"/>
    <w:rsid w:val="005A1036"/>
    <w:rsid w:val="005A13B8"/>
    <w:rsid w:val="005A1BDC"/>
    <w:rsid w:val="005A6FEC"/>
    <w:rsid w:val="005B069E"/>
    <w:rsid w:val="005B3171"/>
    <w:rsid w:val="005B32B0"/>
    <w:rsid w:val="005B3E1D"/>
    <w:rsid w:val="005B469D"/>
    <w:rsid w:val="005B74B0"/>
    <w:rsid w:val="005C002D"/>
    <w:rsid w:val="005C04B7"/>
    <w:rsid w:val="005C4233"/>
    <w:rsid w:val="005C429F"/>
    <w:rsid w:val="005C46B8"/>
    <w:rsid w:val="005C626F"/>
    <w:rsid w:val="005C67C8"/>
    <w:rsid w:val="005C77D5"/>
    <w:rsid w:val="005C7828"/>
    <w:rsid w:val="005C7E66"/>
    <w:rsid w:val="005D0249"/>
    <w:rsid w:val="005D05EA"/>
    <w:rsid w:val="005D118A"/>
    <w:rsid w:val="005D1D24"/>
    <w:rsid w:val="005D1DDD"/>
    <w:rsid w:val="005D1F60"/>
    <w:rsid w:val="005D4727"/>
    <w:rsid w:val="005D5662"/>
    <w:rsid w:val="005D5AE3"/>
    <w:rsid w:val="005D6E8C"/>
    <w:rsid w:val="005D7E3D"/>
    <w:rsid w:val="005E0B6F"/>
    <w:rsid w:val="005E1218"/>
    <w:rsid w:val="005E14C6"/>
    <w:rsid w:val="005E219F"/>
    <w:rsid w:val="005E2357"/>
    <w:rsid w:val="005E5241"/>
    <w:rsid w:val="005E577F"/>
    <w:rsid w:val="005E5E5A"/>
    <w:rsid w:val="005E7B01"/>
    <w:rsid w:val="005F100C"/>
    <w:rsid w:val="005F22CA"/>
    <w:rsid w:val="005F68DA"/>
    <w:rsid w:val="005F7607"/>
    <w:rsid w:val="006018AF"/>
    <w:rsid w:val="0060389E"/>
    <w:rsid w:val="00604019"/>
    <w:rsid w:val="00604105"/>
    <w:rsid w:val="0060473F"/>
    <w:rsid w:val="00604876"/>
    <w:rsid w:val="00604936"/>
    <w:rsid w:val="006062D7"/>
    <w:rsid w:val="006062DB"/>
    <w:rsid w:val="006072D1"/>
    <w:rsid w:val="0060766F"/>
    <w:rsid w:val="0060773B"/>
    <w:rsid w:val="00607DD6"/>
    <w:rsid w:val="00613407"/>
    <w:rsid w:val="00613429"/>
    <w:rsid w:val="00614871"/>
    <w:rsid w:val="006157B5"/>
    <w:rsid w:val="006158E2"/>
    <w:rsid w:val="00616086"/>
    <w:rsid w:val="00616984"/>
    <w:rsid w:val="00616D6B"/>
    <w:rsid w:val="00620ECD"/>
    <w:rsid w:val="00622498"/>
    <w:rsid w:val="0062620A"/>
    <w:rsid w:val="00626F81"/>
    <w:rsid w:val="00626FC6"/>
    <w:rsid w:val="006303B4"/>
    <w:rsid w:val="0063088A"/>
    <w:rsid w:val="00630E4A"/>
    <w:rsid w:val="0063159A"/>
    <w:rsid w:val="00631C77"/>
    <w:rsid w:val="00633D3D"/>
    <w:rsid w:val="006366AE"/>
    <w:rsid w:val="006367B9"/>
    <w:rsid w:val="00636DD8"/>
    <w:rsid w:val="00636DFD"/>
    <w:rsid w:val="00641703"/>
    <w:rsid w:val="00641887"/>
    <w:rsid w:val="00642DE9"/>
    <w:rsid w:val="006431A6"/>
    <w:rsid w:val="00643EB1"/>
    <w:rsid w:val="006446F0"/>
    <w:rsid w:val="006457F1"/>
    <w:rsid w:val="006459F6"/>
    <w:rsid w:val="006501AD"/>
    <w:rsid w:val="00650C7A"/>
    <w:rsid w:val="0065130E"/>
    <w:rsid w:val="00651BFA"/>
    <w:rsid w:val="006526B0"/>
    <w:rsid w:val="00652F27"/>
    <w:rsid w:val="0065329E"/>
    <w:rsid w:val="00653FDF"/>
    <w:rsid w:val="00654475"/>
    <w:rsid w:val="00656626"/>
    <w:rsid w:val="00657F10"/>
    <w:rsid w:val="00660092"/>
    <w:rsid w:val="00661A40"/>
    <w:rsid w:val="006621C8"/>
    <w:rsid w:val="00662A24"/>
    <w:rsid w:val="006636F6"/>
    <w:rsid w:val="006648D0"/>
    <w:rsid w:val="00665A4B"/>
    <w:rsid w:val="0067034F"/>
    <w:rsid w:val="00670CDC"/>
    <w:rsid w:val="00670F41"/>
    <w:rsid w:val="00671A97"/>
    <w:rsid w:val="0067546B"/>
    <w:rsid w:val="0067668A"/>
    <w:rsid w:val="006801E3"/>
    <w:rsid w:val="0068069B"/>
    <w:rsid w:val="00684E32"/>
    <w:rsid w:val="006853F2"/>
    <w:rsid w:val="006854C1"/>
    <w:rsid w:val="00687A50"/>
    <w:rsid w:val="0069086D"/>
    <w:rsid w:val="006927CF"/>
    <w:rsid w:val="0069292D"/>
    <w:rsid w:val="00692E2A"/>
    <w:rsid w:val="00693F33"/>
    <w:rsid w:val="006944AB"/>
    <w:rsid w:val="0069588B"/>
    <w:rsid w:val="0069670F"/>
    <w:rsid w:val="006A4FB9"/>
    <w:rsid w:val="006A54F7"/>
    <w:rsid w:val="006A5CB4"/>
    <w:rsid w:val="006A5F54"/>
    <w:rsid w:val="006A696E"/>
    <w:rsid w:val="006A76F2"/>
    <w:rsid w:val="006B2718"/>
    <w:rsid w:val="006B354F"/>
    <w:rsid w:val="006B3928"/>
    <w:rsid w:val="006B43C4"/>
    <w:rsid w:val="006B4446"/>
    <w:rsid w:val="006B5B30"/>
    <w:rsid w:val="006B6572"/>
    <w:rsid w:val="006C00C9"/>
    <w:rsid w:val="006C1CFF"/>
    <w:rsid w:val="006C21B1"/>
    <w:rsid w:val="006C4C94"/>
    <w:rsid w:val="006C5828"/>
    <w:rsid w:val="006C5AA3"/>
    <w:rsid w:val="006C6E8E"/>
    <w:rsid w:val="006C74E7"/>
    <w:rsid w:val="006C7B98"/>
    <w:rsid w:val="006D17E4"/>
    <w:rsid w:val="006D2810"/>
    <w:rsid w:val="006D335C"/>
    <w:rsid w:val="006D5625"/>
    <w:rsid w:val="006D5F3A"/>
    <w:rsid w:val="006D62F2"/>
    <w:rsid w:val="006D674A"/>
    <w:rsid w:val="006D7EFB"/>
    <w:rsid w:val="006E02C6"/>
    <w:rsid w:val="006E0667"/>
    <w:rsid w:val="006E1A6B"/>
    <w:rsid w:val="006E1C62"/>
    <w:rsid w:val="006E2A6E"/>
    <w:rsid w:val="006E6672"/>
    <w:rsid w:val="006E6722"/>
    <w:rsid w:val="006E730D"/>
    <w:rsid w:val="006F06DB"/>
    <w:rsid w:val="006F08B2"/>
    <w:rsid w:val="006F17FD"/>
    <w:rsid w:val="006F5763"/>
    <w:rsid w:val="006F6715"/>
    <w:rsid w:val="00701380"/>
    <w:rsid w:val="00701ABE"/>
    <w:rsid w:val="007027B9"/>
    <w:rsid w:val="00702B85"/>
    <w:rsid w:val="00711232"/>
    <w:rsid w:val="00711A0A"/>
    <w:rsid w:val="00712785"/>
    <w:rsid w:val="007129A5"/>
    <w:rsid w:val="007132ED"/>
    <w:rsid w:val="00714DD0"/>
    <w:rsid w:val="0071536F"/>
    <w:rsid w:val="00715E88"/>
    <w:rsid w:val="007168B5"/>
    <w:rsid w:val="00717143"/>
    <w:rsid w:val="00717BEA"/>
    <w:rsid w:val="007220E0"/>
    <w:rsid w:val="007273F0"/>
    <w:rsid w:val="00732960"/>
    <w:rsid w:val="00733979"/>
    <w:rsid w:val="00733A8D"/>
    <w:rsid w:val="00734CAA"/>
    <w:rsid w:val="00736685"/>
    <w:rsid w:val="00737FA1"/>
    <w:rsid w:val="00740323"/>
    <w:rsid w:val="00741146"/>
    <w:rsid w:val="007414B0"/>
    <w:rsid w:val="007423DF"/>
    <w:rsid w:val="007429A0"/>
    <w:rsid w:val="00743B08"/>
    <w:rsid w:val="00743EA7"/>
    <w:rsid w:val="007448E6"/>
    <w:rsid w:val="00745C0C"/>
    <w:rsid w:val="00747540"/>
    <w:rsid w:val="0075259E"/>
    <w:rsid w:val="007527C4"/>
    <w:rsid w:val="007540C0"/>
    <w:rsid w:val="007544ED"/>
    <w:rsid w:val="007546FF"/>
    <w:rsid w:val="0075533C"/>
    <w:rsid w:val="007569E2"/>
    <w:rsid w:val="00756CE3"/>
    <w:rsid w:val="00756ECC"/>
    <w:rsid w:val="00757581"/>
    <w:rsid w:val="007611A0"/>
    <w:rsid w:val="007614C4"/>
    <w:rsid w:val="00761688"/>
    <w:rsid w:val="007617DE"/>
    <w:rsid w:val="00762424"/>
    <w:rsid w:val="00762832"/>
    <w:rsid w:val="007628C9"/>
    <w:rsid w:val="00762C5D"/>
    <w:rsid w:val="00762CCE"/>
    <w:rsid w:val="00764338"/>
    <w:rsid w:val="00765A7A"/>
    <w:rsid w:val="0076669A"/>
    <w:rsid w:val="007702CC"/>
    <w:rsid w:val="00770742"/>
    <w:rsid w:val="00772DD4"/>
    <w:rsid w:val="00772EA3"/>
    <w:rsid w:val="00772F3C"/>
    <w:rsid w:val="00773204"/>
    <w:rsid w:val="00773C7A"/>
    <w:rsid w:val="00774834"/>
    <w:rsid w:val="00774BF3"/>
    <w:rsid w:val="00776540"/>
    <w:rsid w:val="007775CC"/>
    <w:rsid w:val="007776CE"/>
    <w:rsid w:val="00781C46"/>
    <w:rsid w:val="0078236F"/>
    <w:rsid w:val="007823BD"/>
    <w:rsid w:val="007867A6"/>
    <w:rsid w:val="00787E85"/>
    <w:rsid w:val="0079127C"/>
    <w:rsid w:val="007912E7"/>
    <w:rsid w:val="007914F1"/>
    <w:rsid w:val="00796405"/>
    <w:rsid w:val="00796D3F"/>
    <w:rsid w:val="00797D62"/>
    <w:rsid w:val="007A0C71"/>
    <w:rsid w:val="007A1683"/>
    <w:rsid w:val="007A3861"/>
    <w:rsid w:val="007A4087"/>
    <w:rsid w:val="007A5711"/>
    <w:rsid w:val="007A5C12"/>
    <w:rsid w:val="007A649B"/>
    <w:rsid w:val="007A741D"/>
    <w:rsid w:val="007A7CB0"/>
    <w:rsid w:val="007B104B"/>
    <w:rsid w:val="007B4AF8"/>
    <w:rsid w:val="007B52DF"/>
    <w:rsid w:val="007B5751"/>
    <w:rsid w:val="007B68A3"/>
    <w:rsid w:val="007B6BE2"/>
    <w:rsid w:val="007B7237"/>
    <w:rsid w:val="007C0306"/>
    <w:rsid w:val="007C1AA3"/>
    <w:rsid w:val="007C2541"/>
    <w:rsid w:val="007C349C"/>
    <w:rsid w:val="007C5570"/>
    <w:rsid w:val="007C5644"/>
    <w:rsid w:val="007C64BE"/>
    <w:rsid w:val="007C6D3B"/>
    <w:rsid w:val="007D08BC"/>
    <w:rsid w:val="007D222F"/>
    <w:rsid w:val="007D4D6F"/>
    <w:rsid w:val="007D66A8"/>
    <w:rsid w:val="007D7649"/>
    <w:rsid w:val="007D7718"/>
    <w:rsid w:val="007D7747"/>
    <w:rsid w:val="007D7EF5"/>
    <w:rsid w:val="007E003F"/>
    <w:rsid w:val="007E007A"/>
    <w:rsid w:val="007E16E7"/>
    <w:rsid w:val="007E226E"/>
    <w:rsid w:val="007E2719"/>
    <w:rsid w:val="007E31D6"/>
    <w:rsid w:val="007E412C"/>
    <w:rsid w:val="007E67A8"/>
    <w:rsid w:val="007E6C2F"/>
    <w:rsid w:val="007E6D54"/>
    <w:rsid w:val="007E75E1"/>
    <w:rsid w:val="007F0801"/>
    <w:rsid w:val="007F2A4C"/>
    <w:rsid w:val="007F3EBB"/>
    <w:rsid w:val="007F5C9D"/>
    <w:rsid w:val="00800B13"/>
    <w:rsid w:val="00800C0C"/>
    <w:rsid w:val="008027C0"/>
    <w:rsid w:val="00802B14"/>
    <w:rsid w:val="00803324"/>
    <w:rsid w:val="008100CA"/>
    <w:rsid w:val="00810469"/>
    <w:rsid w:val="008105D1"/>
    <w:rsid w:val="00811B7E"/>
    <w:rsid w:val="00811F80"/>
    <w:rsid w:val="0081347B"/>
    <w:rsid w:val="0081540A"/>
    <w:rsid w:val="008162A1"/>
    <w:rsid w:val="008164F2"/>
    <w:rsid w:val="0081658C"/>
    <w:rsid w:val="0082011E"/>
    <w:rsid w:val="0082078A"/>
    <w:rsid w:val="00821395"/>
    <w:rsid w:val="008214DE"/>
    <w:rsid w:val="00822388"/>
    <w:rsid w:val="0082424A"/>
    <w:rsid w:val="00825087"/>
    <w:rsid w:val="00827089"/>
    <w:rsid w:val="008270D9"/>
    <w:rsid w:val="00827321"/>
    <w:rsid w:val="008309A1"/>
    <w:rsid w:val="00830C3D"/>
    <w:rsid w:val="00830D67"/>
    <w:rsid w:val="00830E26"/>
    <w:rsid w:val="00832730"/>
    <w:rsid w:val="00832AA1"/>
    <w:rsid w:val="00835746"/>
    <w:rsid w:val="00836249"/>
    <w:rsid w:val="0083671A"/>
    <w:rsid w:val="00843576"/>
    <w:rsid w:val="008439BC"/>
    <w:rsid w:val="00843B64"/>
    <w:rsid w:val="00844429"/>
    <w:rsid w:val="00844B64"/>
    <w:rsid w:val="008470FB"/>
    <w:rsid w:val="008478FC"/>
    <w:rsid w:val="00850D5F"/>
    <w:rsid w:val="00850FBB"/>
    <w:rsid w:val="00852705"/>
    <w:rsid w:val="008534A8"/>
    <w:rsid w:val="008537A1"/>
    <w:rsid w:val="008542F5"/>
    <w:rsid w:val="00862218"/>
    <w:rsid w:val="008626B7"/>
    <w:rsid w:val="00862DCB"/>
    <w:rsid w:val="00863240"/>
    <w:rsid w:val="0086328B"/>
    <w:rsid w:val="008639D3"/>
    <w:rsid w:val="00863EC7"/>
    <w:rsid w:val="0086700E"/>
    <w:rsid w:val="00867724"/>
    <w:rsid w:val="00867BFF"/>
    <w:rsid w:val="0087023F"/>
    <w:rsid w:val="008711FC"/>
    <w:rsid w:val="00873E53"/>
    <w:rsid w:val="008762E1"/>
    <w:rsid w:val="00876329"/>
    <w:rsid w:val="00877034"/>
    <w:rsid w:val="0088090F"/>
    <w:rsid w:val="00880F7E"/>
    <w:rsid w:val="00881856"/>
    <w:rsid w:val="00882125"/>
    <w:rsid w:val="0088480A"/>
    <w:rsid w:val="00885E91"/>
    <w:rsid w:val="00886920"/>
    <w:rsid w:val="00887431"/>
    <w:rsid w:val="0088757A"/>
    <w:rsid w:val="00890E28"/>
    <w:rsid w:val="00892470"/>
    <w:rsid w:val="00892DFA"/>
    <w:rsid w:val="00894574"/>
    <w:rsid w:val="008957CC"/>
    <w:rsid w:val="008957DD"/>
    <w:rsid w:val="008958BD"/>
    <w:rsid w:val="00897D98"/>
    <w:rsid w:val="008A02B2"/>
    <w:rsid w:val="008A25E5"/>
    <w:rsid w:val="008A3F9F"/>
    <w:rsid w:val="008A4193"/>
    <w:rsid w:val="008A54FB"/>
    <w:rsid w:val="008A5BF1"/>
    <w:rsid w:val="008A6DF2"/>
    <w:rsid w:val="008A7679"/>
    <w:rsid w:val="008A7807"/>
    <w:rsid w:val="008B3968"/>
    <w:rsid w:val="008B42AD"/>
    <w:rsid w:val="008B47EA"/>
    <w:rsid w:val="008B4CC9"/>
    <w:rsid w:val="008B5468"/>
    <w:rsid w:val="008B6EFE"/>
    <w:rsid w:val="008B7E89"/>
    <w:rsid w:val="008C104F"/>
    <w:rsid w:val="008C1EE9"/>
    <w:rsid w:val="008C34E6"/>
    <w:rsid w:val="008C6CF6"/>
    <w:rsid w:val="008D137D"/>
    <w:rsid w:val="008D1B8B"/>
    <w:rsid w:val="008D2390"/>
    <w:rsid w:val="008D2E58"/>
    <w:rsid w:val="008D5C5C"/>
    <w:rsid w:val="008D65D8"/>
    <w:rsid w:val="008D78ED"/>
    <w:rsid w:val="008D7C99"/>
    <w:rsid w:val="008E0FCB"/>
    <w:rsid w:val="008E1214"/>
    <w:rsid w:val="008E2C6F"/>
    <w:rsid w:val="008E3B0C"/>
    <w:rsid w:val="008E4376"/>
    <w:rsid w:val="008E5504"/>
    <w:rsid w:val="008E6C16"/>
    <w:rsid w:val="008E6D76"/>
    <w:rsid w:val="008F10B0"/>
    <w:rsid w:val="008F4EF8"/>
    <w:rsid w:val="008F54CE"/>
    <w:rsid w:val="008F6161"/>
    <w:rsid w:val="009004BB"/>
    <w:rsid w:val="00901193"/>
    <w:rsid w:val="0090208D"/>
    <w:rsid w:val="0090218F"/>
    <w:rsid w:val="00902592"/>
    <w:rsid w:val="0090273F"/>
    <w:rsid w:val="00905460"/>
    <w:rsid w:val="009077A1"/>
    <w:rsid w:val="00907D44"/>
    <w:rsid w:val="00910B83"/>
    <w:rsid w:val="00911E2A"/>
    <w:rsid w:val="00912573"/>
    <w:rsid w:val="00912CAA"/>
    <w:rsid w:val="00913653"/>
    <w:rsid w:val="00914BF9"/>
    <w:rsid w:val="009154E1"/>
    <w:rsid w:val="009170EC"/>
    <w:rsid w:val="0091766C"/>
    <w:rsid w:val="009176E7"/>
    <w:rsid w:val="009176FB"/>
    <w:rsid w:val="009206FF"/>
    <w:rsid w:val="009214FC"/>
    <w:rsid w:val="0092178C"/>
    <w:rsid w:val="009238C5"/>
    <w:rsid w:val="00924EA9"/>
    <w:rsid w:val="00925C70"/>
    <w:rsid w:val="009262E4"/>
    <w:rsid w:val="00926EAB"/>
    <w:rsid w:val="009272BA"/>
    <w:rsid w:val="00930B88"/>
    <w:rsid w:val="00930C9F"/>
    <w:rsid w:val="00930CCF"/>
    <w:rsid w:val="00935417"/>
    <w:rsid w:val="00937303"/>
    <w:rsid w:val="00940DCC"/>
    <w:rsid w:val="00941425"/>
    <w:rsid w:val="0094179A"/>
    <w:rsid w:val="00942581"/>
    <w:rsid w:val="00942B44"/>
    <w:rsid w:val="00943EEE"/>
    <w:rsid w:val="0094459E"/>
    <w:rsid w:val="00944DBC"/>
    <w:rsid w:val="00944EA7"/>
    <w:rsid w:val="00946068"/>
    <w:rsid w:val="00946C58"/>
    <w:rsid w:val="0094756A"/>
    <w:rsid w:val="00947BD3"/>
    <w:rsid w:val="0095011E"/>
    <w:rsid w:val="00950977"/>
    <w:rsid w:val="00951A7B"/>
    <w:rsid w:val="0095385F"/>
    <w:rsid w:val="009564A6"/>
    <w:rsid w:val="00960DCA"/>
    <w:rsid w:val="00962E18"/>
    <w:rsid w:val="0096318B"/>
    <w:rsid w:val="00963CE2"/>
    <w:rsid w:val="00964766"/>
    <w:rsid w:val="00964DC4"/>
    <w:rsid w:val="00964EB3"/>
    <w:rsid w:val="00967621"/>
    <w:rsid w:val="00967E6A"/>
    <w:rsid w:val="0097264B"/>
    <w:rsid w:val="00972D3B"/>
    <w:rsid w:val="009732E5"/>
    <w:rsid w:val="0097354D"/>
    <w:rsid w:val="00973AA4"/>
    <w:rsid w:val="00975BCD"/>
    <w:rsid w:val="0097647A"/>
    <w:rsid w:val="009774EC"/>
    <w:rsid w:val="00977F5D"/>
    <w:rsid w:val="0098081F"/>
    <w:rsid w:val="00981DA6"/>
    <w:rsid w:val="00983377"/>
    <w:rsid w:val="009844F2"/>
    <w:rsid w:val="009845B9"/>
    <w:rsid w:val="009858B9"/>
    <w:rsid w:val="00985B2C"/>
    <w:rsid w:val="009875D1"/>
    <w:rsid w:val="0099015E"/>
    <w:rsid w:val="00990438"/>
    <w:rsid w:val="00990B4C"/>
    <w:rsid w:val="009922F1"/>
    <w:rsid w:val="009925C2"/>
    <w:rsid w:val="00992976"/>
    <w:rsid w:val="00993869"/>
    <w:rsid w:val="00996F19"/>
    <w:rsid w:val="009A2836"/>
    <w:rsid w:val="009B1FE1"/>
    <w:rsid w:val="009B21C1"/>
    <w:rsid w:val="009B25C6"/>
    <w:rsid w:val="009B3595"/>
    <w:rsid w:val="009B393A"/>
    <w:rsid w:val="009B3EFC"/>
    <w:rsid w:val="009B4A0F"/>
    <w:rsid w:val="009B685C"/>
    <w:rsid w:val="009B7C64"/>
    <w:rsid w:val="009C04EE"/>
    <w:rsid w:val="009C11D2"/>
    <w:rsid w:val="009C38CE"/>
    <w:rsid w:val="009C3938"/>
    <w:rsid w:val="009C5D0B"/>
    <w:rsid w:val="009C642B"/>
    <w:rsid w:val="009C6C70"/>
    <w:rsid w:val="009C7695"/>
    <w:rsid w:val="009C7BA7"/>
    <w:rsid w:val="009D0106"/>
    <w:rsid w:val="009D0292"/>
    <w:rsid w:val="009D0B63"/>
    <w:rsid w:val="009D11BF"/>
    <w:rsid w:val="009D2448"/>
    <w:rsid w:val="009D46E8"/>
    <w:rsid w:val="009D5387"/>
    <w:rsid w:val="009D6D96"/>
    <w:rsid w:val="009D7B7B"/>
    <w:rsid w:val="009D7DEC"/>
    <w:rsid w:val="009E043A"/>
    <w:rsid w:val="009E062E"/>
    <w:rsid w:val="009E0B4F"/>
    <w:rsid w:val="009E307E"/>
    <w:rsid w:val="009E4744"/>
    <w:rsid w:val="009E573C"/>
    <w:rsid w:val="009E6C89"/>
    <w:rsid w:val="009E7D45"/>
    <w:rsid w:val="009F0370"/>
    <w:rsid w:val="009F222C"/>
    <w:rsid w:val="009F28AB"/>
    <w:rsid w:val="009F3B59"/>
    <w:rsid w:val="009F3CFA"/>
    <w:rsid w:val="009F6337"/>
    <w:rsid w:val="009F7F3F"/>
    <w:rsid w:val="00A005FB"/>
    <w:rsid w:val="00A03726"/>
    <w:rsid w:val="00A04FAA"/>
    <w:rsid w:val="00A0543C"/>
    <w:rsid w:val="00A05457"/>
    <w:rsid w:val="00A05589"/>
    <w:rsid w:val="00A05BF6"/>
    <w:rsid w:val="00A06CE5"/>
    <w:rsid w:val="00A07870"/>
    <w:rsid w:val="00A078DA"/>
    <w:rsid w:val="00A07F19"/>
    <w:rsid w:val="00A1348D"/>
    <w:rsid w:val="00A14813"/>
    <w:rsid w:val="00A16EB9"/>
    <w:rsid w:val="00A216AF"/>
    <w:rsid w:val="00A21B3A"/>
    <w:rsid w:val="00A21E1B"/>
    <w:rsid w:val="00A22A16"/>
    <w:rsid w:val="00A232EE"/>
    <w:rsid w:val="00A2412A"/>
    <w:rsid w:val="00A24B78"/>
    <w:rsid w:val="00A2547F"/>
    <w:rsid w:val="00A25C11"/>
    <w:rsid w:val="00A271B3"/>
    <w:rsid w:val="00A30FFE"/>
    <w:rsid w:val="00A31CC8"/>
    <w:rsid w:val="00A32431"/>
    <w:rsid w:val="00A3293F"/>
    <w:rsid w:val="00A32D93"/>
    <w:rsid w:val="00A33A89"/>
    <w:rsid w:val="00A33A9A"/>
    <w:rsid w:val="00A340CB"/>
    <w:rsid w:val="00A349AC"/>
    <w:rsid w:val="00A35B41"/>
    <w:rsid w:val="00A35B54"/>
    <w:rsid w:val="00A378FB"/>
    <w:rsid w:val="00A4095F"/>
    <w:rsid w:val="00A4133C"/>
    <w:rsid w:val="00A413C1"/>
    <w:rsid w:val="00A4175F"/>
    <w:rsid w:val="00A42315"/>
    <w:rsid w:val="00A43E08"/>
    <w:rsid w:val="00A44139"/>
    <w:rsid w:val="00A44411"/>
    <w:rsid w:val="00A45786"/>
    <w:rsid w:val="00A4592F"/>
    <w:rsid w:val="00A469FA"/>
    <w:rsid w:val="00A46ED1"/>
    <w:rsid w:val="00A47BF4"/>
    <w:rsid w:val="00A47D21"/>
    <w:rsid w:val="00A5054E"/>
    <w:rsid w:val="00A50ED9"/>
    <w:rsid w:val="00A519CD"/>
    <w:rsid w:val="00A51D44"/>
    <w:rsid w:val="00A53CF0"/>
    <w:rsid w:val="00A55148"/>
    <w:rsid w:val="00A55B01"/>
    <w:rsid w:val="00A56B5B"/>
    <w:rsid w:val="00A57BD4"/>
    <w:rsid w:val="00A6000B"/>
    <w:rsid w:val="00A603FF"/>
    <w:rsid w:val="00A604C8"/>
    <w:rsid w:val="00A60BB7"/>
    <w:rsid w:val="00A61F1F"/>
    <w:rsid w:val="00A621DE"/>
    <w:rsid w:val="00A65513"/>
    <w:rsid w:val="00A65524"/>
    <w:rsid w:val="00A657DD"/>
    <w:rsid w:val="00A666A6"/>
    <w:rsid w:val="00A675FD"/>
    <w:rsid w:val="00A67AF2"/>
    <w:rsid w:val="00A7170E"/>
    <w:rsid w:val="00A72437"/>
    <w:rsid w:val="00A73A07"/>
    <w:rsid w:val="00A74337"/>
    <w:rsid w:val="00A76C51"/>
    <w:rsid w:val="00A77A7F"/>
    <w:rsid w:val="00A80611"/>
    <w:rsid w:val="00A816C6"/>
    <w:rsid w:val="00A84056"/>
    <w:rsid w:val="00A93DC5"/>
    <w:rsid w:val="00A949BE"/>
    <w:rsid w:val="00A95A96"/>
    <w:rsid w:val="00A96520"/>
    <w:rsid w:val="00A97490"/>
    <w:rsid w:val="00AA1F5E"/>
    <w:rsid w:val="00AA20E7"/>
    <w:rsid w:val="00AA2527"/>
    <w:rsid w:val="00AA468A"/>
    <w:rsid w:val="00AA5D6E"/>
    <w:rsid w:val="00AA7678"/>
    <w:rsid w:val="00AA7F53"/>
    <w:rsid w:val="00AB1F1F"/>
    <w:rsid w:val="00AB3A65"/>
    <w:rsid w:val="00AB3B23"/>
    <w:rsid w:val="00AB4E59"/>
    <w:rsid w:val="00AB5340"/>
    <w:rsid w:val="00AB54C2"/>
    <w:rsid w:val="00AC0A89"/>
    <w:rsid w:val="00AC2410"/>
    <w:rsid w:val="00AC2AC2"/>
    <w:rsid w:val="00AC36D0"/>
    <w:rsid w:val="00AC4343"/>
    <w:rsid w:val="00AC4397"/>
    <w:rsid w:val="00AC7A5A"/>
    <w:rsid w:val="00AC7C96"/>
    <w:rsid w:val="00AD5697"/>
    <w:rsid w:val="00AD5802"/>
    <w:rsid w:val="00AD61C0"/>
    <w:rsid w:val="00AE1592"/>
    <w:rsid w:val="00AE237D"/>
    <w:rsid w:val="00AE293B"/>
    <w:rsid w:val="00AE3FCF"/>
    <w:rsid w:val="00AE431B"/>
    <w:rsid w:val="00AE4A07"/>
    <w:rsid w:val="00AE502A"/>
    <w:rsid w:val="00AE526F"/>
    <w:rsid w:val="00AE60CF"/>
    <w:rsid w:val="00AE78DB"/>
    <w:rsid w:val="00AF0353"/>
    <w:rsid w:val="00AF2C78"/>
    <w:rsid w:val="00AF34D0"/>
    <w:rsid w:val="00AF7C07"/>
    <w:rsid w:val="00B015BB"/>
    <w:rsid w:val="00B019DD"/>
    <w:rsid w:val="00B01D71"/>
    <w:rsid w:val="00B03339"/>
    <w:rsid w:val="00B04288"/>
    <w:rsid w:val="00B0555A"/>
    <w:rsid w:val="00B05584"/>
    <w:rsid w:val="00B07158"/>
    <w:rsid w:val="00B1543B"/>
    <w:rsid w:val="00B17475"/>
    <w:rsid w:val="00B21202"/>
    <w:rsid w:val="00B22150"/>
    <w:rsid w:val="00B22C93"/>
    <w:rsid w:val="00B2342E"/>
    <w:rsid w:val="00B23579"/>
    <w:rsid w:val="00B2458D"/>
    <w:rsid w:val="00B246B0"/>
    <w:rsid w:val="00B24B42"/>
    <w:rsid w:val="00B24F95"/>
    <w:rsid w:val="00B25F30"/>
    <w:rsid w:val="00B27589"/>
    <w:rsid w:val="00B27FB2"/>
    <w:rsid w:val="00B30627"/>
    <w:rsid w:val="00B3329A"/>
    <w:rsid w:val="00B3507C"/>
    <w:rsid w:val="00B35B7E"/>
    <w:rsid w:val="00B37818"/>
    <w:rsid w:val="00B405B7"/>
    <w:rsid w:val="00B45027"/>
    <w:rsid w:val="00B471F8"/>
    <w:rsid w:val="00B500F1"/>
    <w:rsid w:val="00B5080A"/>
    <w:rsid w:val="00B509FF"/>
    <w:rsid w:val="00B5186C"/>
    <w:rsid w:val="00B52222"/>
    <w:rsid w:val="00B54238"/>
    <w:rsid w:val="00B54769"/>
    <w:rsid w:val="00B54FE7"/>
    <w:rsid w:val="00B5666B"/>
    <w:rsid w:val="00B57DC4"/>
    <w:rsid w:val="00B66901"/>
    <w:rsid w:val="00B66DD4"/>
    <w:rsid w:val="00B709FD"/>
    <w:rsid w:val="00B719C1"/>
    <w:rsid w:val="00B71E6D"/>
    <w:rsid w:val="00B72070"/>
    <w:rsid w:val="00B7261A"/>
    <w:rsid w:val="00B728FA"/>
    <w:rsid w:val="00B731EB"/>
    <w:rsid w:val="00B745EE"/>
    <w:rsid w:val="00B74BCC"/>
    <w:rsid w:val="00B754E6"/>
    <w:rsid w:val="00B75589"/>
    <w:rsid w:val="00B76361"/>
    <w:rsid w:val="00B770A2"/>
    <w:rsid w:val="00B779E1"/>
    <w:rsid w:val="00B801E1"/>
    <w:rsid w:val="00B8237C"/>
    <w:rsid w:val="00B87225"/>
    <w:rsid w:val="00B90C69"/>
    <w:rsid w:val="00B91528"/>
    <w:rsid w:val="00B91EE1"/>
    <w:rsid w:val="00B93E9C"/>
    <w:rsid w:val="00B94A05"/>
    <w:rsid w:val="00B95F8E"/>
    <w:rsid w:val="00B97902"/>
    <w:rsid w:val="00BA0090"/>
    <w:rsid w:val="00BA1A67"/>
    <w:rsid w:val="00BA2898"/>
    <w:rsid w:val="00BA2A88"/>
    <w:rsid w:val="00BA39AB"/>
    <w:rsid w:val="00BA4CDB"/>
    <w:rsid w:val="00BA4D03"/>
    <w:rsid w:val="00BB1444"/>
    <w:rsid w:val="00BB26C9"/>
    <w:rsid w:val="00BB55DF"/>
    <w:rsid w:val="00BB57F1"/>
    <w:rsid w:val="00BB600A"/>
    <w:rsid w:val="00BB638C"/>
    <w:rsid w:val="00BC09DB"/>
    <w:rsid w:val="00BC1F4B"/>
    <w:rsid w:val="00BC7049"/>
    <w:rsid w:val="00BC74AA"/>
    <w:rsid w:val="00BC7643"/>
    <w:rsid w:val="00BD094C"/>
    <w:rsid w:val="00BD5B94"/>
    <w:rsid w:val="00BD5EBC"/>
    <w:rsid w:val="00BD601D"/>
    <w:rsid w:val="00BD7EB4"/>
    <w:rsid w:val="00BE23BC"/>
    <w:rsid w:val="00BE2B42"/>
    <w:rsid w:val="00BE48C6"/>
    <w:rsid w:val="00BE5B5F"/>
    <w:rsid w:val="00BF0346"/>
    <w:rsid w:val="00BF1441"/>
    <w:rsid w:val="00BF5581"/>
    <w:rsid w:val="00BF6266"/>
    <w:rsid w:val="00BF70D1"/>
    <w:rsid w:val="00C0015A"/>
    <w:rsid w:val="00C003E0"/>
    <w:rsid w:val="00C02176"/>
    <w:rsid w:val="00C027AC"/>
    <w:rsid w:val="00C03273"/>
    <w:rsid w:val="00C0549B"/>
    <w:rsid w:val="00C07931"/>
    <w:rsid w:val="00C07C6E"/>
    <w:rsid w:val="00C07F78"/>
    <w:rsid w:val="00C10042"/>
    <w:rsid w:val="00C10A16"/>
    <w:rsid w:val="00C117E0"/>
    <w:rsid w:val="00C1273F"/>
    <w:rsid w:val="00C16EB7"/>
    <w:rsid w:val="00C17806"/>
    <w:rsid w:val="00C208D1"/>
    <w:rsid w:val="00C2184F"/>
    <w:rsid w:val="00C2392A"/>
    <w:rsid w:val="00C23CB5"/>
    <w:rsid w:val="00C26F55"/>
    <w:rsid w:val="00C27384"/>
    <w:rsid w:val="00C30C63"/>
    <w:rsid w:val="00C31A31"/>
    <w:rsid w:val="00C36B8B"/>
    <w:rsid w:val="00C415C1"/>
    <w:rsid w:val="00C43031"/>
    <w:rsid w:val="00C436A5"/>
    <w:rsid w:val="00C44078"/>
    <w:rsid w:val="00C44AD3"/>
    <w:rsid w:val="00C47C3B"/>
    <w:rsid w:val="00C47DBF"/>
    <w:rsid w:val="00C5003D"/>
    <w:rsid w:val="00C51094"/>
    <w:rsid w:val="00C5160B"/>
    <w:rsid w:val="00C530CD"/>
    <w:rsid w:val="00C552FF"/>
    <w:rsid w:val="00C558DA"/>
    <w:rsid w:val="00C55AF3"/>
    <w:rsid w:val="00C63695"/>
    <w:rsid w:val="00C64C4A"/>
    <w:rsid w:val="00C65F3A"/>
    <w:rsid w:val="00C71B82"/>
    <w:rsid w:val="00C74B78"/>
    <w:rsid w:val="00C75BA8"/>
    <w:rsid w:val="00C75FD7"/>
    <w:rsid w:val="00C76FD0"/>
    <w:rsid w:val="00C83738"/>
    <w:rsid w:val="00C84759"/>
    <w:rsid w:val="00C87CCB"/>
    <w:rsid w:val="00C914C7"/>
    <w:rsid w:val="00C933DB"/>
    <w:rsid w:val="00C9415C"/>
    <w:rsid w:val="00C96A08"/>
    <w:rsid w:val="00C97358"/>
    <w:rsid w:val="00C97DB3"/>
    <w:rsid w:val="00CA0783"/>
    <w:rsid w:val="00CA0C96"/>
    <w:rsid w:val="00CA2EF9"/>
    <w:rsid w:val="00CA3247"/>
    <w:rsid w:val="00CA4593"/>
    <w:rsid w:val="00CA6C7F"/>
    <w:rsid w:val="00CB0537"/>
    <w:rsid w:val="00CB4349"/>
    <w:rsid w:val="00CB6384"/>
    <w:rsid w:val="00CB64A8"/>
    <w:rsid w:val="00CB6EB1"/>
    <w:rsid w:val="00CC0A32"/>
    <w:rsid w:val="00CC10A6"/>
    <w:rsid w:val="00CC4FD8"/>
    <w:rsid w:val="00CC5B26"/>
    <w:rsid w:val="00CC5BF0"/>
    <w:rsid w:val="00CC6A29"/>
    <w:rsid w:val="00CC7F59"/>
    <w:rsid w:val="00CD0142"/>
    <w:rsid w:val="00CD399C"/>
    <w:rsid w:val="00CD3C18"/>
    <w:rsid w:val="00CD3C5B"/>
    <w:rsid w:val="00CD5EB8"/>
    <w:rsid w:val="00CD6CFE"/>
    <w:rsid w:val="00CD7044"/>
    <w:rsid w:val="00CE0165"/>
    <w:rsid w:val="00CE08B9"/>
    <w:rsid w:val="00CE09CB"/>
    <w:rsid w:val="00CE1F5F"/>
    <w:rsid w:val="00CE20C9"/>
    <w:rsid w:val="00CE213F"/>
    <w:rsid w:val="00CE4195"/>
    <w:rsid w:val="00CE48AD"/>
    <w:rsid w:val="00CE524C"/>
    <w:rsid w:val="00CE6C41"/>
    <w:rsid w:val="00CE740C"/>
    <w:rsid w:val="00CE7657"/>
    <w:rsid w:val="00CE7D97"/>
    <w:rsid w:val="00CF141F"/>
    <w:rsid w:val="00CF1BD2"/>
    <w:rsid w:val="00CF30C4"/>
    <w:rsid w:val="00CF41FC"/>
    <w:rsid w:val="00CF4644"/>
    <w:rsid w:val="00CF4777"/>
    <w:rsid w:val="00CF5CC9"/>
    <w:rsid w:val="00CF6B22"/>
    <w:rsid w:val="00CF7C44"/>
    <w:rsid w:val="00CF7DA6"/>
    <w:rsid w:val="00CF7F27"/>
    <w:rsid w:val="00D01854"/>
    <w:rsid w:val="00D01CCB"/>
    <w:rsid w:val="00D0261D"/>
    <w:rsid w:val="00D0279C"/>
    <w:rsid w:val="00D0301F"/>
    <w:rsid w:val="00D067BB"/>
    <w:rsid w:val="00D12AEB"/>
    <w:rsid w:val="00D134D2"/>
    <w:rsid w:val="00D1352A"/>
    <w:rsid w:val="00D13BA8"/>
    <w:rsid w:val="00D15618"/>
    <w:rsid w:val="00D160E8"/>
    <w:rsid w:val="00D169AF"/>
    <w:rsid w:val="00D2022F"/>
    <w:rsid w:val="00D21750"/>
    <w:rsid w:val="00D241A1"/>
    <w:rsid w:val="00D25249"/>
    <w:rsid w:val="00D26106"/>
    <w:rsid w:val="00D2725D"/>
    <w:rsid w:val="00D30166"/>
    <w:rsid w:val="00D33500"/>
    <w:rsid w:val="00D34101"/>
    <w:rsid w:val="00D4089D"/>
    <w:rsid w:val="00D44172"/>
    <w:rsid w:val="00D4460C"/>
    <w:rsid w:val="00D463B0"/>
    <w:rsid w:val="00D469C5"/>
    <w:rsid w:val="00D52989"/>
    <w:rsid w:val="00D530EC"/>
    <w:rsid w:val="00D53189"/>
    <w:rsid w:val="00D5440D"/>
    <w:rsid w:val="00D54F1F"/>
    <w:rsid w:val="00D55030"/>
    <w:rsid w:val="00D558E1"/>
    <w:rsid w:val="00D56EC9"/>
    <w:rsid w:val="00D60C7C"/>
    <w:rsid w:val="00D6162B"/>
    <w:rsid w:val="00D63972"/>
    <w:rsid w:val="00D63B8C"/>
    <w:rsid w:val="00D65D69"/>
    <w:rsid w:val="00D6617F"/>
    <w:rsid w:val="00D66AB0"/>
    <w:rsid w:val="00D67049"/>
    <w:rsid w:val="00D67A2D"/>
    <w:rsid w:val="00D739CC"/>
    <w:rsid w:val="00D75D4B"/>
    <w:rsid w:val="00D76435"/>
    <w:rsid w:val="00D76CFF"/>
    <w:rsid w:val="00D77819"/>
    <w:rsid w:val="00D77B12"/>
    <w:rsid w:val="00D8093D"/>
    <w:rsid w:val="00D8108C"/>
    <w:rsid w:val="00D8124D"/>
    <w:rsid w:val="00D815A6"/>
    <w:rsid w:val="00D83048"/>
    <w:rsid w:val="00D840FD"/>
    <w:rsid w:val="00D842AE"/>
    <w:rsid w:val="00D85155"/>
    <w:rsid w:val="00D90E4B"/>
    <w:rsid w:val="00D91EAA"/>
    <w:rsid w:val="00D9211C"/>
    <w:rsid w:val="00D92359"/>
    <w:rsid w:val="00D92DE0"/>
    <w:rsid w:val="00D92FEF"/>
    <w:rsid w:val="00D932AF"/>
    <w:rsid w:val="00D93A0F"/>
    <w:rsid w:val="00D93CDE"/>
    <w:rsid w:val="00D945DC"/>
    <w:rsid w:val="00D95B07"/>
    <w:rsid w:val="00DA1BCA"/>
    <w:rsid w:val="00DA2428"/>
    <w:rsid w:val="00DA269A"/>
    <w:rsid w:val="00DA2C33"/>
    <w:rsid w:val="00DA43E3"/>
    <w:rsid w:val="00DA71C9"/>
    <w:rsid w:val="00DB1886"/>
    <w:rsid w:val="00DB1D35"/>
    <w:rsid w:val="00DB35C4"/>
    <w:rsid w:val="00DB3A2C"/>
    <w:rsid w:val="00DB3E2D"/>
    <w:rsid w:val="00DB495F"/>
    <w:rsid w:val="00DB49F7"/>
    <w:rsid w:val="00DB4F59"/>
    <w:rsid w:val="00DB5243"/>
    <w:rsid w:val="00DC0056"/>
    <w:rsid w:val="00DC115F"/>
    <w:rsid w:val="00DC1244"/>
    <w:rsid w:val="00DC2043"/>
    <w:rsid w:val="00DC26F3"/>
    <w:rsid w:val="00DC3838"/>
    <w:rsid w:val="00DC426F"/>
    <w:rsid w:val="00DC4692"/>
    <w:rsid w:val="00DC46A2"/>
    <w:rsid w:val="00DC46FF"/>
    <w:rsid w:val="00DC4E69"/>
    <w:rsid w:val="00DC5254"/>
    <w:rsid w:val="00DC7414"/>
    <w:rsid w:val="00DD0812"/>
    <w:rsid w:val="00DD0BDA"/>
    <w:rsid w:val="00DD1A4F"/>
    <w:rsid w:val="00DD3047"/>
    <w:rsid w:val="00DD3107"/>
    <w:rsid w:val="00DD3E2E"/>
    <w:rsid w:val="00DD663A"/>
    <w:rsid w:val="00DD7C2C"/>
    <w:rsid w:val="00DE01E8"/>
    <w:rsid w:val="00DE1551"/>
    <w:rsid w:val="00DE318D"/>
    <w:rsid w:val="00DF2B78"/>
    <w:rsid w:val="00DF3CE0"/>
    <w:rsid w:val="00DF463A"/>
    <w:rsid w:val="00DF476B"/>
    <w:rsid w:val="00DF507B"/>
    <w:rsid w:val="00DF649D"/>
    <w:rsid w:val="00DF6C86"/>
    <w:rsid w:val="00DF7F91"/>
    <w:rsid w:val="00E00BAA"/>
    <w:rsid w:val="00E00CF3"/>
    <w:rsid w:val="00E010AD"/>
    <w:rsid w:val="00E01541"/>
    <w:rsid w:val="00E01BA4"/>
    <w:rsid w:val="00E02022"/>
    <w:rsid w:val="00E02508"/>
    <w:rsid w:val="00E02D1B"/>
    <w:rsid w:val="00E02FC7"/>
    <w:rsid w:val="00E03255"/>
    <w:rsid w:val="00E03EBF"/>
    <w:rsid w:val="00E046FE"/>
    <w:rsid w:val="00E0497B"/>
    <w:rsid w:val="00E05821"/>
    <w:rsid w:val="00E06797"/>
    <w:rsid w:val="00E0754D"/>
    <w:rsid w:val="00E10BB1"/>
    <w:rsid w:val="00E1103D"/>
    <w:rsid w:val="00E1265B"/>
    <w:rsid w:val="00E12C01"/>
    <w:rsid w:val="00E13B48"/>
    <w:rsid w:val="00E1404F"/>
    <w:rsid w:val="00E140F1"/>
    <w:rsid w:val="00E142AC"/>
    <w:rsid w:val="00E16DBD"/>
    <w:rsid w:val="00E206C2"/>
    <w:rsid w:val="00E217E8"/>
    <w:rsid w:val="00E21824"/>
    <w:rsid w:val="00E21C83"/>
    <w:rsid w:val="00E2254B"/>
    <w:rsid w:val="00E2313D"/>
    <w:rsid w:val="00E24ADA"/>
    <w:rsid w:val="00E255DD"/>
    <w:rsid w:val="00E2704C"/>
    <w:rsid w:val="00E271E3"/>
    <w:rsid w:val="00E273D9"/>
    <w:rsid w:val="00E278EE"/>
    <w:rsid w:val="00E3058F"/>
    <w:rsid w:val="00E31DE5"/>
    <w:rsid w:val="00E32B47"/>
    <w:rsid w:val="00E32F59"/>
    <w:rsid w:val="00E331EB"/>
    <w:rsid w:val="00E33B70"/>
    <w:rsid w:val="00E33FE2"/>
    <w:rsid w:val="00E37EE5"/>
    <w:rsid w:val="00E4072B"/>
    <w:rsid w:val="00E40A4B"/>
    <w:rsid w:val="00E43401"/>
    <w:rsid w:val="00E46283"/>
    <w:rsid w:val="00E46AE7"/>
    <w:rsid w:val="00E46D9A"/>
    <w:rsid w:val="00E477A4"/>
    <w:rsid w:val="00E518DC"/>
    <w:rsid w:val="00E565FF"/>
    <w:rsid w:val="00E57D29"/>
    <w:rsid w:val="00E61E4E"/>
    <w:rsid w:val="00E6285D"/>
    <w:rsid w:val="00E63E6A"/>
    <w:rsid w:val="00E64438"/>
    <w:rsid w:val="00E64DCB"/>
    <w:rsid w:val="00E65388"/>
    <w:rsid w:val="00E65B0B"/>
    <w:rsid w:val="00E6603E"/>
    <w:rsid w:val="00E7157C"/>
    <w:rsid w:val="00E725A0"/>
    <w:rsid w:val="00E729A3"/>
    <w:rsid w:val="00E73343"/>
    <w:rsid w:val="00E73D20"/>
    <w:rsid w:val="00E74072"/>
    <w:rsid w:val="00E74586"/>
    <w:rsid w:val="00E747FB"/>
    <w:rsid w:val="00E77385"/>
    <w:rsid w:val="00E815DE"/>
    <w:rsid w:val="00E8243F"/>
    <w:rsid w:val="00E82FC3"/>
    <w:rsid w:val="00E83FD6"/>
    <w:rsid w:val="00E85189"/>
    <w:rsid w:val="00E85B7D"/>
    <w:rsid w:val="00E906A7"/>
    <w:rsid w:val="00E9121B"/>
    <w:rsid w:val="00E9204A"/>
    <w:rsid w:val="00E931AE"/>
    <w:rsid w:val="00E93B2D"/>
    <w:rsid w:val="00E9402B"/>
    <w:rsid w:val="00E942DF"/>
    <w:rsid w:val="00E9699A"/>
    <w:rsid w:val="00EA0AE2"/>
    <w:rsid w:val="00EA0E0A"/>
    <w:rsid w:val="00EA2928"/>
    <w:rsid w:val="00EA2CD4"/>
    <w:rsid w:val="00EA39E5"/>
    <w:rsid w:val="00EA4C03"/>
    <w:rsid w:val="00EB1834"/>
    <w:rsid w:val="00EB58D7"/>
    <w:rsid w:val="00EB6816"/>
    <w:rsid w:val="00EB6E1A"/>
    <w:rsid w:val="00EC04A3"/>
    <w:rsid w:val="00EC0B75"/>
    <w:rsid w:val="00EC371B"/>
    <w:rsid w:val="00EC4EA4"/>
    <w:rsid w:val="00EC4F0D"/>
    <w:rsid w:val="00EC5384"/>
    <w:rsid w:val="00EC5491"/>
    <w:rsid w:val="00EC54A1"/>
    <w:rsid w:val="00EC5915"/>
    <w:rsid w:val="00EC5A46"/>
    <w:rsid w:val="00EC5CF4"/>
    <w:rsid w:val="00EC5D50"/>
    <w:rsid w:val="00EC63E2"/>
    <w:rsid w:val="00EC7805"/>
    <w:rsid w:val="00ED060D"/>
    <w:rsid w:val="00ED0B4E"/>
    <w:rsid w:val="00ED234F"/>
    <w:rsid w:val="00ED35AC"/>
    <w:rsid w:val="00ED3B8A"/>
    <w:rsid w:val="00ED556C"/>
    <w:rsid w:val="00ED5DC4"/>
    <w:rsid w:val="00ED66C6"/>
    <w:rsid w:val="00EE45DF"/>
    <w:rsid w:val="00EE4CFD"/>
    <w:rsid w:val="00EE5C70"/>
    <w:rsid w:val="00EE641F"/>
    <w:rsid w:val="00EE68A2"/>
    <w:rsid w:val="00EE7AA1"/>
    <w:rsid w:val="00EF0860"/>
    <w:rsid w:val="00EF16A3"/>
    <w:rsid w:val="00EF22B3"/>
    <w:rsid w:val="00EF39D3"/>
    <w:rsid w:val="00EF5CEC"/>
    <w:rsid w:val="00F01D8E"/>
    <w:rsid w:val="00F03A66"/>
    <w:rsid w:val="00F03B69"/>
    <w:rsid w:val="00F074C0"/>
    <w:rsid w:val="00F07A50"/>
    <w:rsid w:val="00F113DA"/>
    <w:rsid w:val="00F114FF"/>
    <w:rsid w:val="00F11556"/>
    <w:rsid w:val="00F12A6E"/>
    <w:rsid w:val="00F14E0B"/>
    <w:rsid w:val="00F1703D"/>
    <w:rsid w:val="00F17919"/>
    <w:rsid w:val="00F21952"/>
    <w:rsid w:val="00F233B4"/>
    <w:rsid w:val="00F256FF"/>
    <w:rsid w:val="00F2593B"/>
    <w:rsid w:val="00F2657D"/>
    <w:rsid w:val="00F304EB"/>
    <w:rsid w:val="00F305AF"/>
    <w:rsid w:val="00F30C69"/>
    <w:rsid w:val="00F321FE"/>
    <w:rsid w:val="00F32C30"/>
    <w:rsid w:val="00F35159"/>
    <w:rsid w:val="00F351D7"/>
    <w:rsid w:val="00F358B9"/>
    <w:rsid w:val="00F36979"/>
    <w:rsid w:val="00F37796"/>
    <w:rsid w:val="00F37B03"/>
    <w:rsid w:val="00F37CEE"/>
    <w:rsid w:val="00F37DC8"/>
    <w:rsid w:val="00F41731"/>
    <w:rsid w:val="00F4232E"/>
    <w:rsid w:val="00F4239C"/>
    <w:rsid w:val="00F439B3"/>
    <w:rsid w:val="00F44FF7"/>
    <w:rsid w:val="00F45546"/>
    <w:rsid w:val="00F45550"/>
    <w:rsid w:val="00F46BE3"/>
    <w:rsid w:val="00F47F83"/>
    <w:rsid w:val="00F52998"/>
    <w:rsid w:val="00F55DC8"/>
    <w:rsid w:val="00F6003F"/>
    <w:rsid w:val="00F60C9B"/>
    <w:rsid w:val="00F61838"/>
    <w:rsid w:val="00F6297C"/>
    <w:rsid w:val="00F62ED2"/>
    <w:rsid w:val="00F64199"/>
    <w:rsid w:val="00F64F43"/>
    <w:rsid w:val="00F650C3"/>
    <w:rsid w:val="00F65D85"/>
    <w:rsid w:val="00F6667A"/>
    <w:rsid w:val="00F753AF"/>
    <w:rsid w:val="00F75480"/>
    <w:rsid w:val="00F76827"/>
    <w:rsid w:val="00F77136"/>
    <w:rsid w:val="00F80793"/>
    <w:rsid w:val="00F8091E"/>
    <w:rsid w:val="00F82561"/>
    <w:rsid w:val="00F82AAE"/>
    <w:rsid w:val="00F84371"/>
    <w:rsid w:val="00F8504F"/>
    <w:rsid w:val="00F8615C"/>
    <w:rsid w:val="00F863B0"/>
    <w:rsid w:val="00F9183E"/>
    <w:rsid w:val="00F9191D"/>
    <w:rsid w:val="00F92F1B"/>
    <w:rsid w:val="00F93325"/>
    <w:rsid w:val="00F948C0"/>
    <w:rsid w:val="00F94B72"/>
    <w:rsid w:val="00F94C9D"/>
    <w:rsid w:val="00F95A53"/>
    <w:rsid w:val="00F969E5"/>
    <w:rsid w:val="00F9731F"/>
    <w:rsid w:val="00F97A89"/>
    <w:rsid w:val="00FA1093"/>
    <w:rsid w:val="00FA175C"/>
    <w:rsid w:val="00FA2215"/>
    <w:rsid w:val="00FA2F16"/>
    <w:rsid w:val="00FA36D1"/>
    <w:rsid w:val="00FA4651"/>
    <w:rsid w:val="00FA4966"/>
    <w:rsid w:val="00FA556D"/>
    <w:rsid w:val="00FA57EE"/>
    <w:rsid w:val="00FA6BB0"/>
    <w:rsid w:val="00FB1995"/>
    <w:rsid w:val="00FB2167"/>
    <w:rsid w:val="00FB2489"/>
    <w:rsid w:val="00FB25F5"/>
    <w:rsid w:val="00FB2882"/>
    <w:rsid w:val="00FB3140"/>
    <w:rsid w:val="00FB491E"/>
    <w:rsid w:val="00FB5059"/>
    <w:rsid w:val="00FB67E0"/>
    <w:rsid w:val="00FB70B8"/>
    <w:rsid w:val="00FC4067"/>
    <w:rsid w:val="00FC436B"/>
    <w:rsid w:val="00FC6ECE"/>
    <w:rsid w:val="00FD14E3"/>
    <w:rsid w:val="00FD173A"/>
    <w:rsid w:val="00FD1D01"/>
    <w:rsid w:val="00FD1F97"/>
    <w:rsid w:val="00FD2E05"/>
    <w:rsid w:val="00FD5860"/>
    <w:rsid w:val="00FD5EDA"/>
    <w:rsid w:val="00FD63C9"/>
    <w:rsid w:val="00FE033B"/>
    <w:rsid w:val="00FE125F"/>
    <w:rsid w:val="00FE352D"/>
    <w:rsid w:val="00FE40EB"/>
    <w:rsid w:val="00FE4D02"/>
    <w:rsid w:val="00FE7493"/>
    <w:rsid w:val="00FE7D62"/>
    <w:rsid w:val="00FF0B18"/>
    <w:rsid w:val="00FF1C4E"/>
    <w:rsid w:val="00FF22E3"/>
    <w:rsid w:val="00FF25E0"/>
    <w:rsid w:val="00FF29AD"/>
    <w:rsid w:val="00FF2E39"/>
    <w:rsid w:val="00FF3819"/>
    <w:rsid w:val="00FF54A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4:docId w14:val="72272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semiHidden="0" w:qFormat="1"/>
    <w:lsdException w:name="heading 9" w:semiHidden="0" w:qFormat="1"/>
    <w:lsdException w:name="index 2" w:semiHidden="0"/>
    <w:lsdException w:name="index 3" w:semiHidden="0"/>
    <w:lsdException w:name="footer" w:uiPriority="99"/>
    <w:lsdException w:name="caption" w:qFormat="1"/>
    <w:lsdException w:name="footnote reference" w:uiPriority="99"/>
    <w:lsdException w:name="List Number 2" w:semiHidden="0"/>
    <w:lsdException w:name="Title" w:semiHidden="0" w:unhideWhenUsed="0" w:qFormat="1"/>
    <w:lsdException w:name="Default Paragraph Font" w:uiPriority="1"/>
    <w:lsdException w:name="Subtitle" w:semiHidden="0" w:unhideWhenUsed="0" w:qFormat="1"/>
    <w:lsdException w:name="Body Text Indent 3" w:semiHidden="0"/>
    <w:lsdException w:name="Strong" w:semiHidden="0" w:unhideWhenUsed="0" w:qFormat="1"/>
    <w:lsdException w:name="Emphasis" w:semiHidden="0" w:unhideWhenUsed="0" w:qFormat="1"/>
    <w:lsdException w:name="No List"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6941"/>
    <w:pPr>
      <w:tabs>
        <w:tab w:val="left" w:pos="1247"/>
        <w:tab w:val="left" w:pos="1814"/>
        <w:tab w:val="left" w:pos="2381"/>
        <w:tab w:val="left" w:pos="2948"/>
        <w:tab w:val="left" w:pos="3515"/>
      </w:tabs>
    </w:pPr>
    <w:rPr>
      <w:lang w:val="fr-FR"/>
    </w:rPr>
  </w:style>
  <w:style w:type="paragraph" w:styleId="Heading1">
    <w:name w:val="heading 1"/>
    <w:basedOn w:val="Normal"/>
    <w:next w:val="Normalnumber"/>
    <w:qFormat/>
    <w:rsid w:val="000D6941"/>
    <w:pPr>
      <w:keepNext/>
      <w:spacing w:before="240" w:after="120"/>
      <w:ind w:left="1247" w:hanging="680"/>
      <w:outlineLvl w:val="0"/>
    </w:pPr>
    <w:rPr>
      <w:b/>
      <w:sz w:val="28"/>
    </w:rPr>
  </w:style>
  <w:style w:type="paragraph" w:styleId="Heading2">
    <w:name w:val="heading 2"/>
    <w:basedOn w:val="Normal"/>
    <w:next w:val="Normalnumber"/>
    <w:qFormat/>
    <w:rsid w:val="000D6941"/>
    <w:pPr>
      <w:keepNext/>
      <w:spacing w:before="240" w:after="120"/>
      <w:ind w:left="1247" w:hanging="680"/>
      <w:outlineLvl w:val="1"/>
    </w:pPr>
    <w:rPr>
      <w:b/>
      <w:sz w:val="24"/>
      <w:szCs w:val="24"/>
    </w:rPr>
  </w:style>
  <w:style w:type="paragraph" w:styleId="Heading3">
    <w:name w:val="heading 3"/>
    <w:basedOn w:val="Normal"/>
    <w:next w:val="Normalnumber"/>
    <w:qFormat/>
    <w:rsid w:val="000D6941"/>
    <w:pPr>
      <w:spacing w:after="120"/>
      <w:ind w:left="1247" w:hanging="680"/>
      <w:outlineLvl w:val="2"/>
    </w:pPr>
    <w:rPr>
      <w:b/>
    </w:rPr>
  </w:style>
  <w:style w:type="paragraph" w:styleId="Heading4">
    <w:name w:val="heading 4"/>
    <w:basedOn w:val="Heading3"/>
    <w:next w:val="Normalnumber"/>
    <w:qFormat/>
    <w:rsid w:val="000D6941"/>
    <w:pPr>
      <w:keepNext/>
      <w:outlineLvl w:val="3"/>
    </w:pPr>
  </w:style>
  <w:style w:type="paragraph" w:styleId="Heading5">
    <w:name w:val="heading 5"/>
    <w:basedOn w:val="Normal"/>
    <w:next w:val="Normal"/>
    <w:qFormat/>
    <w:rsid w:val="000D6941"/>
    <w:pPr>
      <w:keepNext/>
      <w:outlineLvl w:val="4"/>
    </w:pPr>
    <w:rPr>
      <w:rFonts w:ascii="Univers" w:hAnsi="Univers"/>
      <w:b/>
      <w:sz w:val="24"/>
    </w:rPr>
  </w:style>
  <w:style w:type="paragraph" w:styleId="Heading6">
    <w:name w:val="heading 6"/>
    <w:basedOn w:val="Normal"/>
    <w:next w:val="Normal"/>
    <w:qFormat/>
    <w:rsid w:val="000D6941"/>
    <w:pPr>
      <w:keepNext/>
      <w:ind w:left="578"/>
      <w:outlineLvl w:val="5"/>
    </w:pPr>
    <w:rPr>
      <w:b/>
      <w:bCs/>
      <w:sz w:val="24"/>
    </w:rPr>
  </w:style>
  <w:style w:type="paragraph" w:styleId="Heading7">
    <w:name w:val="heading 7"/>
    <w:basedOn w:val="Normal"/>
    <w:next w:val="Normal"/>
    <w:qFormat/>
    <w:rsid w:val="000D6941"/>
    <w:pPr>
      <w:keepNext/>
      <w:widowControl w:val="0"/>
      <w:jc w:val="center"/>
      <w:outlineLvl w:val="6"/>
    </w:pPr>
    <w:rPr>
      <w:snapToGrid w:val="0"/>
      <w:u w:val="single"/>
      <w:lang w:val="en-US"/>
    </w:rPr>
  </w:style>
  <w:style w:type="paragraph" w:styleId="Heading8">
    <w:name w:val="heading 8"/>
    <w:basedOn w:val="Normal"/>
    <w:next w:val="Normal"/>
    <w:qFormat/>
    <w:rsid w:val="000D6941"/>
    <w:pPr>
      <w:keepNext/>
      <w:widowControl w:val="0"/>
      <w:numPr>
        <w:numId w:val="2"/>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qFormat/>
    <w:rsid w:val="000D6941"/>
    <w:pPr>
      <w:keepNext/>
      <w:widowControl w:val="0"/>
      <w:numPr>
        <w:numId w:val="3"/>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tabs>
        <w:tab w:val="clear" w:pos="1814"/>
        <w:tab w:val="clear" w:pos="2381"/>
        <w:tab w:val="clear" w:pos="2948"/>
        <w:tab w:val="clear" w:pos="3515"/>
      </w:tabs>
      <w:ind w:left="1000"/>
    </w:pPr>
    <w:rPr>
      <w:sz w:val="18"/>
      <w:szCs w:val="18"/>
    </w:rPr>
  </w:style>
  <w:style w:type="paragraph" w:styleId="TOC7">
    <w:name w:val="toc 7"/>
    <w:basedOn w:val="Normal"/>
    <w:next w:val="Normal"/>
    <w:autoRedefine/>
    <w:semiHidden/>
    <w:rsid w:val="000D6941"/>
    <w:pPr>
      <w:tabs>
        <w:tab w:val="clear" w:pos="1814"/>
        <w:tab w:val="clear" w:pos="2381"/>
        <w:tab w:val="clear" w:pos="2948"/>
        <w:tab w:val="clear" w:pos="3515"/>
      </w:tabs>
      <w:ind w:left="1200"/>
    </w:pPr>
    <w:rPr>
      <w:sz w:val="18"/>
      <w:szCs w:val="18"/>
    </w:rPr>
  </w:style>
  <w:style w:type="paragraph" w:styleId="TOC8">
    <w:name w:val="toc 8"/>
    <w:basedOn w:val="Normal"/>
    <w:next w:val="Normal"/>
    <w:autoRedefine/>
    <w:semiHidden/>
    <w:rsid w:val="000D6941"/>
    <w:pPr>
      <w:tabs>
        <w:tab w:val="clear" w:pos="1814"/>
        <w:tab w:val="clear" w:pos="2381"/>
        <w:tab w:val="clear" w:pos="2948"/>
        <w:tab w:val="clear" w:pos="3515"/>
      </w:tabs>
      <w:ind w:left="1400"/>
    </w:pPr>
    <w:rPr>
      <w:sz w:val="18"/>
      <w:szCs w:val="18"/>
    </w:rPr>
  </w:style>
  <w:style w:type="paragraph" w:styleId="TOC9">
    <w:name w:val="toc 9"/>
    <w:basedOn w:val="Normal"/>
    <w:next w:val="Normal"/>
    <w:autoRedefine/>
    <w:semiHidden/>
    <w:rsid w:val="000D6941"/>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tabs>
        <w:tab w:val="clear" w:pos="1814"/>
        <w:tab w:val="clear" w:pos="2381"/>
        <w:tab w:val="clear" w:pos="2948"/>
        <w:tab w:val="clear" w:pos="3515"/>
      </w:tabs>
      <w:ind w:left="1814" w:hanging="567"/>
    </w:pPr>
  </w:style>
  <w:style w:type="paragraph" w:customStyle="1" w:styleId="CH1">
    <w:name w:val="CH1"/>
    <w:basedOn w:val="Normalpool"/>
    <w:next w:val="CH2"/>
    <w:rsid w:val="00160D74"/>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link w:val="CH2Char"/>
    <w:rsid w:val="00160D74"/>
    <w:pPr>
      <w:keepNext/>
      <w:keepLines/>
      <w:tabs>
        <w:tab w:val="right" w:pos="851"/>
      </w:tabs>
      <w:suppressAutoHyphens/>
      <w:spacing w:before="80" w:after="120"/>
      <w:ind w:left="1247" w:right="284" w:hanging="1247"/>
    </w:pPr>
    <w:rPr>
      <w:b/>
      <w:sz w:val="24"/>
      <w:szCs w:val="24"/>
      <w:lang w:val="en-GB"/>
    </w:rPr>
  </w:style>
  <w:style w:type="paragraph" w:customStyle="1" w:styleId="CH3">
    <w:name w:val="CH3"/>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CH4">
    <w:name w:val="CH4"/>
    <w:basedOn w:val="Normalpool"/>
    <w:next w:val="Normalnumber"/>
    <w:rsid w:val="00160D74"/>
    <w:pPr>
      <w:keepNext/>
      <w:keepLines/>
      <w:tabs>
        <w:tab w:val="right" w:pos="851"/>
      </w:tabs>
      <w:suppressAutoHyphens/>
      <w:spacing w:after="120"/>
      <w:ind w:left="1247" w:right="284" w:hanging="1247"/>
    </w:pPr>
    <w:rPr>
      <w:b/>
      <w:lang w:val="en-GB"/>
    </w:rPr>
  </w:style>
  <w:style w:type="table" w:customStyle="1" w:styleId="Footertable">
    <w:name w:val="Footer_table"/>
    <w:basedOn w:val="TableNormal"/>
    <w:semiHidden/>
    <w:rsid w:val="003A77F1"/>
    <w:rPr>
      <w:rFonts w:ascii="Arial" w:hAnsi="Arial"/>
      <w:sz w:val="16"/>
    </w:rPr>
    <w:tblPr>
      <w:jc w:val="right"/>
      <w:tblInd w:w="0" w:type="dxa"/>
      <w:tblBorders>
        <w:top w:val="double" w:sz="4" w:space="0" w:color="auto"/>
        <w:left w:val="double" w:sz="4" w:space="0" w:color="auto"/>
        <w:bottom w:val="double" w:sz="4" w:space="0" w:color="auto"/>
        <w:right w:val="double" w:sz="4" w:space="0" w:color="auto"/>
      </w:tblBorders>
      <w:tblCellMar>
        <w:top w:w="0" w:type="dxa"/>
        <w:left w:w="108" w:type="dxa"/>
        <w:bottom w:w="0" w:type="dxa"/>
        <w:right w:w="108" w:type="dxa"/>
      </w:tblCellMar>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uiPriority w:val="99"/>
    <w:rsid w:val="00160D74"/>
    <w:pPr>
      <w:tabs>
        <w:tab w:val="left" w:pos="1247"/>
        <w:tab w:val="left" w:pos="1814"/>
        <w:tab w:val="left" w:pos="2381"/>
        <w:tab w:val="left" w:pos="2948"/>
        <w:tab w:val="left" w:pos="3515"/>
        <w:tab w:val="left" w:pos="4082"/>
      </w:tabs>
    </w:pPr>
    <w:rPr>
      <w:lang w:val="en-GB"/>
    </w:rPr>
  </w:style>
  <w:style w:type="character" w:styleId="FootnoteReference">
    <w:name w:val="footnote reference"/>
    <w:aliases w:val="16 Point,Superscript 6 Point,ftref,(Ref. de nota al pie),number,SUPERS,Footnote Reference Superscript,Footnote Reference1,Ref,de nota al pie,註腳內容,de nota al pie + (Asian) MS Mincho,11 pt,Ref. de nota de rodapé1"/>
    <w:basedOn w:val="DefaultParagraphFont"/>
    <w:uiPriority w:val="99"/>
    <w:rsid w:val="000D6941"/>
    <w:rPr>
      <w:rFonts w:ascii="Times New Roman" w:hAnsi="Times New Roman"/>
      <w:color w:val="auto"/>
      <w:sz w:val="20"/>
      <w:szCs w:val="18"/>
      <w:vertAlign w:val="superscript"/>
    </w:rPr>
  </w:style>
  <w:style w:type="paragraph" w:styleId="FootnoteText">
    <w:name w:val="footnote text"/>
    <w:aliases w:val="Geneva 9,Font: Geneva 9,Boston 10,93,single space,Footnote Text Rail EIS,ft,Char,footnote3,Footnotes,Footnote ak,fn cafc,Footnotes Char Char,Footnote Text Char Char,fn Char Char,footnote text,footnote text Char Char Char Ch,DNV-FT,f,fn"/>
    <w:basedOn w:val="Normalpool"/>
    <w:link w:val="FootnoteTextChar"/>
    <w:rsid w:val="000D6941"/>
    <w:pPr>
      <w:spacing w:before="20" w:after="40"/>
      <w:ind w:left="1247"/>
    </w:pPr>
    <w:rPr>
      <w:sz w:val="18"/>
    </w:rPr>
  </w:style>
  <w:style w:type="numbering" w:customStyle="1" w:styleId="NoList1">
    <w:name w:val="No List1"/>
    <w:next w:val="NoList"/>
    <w:uiPriority w:val="99"/>
    <w:semiHidden/>
    <w:unhideWhenUsed/>
    <w:rsid w:val="006B2718"/>
  </w:style>
  <w:style w:type="paragraph" w:styleId="Title">
    <w:name w:val="Title"/>
    <w:basedOn w:val="Normal"/>
    <w:link w:val="TitleChar"/>
    <w:autoRedefine/>
    <w:qFormat/>
    <w:rsid w:val="006B2718"/>
    <w:pPr>
      <w:tabs>
        <w:tab w:val="clear" w:pos="1247"/>
        <w:tab w:val="clear" w:pos="1814"/>
        <w:tab w:val="clear" w:pos="2381"/>
        <w:tab w:val="clear" w:pos="2948"/>
        <w:tab w:val="clear" w:pos="3515"/>
      </w:tabs>
      <w:spacing w:before="360" w:after="240"/>
      <w:ind w:left="1247" w:right="567"/>
      <w:outlineLvl w:val="0"/>
    </w:pPr>
    <w:rPr>
      <w:rFonts w:cs="Arial"/>
      <w:b/>
      <w:bCs/>
      <w:kern w:val="28"/>
      <w:sz w:val="28"/>
      <w:szCs w:val="28"/>
      <w:lang w:val="en-US"/>
    </w:rPr>
  </w:style>
  <w:style w:type="character" w:customStyle="1" w:styleId="TitleChar">
    <w:name w:val="Title Char"/>
    <w:basedOn w:val="DefaultParagraphFont"/>
    <w:link w:val="Title"/>
    <w:rsid w:val="006B2718"/>
    <w:rPr>
      <w:rFonts w:cs="Arial"/>
      <w:b/>
      <w:bCs/>
      <w:kern w:val="28"/>
      <w:sz w:val="28"/>
      <w:szCs w:val="28"/>
    </w:rPr>
  </w:style>
  <w:style w:type="paragraph" w:customStyle="1" w:styleId="main">
    <w:name w:val="main"/>
    <w:basedOn w:val="Normal"/>
    <w:autoRedefine/>
    <w:rsid w:val="006B2718"/>
    <w:pPr>
      <w:tabs>
        <w:tab w:val="clear" w:pos="1247"/>
        <w:tab w:val="clear" w:pos="1814"/>
        <w:tab w:val="clear" w:pos="2381"/>
        <w:tab w:val="clear" w:pos="2948"/>
        <w:tab w:val="clear" w:pos="3515"/>
      </w:tabs>
      <w:spacing w:after="120"/>
      <w:ind w:left="2495" w:hanging="624"/>
    </w:pPr>
    <w:rPr>
      <w:szCs w:val="22"/>
      <w:lang w:val="en-US"/>
    </w:rPr>
  </w:style>
  <w:style w:type="character" w:customStyle="1" w:styleId="FootnoteTextChar">
    <w:name w:val="Footnote Text Char"/>
    <w:aliases w:val="Geneva 9 Char,Font: Geneva 9 Char,Boston 10 Char,93 Char,single space Char,Footnote Text Rail EIS Char,ft Char,Char Char,footnote3 Char,Footnotes Char,Footnote ak Char,fn cafc Char,Footnotes Char Char Char,Footnote Text Char Char Char"/>
    <w:link w:val="FootnoteText"/>
    <w:rsid w:val="006B2718"/>
    <w:rPr>
      <w:sz w:val="18"/>
      <w:lang w:val="fr-FR"/>
    </w:rPr>
  </w:style>
  <w:style w:type="paragraph" w:styleId="Caption">
    <w:name w:val="caption"/>
    <w:basedOn w:val="Normal"/>
    <w:next w:val="Normal"/>
    <w:qFormat/>
    <w:rsid w:val="006B2718"/>
    <w:pPr>
      <w:widowControl w:val="0"/>
      <w:tabs>
        <w:tab w:val="clear" w:pos="1247"/>
        <w:tab w:val="clear" w:pos="1814"/>
        <w:tab w:val="clear" w:pos="2381"/>
        <w:tab w:val="clear" w:pos="2948"/>
        <w:tab w:val="clear" w:pos="3515"/>
      </w:tabs>
    </w:pPr>
    <w:rPr>
      <w:snapToGrid w:val="0"/>
      <w:sz w:val="24"/>
      <w:lang w:val="en-GB"/>
    </w:rPr>
  </w:style>
  <w:style w:type="paragraph" w:styleId="BalloonText">
    <w:name w:val="Balloon Text"/>
    <w:basedOn w:val="Normal"/>
    <w:link w:val="BalloonTextChar"/>
    <w:rsid w:val="006B2718"/>
    <w:pPr>
      <w:tabs>
        <w:tab w:val="clear" w:pos="1247"/>
        <w:tab w:val="clear" w:pos="1814"/>
        <w:tab w:val="clear" w:pos="2381"/>
        <w:tab w:val="clear" w:pos="2948"/>
        <w:tab w:val="clear" w:pos="3515"/>
      </w:tabs>
    </w:pPr>
    <w:rPr>
      <w:rFonts w:ascii="Tahoma" w:hAnsi="Tahoma" w:cs="Tahoma"/>
      <w:sz w:val="16"/>
      <w:szCs w:val="16"/>
      <w:lang w:val="en-GB"/>
    </w:rPr>
  </w:style>
  <w:style w:type="character" w:customStyle="1" w:styleId="BalloonTextChar">
    <w:name w:val="Balloon Text Char"/>
    <w:basedOn w:val="DefaultParagraphFont"/>
    <w:link w:val="BalloonText"/>
    <w:rsid w:val="006B2718"/>
    <w:rPr>
      <w:rFonts w:ascii="Tahoma" w:hAnsi="Tahoma" w:cs="Tahoma"/>
      <w:sz w:val="16"/>
      <w:szCs w:val="16"/>
      <w:lang w:val="en-GB"/>
    </w:rPr>
  </w:style>
  <w:style w:type="paragraph" w:customStyle="1" w:styleId="Paralevel1">
    <w:name w:val="Para level1"/>
    <w:basedOn w:val="Normal"/>
    <w:autoRedefine/>
    <w:rsid w:val="006B2718"/>
    <w:pPr>
      <w:numPr>
        <w:numId w:val="4"/>
      </w:numPr>
      <w:tabs>
        <w:tab w:val="clear" w:pos="1247"/>
        <w:tab w:val="clear" w:pos="1814"/>
        <w:tab w:val="clear" w:pos="2381"/>
        <w:tab w:val="clear" w:pos="2948"/>
        <w:tab w:val="clear" w:pos="3515"/>
      </w:tabs>
      <w:suppressAutoHyphens/>
      <w:spacing w:after="120"/>
    </w:pPr>
    <w:rPr>
      <w:lang w:val="en-GB"/>
    </w:rPr>
  </w:style>
  <w:style w:type="character" w:styleId="CommentReference">
    <w:name w:val="annotation reference"/>
    <w:rsid w:val="006B2718"/>
    <w:rPr>
      <w:sz w:val="18"/>
    </w:rPr>
  </w:style>
  <w:style w:type="paragraph" w:styleId="CommentText">
    <w:name w:val="annotation text"/>
    <w:basedOn w:val="Normal"/>
    <w:link w:val="CommentTextChar"/>
    <w:rsid w:val="006B2718"/>
    <w:pPr>
      <w:tabs>
        <w:tab w:val="clear" w:pos="1247"/>
        <w:tab w:val="clear" w:pos="1814"/>
        <w:tab w:val="clear" w:pos="2381"/>
        <w:tab w:val="clear" w:pos="2948"/>
        <w:tab w:val="clear" w:pos="3515"/>
      </w:tabs>
    </w:pPr>
    <w:rPr>
      <w:sz w:val="24"/>
      <w:szCs w:val="24"/>
      <w:lang w:val="en-GB"/>
    </w:rPr>
  </w:style>
  <w:style w:type="character" w:customStyle="1" w:styleId="CommentTextChar">
    <w:name w:val="Comment Text Char"/>
    <w:basedOn w:val="DefaultParagraphFont"/>
    <w:link w:val="CommentText"/>
    <w:rsid w:val="006B2718"/>
    <w:rPr>
      <w:sz w:val="24"/>
      <w:szCs w:val="24"/>
      <w:lang w:val="en-GB"/>
    </w:rPr>
  </w:style>
  <w:style w:type="paragraph" w:styleId="CommentSubject">
    <w:name w:val="annotation subject"/>
    <w:basedOn w:val="CommentText"/>
    <w:next w:val="CommentText"/>
    <w:link w:val="CommentSubjectChar"/>
    <w:rsid w:val="006B2718"/>
    <w:rPr>
      <w:sz w:val="22"/>
      <w:szCs w:val="20"/>
    </w:rPr>
  </w:style>
  <w:style w:type="character" w:customStyle="1" w:styleId="CommentSubjectChar">
    <w:name w:val="Comment Subject Char"/>
    <w:basedOn w:val="CommentTextChar"/>
    <w:link w:val="CommentSubject"/>
    <w:rsid w:val="006B2718"/>
    <w:rPr>
      <w:sz w:val="22"/>
      <w:szCs w:val="24"/>
      <w:lang w:val="en-GB"/>
    </w:rPr>
  </w:style>
  <w:style w:type="paragraph" w:customStyle="1" w:styleId="Subtitle">
    <w:name w:val="Sub title"/>
    <w:basedOn w:val="Heading2"/>
    <w:rsid w:val="006B2718"/>
    <w:pPr>
      <w:tabs>
        <w:tab w:val="clear" w:pos="1247"/>
        <w:tab w:val="clear" w:pos="1814"/>
        <w:tab w:val="clear" w:pos="2381"/>
        <w:tab w:val="clear" w:pos="2948"/>
        <w:tab w:val="clear" w:pos="3515"/>
      </w:tabs>
      <w:spacing w:before="0" w:after="240"/>
      <w:ind w:firstLine="0"/>
    </w:pPr>
    <w:rPr>
      <w:lang w:val="en-GB"/>
    </w:rPr>
  </w:style>
  <w:style w:type="numbering" w:customStyle="1" w:styleId="Normallist1">
    <w:name w:val="Normal_list1"/>
    <w:basedOn w:val="NoList"/>
    <w:rsid w:val="006B2718"/>
  </w:style>
  <w:style w:type="character" w:customStyle="1" w:styleId="FooterChar">
    <w:name w:val="Footer Char"/>
    <w:link w:val="Footer"/>
    <w:uiPriority w:val="99"/>
    <w:rsid w:val="006B2718"/>
    <w:rPr>
      <w:sz w:val="18"/>
      <w:lang w:val="fr-FR"/>
    </w:rPr>
  </w:style>
  <w:style w:type="character" w:customStyle="1" w:styleId="NormalnumberChar">
    <w:name w:val="Normal_number Char"/>
    <w:link w:val="Normalnumber"/>
    <w:locked/>
    <w:rsid w:val="00556F3A"/>
    <w:rPr>
      <w:lang w:val="en-GB"/>
    </w:rPr>
  </w:style>
  <w:style w:type="character" w:customStyle="1" w:styleId="Normal-poolChar">
    <w:name w:val="Normal-pool Char"/>
    <w:link w:val="Normal-pool"/>
    <w:uiPriority w:val="99"/>
    <w:rsid w:val="006B2718"/>
    <w:rPr>
      <w:lang w:val="en-GB"/>
    </w:rPr>
  </w:style>
  <w:style w:type="character" w:customStyle="1" w:styleId="NormalNonumberChar">
    <w:name w:val="Normal_No_number Char"/>
    <w:link w:val="NormalNonumber"/>
    <w:uiPriority w:val="99"/>
    <w:locked/>
    <w:rsid w:val="006B2718"/>
    <w:rPr>
      <w:lang w:val="en-GB"/>
    </w:rPr>
  </w:style>
  <w:style w:type="character" w:customStyle="1" w:styleId="FootnoteTextChar2">
    <w:name w:val="Footnote Text Char2"/>
    <w:aliases w:val="Geneva 9 Char2,Font: Geneva 9 Char2,Boston 10 Char2,93 Char1,single space Char1,Footnote Text Rail EIS Char1,ft Char1,Char Char1,footnote3 Char1,Footnotes Char1,Footnote ak Char1,fn cafc Char1,Footnotes Char Char Char1"/>
    <w:locked/>
    <w:rsid w:val="006B2718"/>
    <w:rPr>
      <w:sz w:val="18"/>
      <w:lang w:val="fr-FR"/>
    </w:rPr>
  </w:style>
  <w:style w:type="paragraph" w:customStyle="1" w:styleId="ColorfulShading-Accent31">
    <w:name w:val="Colorful Shading - Accent 31"/>
    <w:basedOn w:val="Normal"/>
    <w:uiPriority w:val="34"/>
    <w:qFormat/>
    <w:rsid w:val="006B2718"/>
    <w:pPr>
      <w:tabs>
        <w:tab w:val="clear" w:pos="1247"/>
        <w:tab w:val="clear" w:pos="1814"/>
        <w:tab w:val="clear" w:pos="2381"/>
        <w:tab w:val="clear" w:pos="2948"/>
        <w:tab w:val="clear" w:pos="3515"/>
      </w:tabs>
      <w:ind w:left="708"/>
    </w:pPr>
    <w:rPr>
      <w:sz w:val="22"/>
      <w:lang w:val="en-GB"/>
    </w:rPr>
  </w:style>
  <w:style w:type="paragraph" w:customStyle="1" w:styleId="LightGrid-Accent31">
    <w:name w:val="Light Grid - Accent 31"/>
    <w:basedOn w:val="Normal"/>
    <w:uiPriority w:val="99"/>
    <w:rsid w:val="006B2718"/>
    <w:pPr>
      <w:tabs>
        <w:tab w:val="clear" w:pos="1247"/>
        <w:tab w:val="clear" w:pos="1814"/>
        <w:tab w:val="clear" w:pos="2381"/>
        <w:tab w:val="clear" w:pos="2948"/>
        <w:tab w:val="clear" w:pos="3515"/>
      </w:tabs>
      <w:ind w:left="720"/>
    </w:pPr>
    <w:rPr>
      <w:sz w:val="22"/>
      <w:szCs w:val="22"/>
      <w:lang w:val="en-GB"/>
    </w:rPr>
  </w:style>
  <w:style w:type="paragraph" w:customStyle="1" w:styleId="Level1">
    <w:name w:val="Level1"/>
    <w:basedOn w:val="Normal"/>
    <w:uiPriority w:val="99"/>
    <w:rsid w:val="006B2718"/>
    <w:pPr>
      <w:numPr>
        <w:numId w:val="5"/>
      </w:numPr>
      <w:tabs>
        <w:tab w:val="clear" w:pos="1247"/>
        <w:tab w:val="clear" w:pos="1814"/>
        <w:tab w:val="clear" w:pos="2381"/>
        <w:tab w:val="clear" w:pos="2948"/>
        <w:tab w:val="clear" w:pos="3515"/>
        <w:tab w:val="left" w:pos="1157"/>
      </w:tabs>
      <w:suppressAutoHyphens/>
      <w:spacing w:after="240"/>
    </w:pPr>
    <w:rPr>
      <w:rFonts w:eastAsia="MS Mincho"/>
      <w:lang w:val="en-GB"/>
    </w:rPr>
  </w:style>
  <w:style w:type="paragraph" w:customStyle="1" w:styleId="DarkList-Accent31">
    <w:name w:val="Dark List - Accent 31"/>
    <w:hidden/>
    <w:uiPriority w:val="99"/>
    <w:semiHidden/>
    <w:rsid w:val="006B2718"/>
    <w:rPr>
      <w:sz w:val="22"/>
      <w:lang w:val="en-GB"/>
    </w:rPr>
  </w:style>
  <w:style w:type="table" w:styleId="TableGrid">
    <w:name w:val="Table Grid"/>
    <w:basedOn w:val="TableNormal"/>
    <w:rsid w:val="006B2718"/>
    <w:rPr>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2Char">
    <w:name w:val="CH2 Char"/>
    <w:link w:val="CH2"/>
    <w:rsid w:val="006B2718"/>
    <w:rPr>
      <w:b/>
      <w:sz w:val="24"/>
      <w:szCs w:val="24"/>
      <w:lang w:val="en-GB"/>
    </w:rPr>
  </w:style>
  <w:style w:type="paragraph" w:customStyle="1" w:styleId="NoSpacing1">
    <w:name w:val="No Spacing1"/>
    <w:next w:val="NoSpacing"/>
    <w:uiPriority w:val="1"/>
    <w:qFormat/>
    <w:rsid w:val="006B2718"/>
    <w:rPr>
      <w:rFonts w:ascii="Calibri" w:eastAsia="Calibri" w:hAnsi="Calibri"/>
      <w:sz w:val="22"/>
      <w:szCs w:val="22"/>
    </w:rPr>
  </w:style>
  <w:style w:type="paragraph" w:customStyle="1" w:styleId="ListParagraph1">
    <w:name w:val="List Paragraph1"/>
    <w:basedOn w:val="Normal"/>
    <w:next w:val="ListParagraph"/>
    <w:uiPriority w:val="34"/>
    <w:qFormat/>
    <w:rsid w:val="006B2718"/>
    <w:pPr>
      <w:tabs>
        <w:tab w:val="clear" w:pos="1247"/>
        <w:tab w:val="clear" w:pos="1814"/>
        <w:tab w:val="clear" w:pos="2381"/>
        <w:tab w:val="clear" w:pos="2948"/>
        <w:tab w:val="clear" w:pos="3515"/>
      </w:tabs>
      <w:spacing w:after="200" w:line="276" w:lineRule="auto"/>
      <w:ind w:left="720"/>
      <w:contextualSpacing/>
    </w:pPr>
    <w:rPr>
      <w:rFonts w:ascii="Calibri" w:eastAsia="Calibri" w:hAnsi="Calibri"/>
      <w:sz w:val="22"/>
      <w:szCs w:val="22"/>
      <w:lang w:val="en-US"/>
    </w:rPr>
  </w:style>
  <w:style w:type="paragraph" w:customStyle="1" w:styleId="Default">
    <w:name w:val="Default"/>
    <w:rsid w:val="006B2718"/>
    <w:pPr>
      <w:autoSpaceDE w:val="0"/>
      <w:autoSpaceDN w:val="0"/>
      <w:adjustRightInd w:val="0"/>
    </w:pPr>
    <w:rPr>
      <w:rFonts w:ascii="Arial" w:hAnsi="Arial" w:cs="Arial"/>
      <w:color w:val="000000"/>
      <w:sz w:val="24"/>
      <w:szCs w:val="24"/>
      <w:lang w:val="en-GB" w:eastAsia="en-GB"/>
    </w:rPr>
  </w:style>
  <w:style w:type="paragraph" w:styleId="Revision">
    <w:name w:val="Revision"/>
    <w:hidden/>
    <w:uiPriority w:val="99"/>
    <w:semiHidden/>
    <w:rsid w:val="006B2718"/>
    <w:rPr>
      <w:sz w:val="22"/>
      <w:lang w:val="en-GB"/>
    </w:rPr>
  </w:style>
  <w:style w:type="paragraph" w:customStyle="1" w:styleId="PlainText1">
    <w:name w:val="Plain Text1"/>
    <w:basedOn w:val="Normal"/>
    <w:next w:val="PlainText"/>
    <w:link w:val="PlainTextChar"/>
    <w:uiPriority w:val="99"/>
    <w:unhideWhenUsed/>
    <w:rsid w:val="006B2718"/>
    <w:pPr>
      <w:tabs>
        <w:tab w:val="clear" w:pos="1247"/>
        <w:tab w:val="clear" w:pos="1814"/>
        <w:tab w:val="clear" w:pos="2381"/>
        <w:tab w:val="clear" w:pos="2948"/>
        <w:tab w:val="clear" w:pos="3515"/>
      </w:tabs>
    </w:pPr>
    <w:rPr>
      <w:rFonts w:ascii="Consolas" w:hAnsi="Consolas" w:cs="Consolas"/>
      <w:sz w:val="21"/>
      <w:szCs w:val="21"/>
      <w:lang w:val="en-US"/>
    </w:rPr>
  </w:style>
  <w:style w:type="character" w:customStyle="1" w:styleId="PlainTextChar">
    <w:name w:val="Plain Text Char"/>
    <w:link w:val="PlainText1"/>
    <w:uiPriority w:val="99"/>
    <w:rsid w:val="006B2718"/>
    <w:rPr>
      <w:rFonts w:ascii="Consolas" w:eastAsia="Times New Roman" w:hAnsi="Consolas" w:cs="Consolas"/>
      <w:sz w:val="21"/>
      <w:szCs w:val="21"/>
    </w:rPr>
  </w:style>
  <w:style w:type="paragraph" w:styleId="NoSpacing">
    <w:name w:val="No Spacing"/>
    <w:uiPriority w:val="1"/>
    <w:qFormat/>
    <w:rsid w:val="006B2718"/>
    <w:pPr>
      <w:tabs>
        <w:tab w:val="left" w:pos="1247"/>
        <w:tab w:val="left" w:pos="1814"/>
        <w:tab w:val="left" w:pos="2381"/>
        <w:tab w:val="left" w:pos="2948"/>
        <w:tab w:val="left" w:pos="3515"/>
      </w:tabs>
    </w:pPr>
    <w:rPr>
      <w:lang w:val="fr-FR"/>
    </w:rPr>
  </w:style>
  <w:style w:type="paragraph" w:styleId="ListParagraph">
    <w:name w:val="List Paragraph"/>
    <w:basedOn w:val="Normal"/>
    <w:uiPriority w:val="34"/>
    <w:qFormat/>
    <w:rsid w:val="006B2718"/>
    <w:pPr>
      <w:ind w:left="720"/>
    </w:pPr>
  </w:style>
  <w:style w:type="paragraph" w:styleId="PlainText">
    <w:name w:val="Plain Text"/>
    <w:basedOn w:val="Normal"/>
    <w:link w:val="PlainTextChar1"/>
    <w:rsid w:val="006B2718"/>
    <w:rPr>
      <w:rFonts w:ascii="Courier New" w:hAnsi="Courier New" w:cs="Courier New"/>
    </w:rPr>
  </w:style>
  <w:style w:type="character" w:customStyle="1" w:styleId="PlainTextChar1">
    <w:name w:val="Plain Text Char1"/>
    <w:basedOn w:val="DefaultParagraphFont"/>
    <w:link w:val="PlainText"/>
    <w:rsid w:val="006B2718"/>
    <w:rPr>
      <w:rFonts w:ascii="Courier New" w:hAnsi="Courier New" w:cs="Courier New"/>
      <w:lang w:val="fr-FR"/>
    </w:rPr>
  </w:style>
  <w:style w:type="table" w:customStyle="1" w:styleId="AATable">
    <w:name w:val="AA_Table"/>
    <w:basedOn w:val="TableNormal"/>
    <w:semiHidden/>
    <w:rsid w:val="003A77F1"/>
    <w:tblPr>
      <w:tblStyleRowBandSize w:val="1"/>
      <w:tblStyleColBandSize w:val="1"/>
      <w:jc w:val="right"/>
      <w:tblInd w:w="0" w:type="dxa"/>
      <w:tblCellMar>
        <w:top w:w="0" w:type="dxa"/>
        <w:left w:w="108" w:type="dxa"/>
        <w:bottom w:w="0" w:type="dxa"/>
        <w:right w:w="108" w:type="dxa"/>
      </w:tblCellMar>
    </w:tblPr>
    <w:trPr>
      <w:jc w:val="right"/>
    </w:trPr>
    <w:tblStylePr w:type="firstRow">
      <w:pPr>
        <w:wordWrap/>
        <w:spacing w:beforeLines="0" w:beforeAutospacing="0" w:afterLines="0" w:afterAutospacing="0"/>
        <w:contextualSpacing w:val="0"/>
        <w:jc w:val="left"/>
      </w:pPr>
      <w:rPr>
        <w:rFonts w:ascii="Arial" w:hAnsi="Arial"/>
        <w:b/>
        <w:i w:val="0"/>
        <w:caps/>
        <w:smallCaps w:val="0"/>
        <w:color w:val="auto"/>
        <w:sz w:val="27"/>
        <w:szCs w:val="27"/>
      </w:rPr>
    </w:tblStylePr>
    <w:tblStylePr w:type="lastRow">
      <w:pPr>
        <w:wordWrap/>
        <w:spacing w:afterLines="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Autospacing="0" w:afterLines="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Autospacing="0" w:afterLines="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Autospacing="0" w:afterLines="0" w:afterAutospacing="0"/>
        <w:ind w:leftChars="0" w:left="0" w:rightChars="0" w:right="0"/>
        <w:contextualSpacing w:val="0"/>
      </w:pPr>
      <w:rPr>
        <w:rFonts w:ascii="Times New Roman" w:hAnsi="Times New Roman"/>
        <w:b w:val="0"/>
        <w:sz w:val="20"/>
      </w:rPr>
    </w:tblStylePr>
    <w:tblStylePr w:type="swCell">
      <w:pPr>
        <w:wordWrap/>
        <w:spacing w:afterLines="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basedOn w:val="AATitle"/>
    <w:rsid w:val="00160D74"/>
    <w:pPr>
      <w:tabs>
        <w:tab w:val="clear" w:pos="4082"/>
      </w:tabs>
      <w:spacing w:before="120" w:after="120"/>
      <w:ind w:right="4536"/>
    </w:pPr>
  </w:style>
  <w:style w:type="paragraph" w:customStyle="1" w:styleId="BBTitle">
    <w:name w:val="BB_Title"/>
    <w:basedOn w:val="Normalpool"/>
    <w:rsid w:val="00160D74"/>
    <w:pPr>
      <w:keepNext/>
      <w:keepLines/>
      <w:suppressAutoHyphens/>
      <w:spacing w:before="320" w:after="240"/>
      <w:ind w:left="1247" w:right="567"/>
    </w:pPr>
    <w:rPr>
      <w:b/>
      <w:sz w:val="28"/>
      <w:szCs w:val="28"/>
      <w:lang w:val="en-GB"/>
    </w:rPr>
  </w:style>
  <w:style w:type="paragraph" w:styleId="Footer">
    <w:name w:val="footer"/>
    <w:basedOn w:val="Normal"/>
    <w:link w:val="FooterChar"/>
    <w:uiPriority w:val="99"/>
    <w:rsid w:val="00821395"/>
    <w:pPr>
      <w:tabs>
        <w:tab w:val="center" w:pos="4320"/>
        <w:tab w:val="right" w:pos="8640"/>
      </w:tabs>
      <w:spacing w:before="60" w:after="120"/>
    </w:pPr>
    <w:rPr>
      <w:sz w:val="18"/>
    </w:rPr>
  </w:style>
  <w:style w:type="paragraph" w:styleId="Header">
    <w:name w:val="header"/>
    <w:basedOn w:val="Normal"/>
    <w:rsid w:val="000D694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basedOn w:val="DefaultParagraphFont"/>
    <w:semiHidden/>
    <w:rsid w:val="000D6941"/>
    <w:rPr>
      <w:rFonts w:ascii="Times New Roman" w:hAnsi="Times New Roman"/>
      <w:color w:val="auto"/>
      <w:sz w:val="20"/>
      <w:szCs w:val="20"/>
      <w:u w:val="none"/>
      <w:lang w:val="fr-FR"/>
    </w:rPr>
  </w:style>
  <w:style w:type="numbering" w:customStyle="1" w:styleId="Normallist">
    <w:name w:val="Normal_list"/>
    <w:basedOn w:val="NoList"/>
    <w:rsid w:val="003A77F1"/>
    <w:pPr>
      <w:numPr>
        <w:numId w:val="1"/>
      </w:numPr>
    </w:pPr>
  </w:style>
  <w:style w:type="paragraph" w:customStyle="1" w:styleId="NormalNonumber">
    <w:name w:val="Normal_No_number"/>
    <w:basedOn w:val="Normalpool"/>
    <w:link w:val="NormalNonumberChar"/>
    <w:uiPriority w:val="99"/>
    <w:rsid w:val="00160D74"/>
    <w:pPr>
      <w:spacing w:after="120"/>
      <w:ind w:left="1247"/>
    </w:pPr>
    <w:rPr>
      <w:lang w:val="en-GB"/>
    </w:rPr>
  </w:style>
  <w:style w:type="paragraph" w:customStyle="1" w:styleId="Normalnumber">
    <w:name w:val="Normal_number"/>
    <w:basedOn w:val="Normalpool"/>
    <w:link w:val="NormalnumberChar"/>
    <w:rsid w:val="00556F3A"/>
    <w:pPr>
      <w:numPr>
        <w:numId w:val="7"/>
      </w:numPr>
      <w:tabs>
        <w:tab w:val="clear" w:pos="1247"/>
        <w:tab w:val="clear" w:pos="1814"/>
        <w:tab w:val="clear" w:pos="2381"/>
        <w:tab w:val="clear" w:pos="2948"/>
        <w:tab w:val="clear" w:pos="3515"/>
        <w:tab w:val="clear" w:pos="4082"/>
        <w:tab w:val="left" w:pos="624"/>
      </w:tabs>
      <w:spacing w:after="120"/>
    </w:pPr>
    <w:rPr>
      <w:lang w:val="en-GB"/>
    </w:rPr>
  </w:style>
  <w:style w:type="paragraph" w:customStyle="1" w:styleId="Titletable">
    <w:name w:val="Title_table"/>
    <w:basedOn w:val="Normalpool"/>
    <w:rsid w:val="00160D74"/>
    <w:pPr>
      <w:keepNext/>
      <w:keepLines/>
      <w:suppressAutoHyphens/>
      <w:spacing w:after="60"/>
      <w:ind w:left="1247"/>
    </w:pPr>
    <w:rPr>
      <w:b/>
      <w:bCs/>
      <w:lang w:val="en-GB"/>
    </w:rPr>
  </w:style>
  <w:style w:type="paragraph" w:styleId="TOC1">
    <w:name w:val="toc 1"/>
    <w:basedOn w:val="Normalpool"/>
    <w:next w:val="Normalpool"/>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tabs>
        <w:tab w:val="clear" w:pos="1814"/>
        <w:tab w:val="clear" w:pos="2381"/>
        <w:tab w:val="clear" w:pos="2948"/>
        <w:tab w:val="clear" w:pos="3515"/>
      </w:tabs>
      <w:ind w:left="800"/>
    </w:pPr>
    <w:rPr>
      <w:sz w:val="18"/>
      <w:szCs w:val="18"/>
    </w:rPr>
  </w:style>
  <w:style w:type="paragraph" w:customStyle="1" w:styleId="ZZAnxheader">
    <w:name w:val="ZZ_Anx_header"/>
    <w:basedOn w:val="Normalpool"/>
    <w:rsid w:val="00160D74"/>
    <w:rPr>
      <w:b/>
      <w:bCs/>
      <w:sz w:val="28"/>
      <w:szCs w:val="22"/>
      <w:lang w:val="en-GB"/>
    </w:rPr>
  </w:style>
  <w:style w:type="paragraph" w:customStyle="1" w:styleId="ZZAnxtitle">
    <w:name w:val="ZZ_Anx_title"/>
    <w:basedOn w:val="Normalpool"/>
    <w:uiPriority w:val="99"/>
    <w:rsid w:val="00160D74"/>
    <w:pPr>
      <w:spacing w:before="360" w:after="120"/>
      <w:ind w:left="1247"/>
    </w:pPr>
    <w:rPr>
      <w:b/>
      <w:bCs/>
      <w:sz w:val="28"/>
      <w:szCs w:val="26"/>
      <w:lang w:val="en-GB"/>
    </w:rPr>
  </w:style>
  <w:style w:type="character" w:customStyle="1" w:styleId="tgc">
    <w:name w:val="_tgc"/>
    <w:basedOn w:val="DefaultParagraphFont"/>
    <w:rsid w:val="009077A1"/>
  </w:style>
  <w:style w:type="character" w:customStyle="1" w:styleId="PoWnumber">
    <w:name w:val="PoW number"/>
    <w:basedOn w:val="DefaultParagraphFont"/>
    <w:uiPriority w:val="1"/>
    <w:qFormat/>
    <w:rsid w:val="009D2448"/>
    <w:rPr>
      <w:b/>
      <w:bCs/>
      <w:sz w:val="28"/>
      <w:szCs w:val="28"/>
    </w:rPr>
  </w:style>
  <w:style w:type="character" w:customStyle="1" w:styleId="preferred">
    <w:name w:val="preferred"/>
    <w:basedOn w:val="DefaultParagraphFont"/>
    <w:rsid w:val="003877DF"/>
  </w:style>
  <w:style w:type="table" w:customStyle="1" w:styleId="PlainTable41">
    <w:name w:val="Plain Table 41"/>
    <w:basedOn w:val="TableNormal"/>
    <w:uiPriority w:val="44"/>
    <w:rsid w:val="00D2022F"/>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semiHidden="0" w:qFormat="1"/>
    <w:lsdException w:name="heading 9" w:semiHidden="0" w:qFormat="1"/>
    <w:lsdException w:name="index 2" w:semiHidden="0"/>
    <w:lsdException w:name="index 3" w:semiHidden="0"/>
    <w:lsdException w:name="footer" w:uiPriority="99"/>
    <w:lsdException w:name="caption" w:qFormat="1"/>
    <w:lsdException w:name="footnote reference" w:uiPriority="99"/>
    <w:lsdException w:name="List Number 2" w:semiHidden="0"/>
    <w:lsdException w:name="Title" w:semiHidden="0" w:unhideWhenUsed="0" w:qFormat="1"/>
    <w:lsdException w:name="Default Paragraph Font" w:uiPriority="1"/>
    <w:lsdException w:name="Subtitle" w:semiHidden="0" w:unhideWhenUsed="0" w:qFormat="1"/>
    <w:lsdException w:name="Body Text Indent 3" w:semiHidden="0"/>
    <w:lsdException w:name="Strong" w:semiHidden="0" w:unhideWhenUsed="0" w:qFormat="1"/>
    <w:lsdException w:name="Emphasis" w:semiHidden="0" w:unhideWhenUsed="0" w:qFormat="1"/>
    <w:lsdException w:name="No List"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6941"/>
    <w:pPr>
      <w:tabs>
        <w:tab w:val="left" w:pos="1247"/>
        <w:tab w:val="left" w:pos="1814"/>
        <w:tab w:val="left" w:pos="2381"/>
        <w:tab w:val="left" w:pos="2948"/>
        <w:tab w:val="left" w:pos="3515"/>
      </w:tabs>
    </w:pPr>
    <w:rPr>
      <w:lang w:val="fr-FR"/>
    </w:rPr>
  </w:style>
  <w:style w:type="paragraph" w:styleId="Heading1">
    <w:name w:val="heading 1"/>
    <w:basedOn w:val="Normal"/>
    <w:next w:val="Normalnumber"/>
    <w:qFormat/>
    <w:rsid w:val="000D6941"/>
    <w:pPr>
      <w:keepNext/>
      <w:spacing w:before="240" w:after="120"/>
      <w:ind w:left="1247" w:hanging="680"/>
      <w:outlineLvl w:val="0"/>
    </w:pPr>
    <w:rPr>
      <w:b/>
      <w:sz w:val="28"/>
    </w:rPr>
  </w:style>
  <w:style w:type="paragraph" w:styleId="Heading2">
    <w:name w:val="heading 2"/>
    <w:basedOn w:val="Normal"/>
    <w:next w:val="Normalnumber"/>
    <w:qFormat/>
    <w:rsid w:val="000D6941"/>
    <w:pPr>
      <w:keepNext/>
      <w:spacing w:before="240" w:after="120"/>
      <w:ind w:left="1247" w:hanging="680"/>
      <w:outlineLvl w:val="1"/>
    </w:pPr>
    <w:rPr>
      <w:b/>
      <w:sz w:val="24"/>
      <w:szCs w:val="24"/>
    </w:rPr>
  </w:style>
  <w:style w:type="paragraph" w:styleId="Heading3">
    <w:name w:val="heading 3"/>
    <w:basedOn w:val="Normal"/>
    <w:next w:val="Normalnumber"/>
    <w:qFormat/>
    <w:rsid w:val="000D6941"/>
    <w:pPr>
      <w:spacing w:after="120"/>
      <w:ind w:left="1247" w:hanging="680"/>
      <w:outlineLvl w:val="2"/>
    </w:pPr>
    <w:rPr>
      <w:b/>
    </w:rPr>
  </w:style>
  <w:style w:type="paragraph" w:styleId="Heading4">
    <w:name w:val="heading 4"/>
    <w:basedOn w:val="Heading3"/>
    <w:next w:val="Normalnumber"/>
    <w:qFormat/>
    <w:rsid w:val="000D6941"/>
    <w:pPr>
      <w:keepNext/>
      <w:outlineLvl w:val="3"/>
    </w:pPr>
  </w:style>
  <w:style w:type="paragraph" w:styleId="Heading5">
    <w:name w:val="heading 5"/>
    <w:basedOn w:val="Normal"/>
    <w:next w:val="Normal"/>
    <w:qFormat/>
    <w:rsid w:val="000D6941"/>
    <w:pPr>
      <w:keepNext/>
      <w:outlineLvl w:val="4"/>
    </w:pPr>
    <w:rPr>
      <w:rFonts w:ascii="Univers" w:hAnsi="Univers"/>
      <w:b/>
      <w:sz w:val="24"/>
    </w:rPr>
  </w:style>
  <w:style w:type="paragraph" w:styleId="Heading6">
    <w:name w:val="heading 6"/>
    <w:basedOn w:val="Normal"/>
    <w:next w:val="Normal"/>
    <w:qFormat/>
    <w:rsid w:val="000D6941"/>
    <w:pPr>
      <w:keepNext/>
      <w:ind w:left="578"/>
      <w:outlineLvl w:val="5"/>
    </w:pPr>
    <w:rPr>
      <w:b/>
      <w:bCs/>
      <w:sz w:val="24"/>
    </w:rPr>
  </w:style>
  <w:style w:type="paragraph" w:styleId="Heading7">
    <w:name w:val="heading 7"/>
    <w:basedOn w:val="Normal"/>
    <w:next w:val="Normal"/>
    <w:qFormat/>
    <w:rsid w:val="000D6941"/>
    <w:pPr>
      <w:keepNext/>
      <w:widowControl w:val="0"/>
      <w:jc w:val="center"/>
      <w:outlineLvl w:val="6"/>
    </w:pPr>
    <w:rPr>
      <w:snapToGrid w:val="0"/>
      <w:u w:val="single"/>
      <w:lang w:val="en-US"/>
    </w:rPr>
  </w:style>
  <w:style w:type="paragraph" w:styleId="Heading8">
    <w:name w:val="heading 8"/>
    <w:basedOn w:val="Normal"/>
    <w:next w:val="Normal"/>
    <w:qFormat/>
    <w:rsid w:val="000D6941"/>
    <w:pPr>
      <w:keepNext/>
      <w:widowControl w:val="0"/>
      <w:numPr>
        <w:numId w:val="2"/>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qFormat/>
    <w:rsid w:val="000D6941"/>
    <w:pPr>
      <w:keepNext/>
      <w:widowControl w:val="0"/>
      <w:numPr>
        <w:numId w:val="3"/>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tabs>
        <w:tab w:val="clear" w:pos="1814"/>
        <w:tab w:val="clear" w:pos="2381"/>
        <w:tab w:val="clear" w:pos="2948"/>
        <w:tab w:val="clear" w:pos="3515"/>
      </w:tabs>
      <w:ind w:left="1000"/>
    </w:pPr>
    <w:rPr>
      <w:sz w:val="18"/>
      <w:szCs w:val="18"/>
    </w:rPr>
  </w:style>
  <w:style w:type="paragraph" w:styleId="TOC7">
    <w:name w:val="toc 7"/>
    <w:basedOn w:val="Normal"/>
    <w:next w:val="Normal"/>
    <w:autoRedefine/>
    <w:semiHidden/>
    <w:rsid w:val="000D6941"/>
    <w:pPr>
      <w:tabs>
        <w:tab w:val="clear" w:pos="1814"/>
        <w:tab w:val="clear" w:pos="2381"/>
        <w:tab w:val="clear" w:pos="2948"/>
        <w:tab w:val="clear" w:pos="3515"/>
      </w:tabs>
      <w:ind w:left="1200"/>
    </w:pPr>
    <w:rPr>
      <w:sz w:val="18"/>
      <w:szCs w:val="18"/>
    </w:rPr>
  </w:style>
  <w:style w:type="paragraph" w:styleId="TOC8">
    <w:name w:val="toc 8"/>
    <w:basedOn w:val="Normal"/>
    <w:next w:val="Normal"/>
    <w:autoRedefine/>
    <w:semiHidden/>
    <w:rsid w:val="000D6941"/>
    <w:pPr>
      <w:tabs>
        <w:tab w:val="clear" w:pos="1814"/>
        <w:tab w:val="clear" w:pos="2381"/>
        <w:tab w:val="clear" w:pos="2948"/>
        <w:tab w:val="clear" w:pos="3515"/>
      </w:tabs>
      <w:ind w:left="1400"/>
    </w:pPr>
    <w:rPr>
      <w:sz w:val="18"/>
      <w:szCs w:val="18"/>
    </w:rPr>
  </w:style>
  <w:style w:type="paragraph" w:styleId="TOC9">
    <w:name w:val="toc 9"/>
    <w:basedOn w:val="Normal"/>
    <w:next w:val="Normal"/>
    <w:autoRedefine/>
    <w:semiHidden/>
    <w:rsid w:val="000D6941"/>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tabs>
        <w:tab w:val="clear" w:pos="1814"/>
        <w:tab w:val="clear" w:pos="2381"/>
        <w:tab w:val="clear" w:pos="2948"/>
        <w:tab w:val="clear" w:pos="3515"/>
      </w:tabs>
      <w:ind w:left="1814" w:hanging="567"/>
    </w:pPr>
  </w:style>
  <w:style w:type="paragraph" w:customStyle="1" w:styleId="CH1">
    <w:name w:val="CH1"/>
    <w:basedOn w:val="Normalpool"/>
    <w:next w:val="CH2"/>
    <w:rsid w:val="00160D74"/>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link w:val="CH2Char"/>
    <w:rsid w:val="00160D74"/>
    <w:pPr>
      <w:keepNext/>
      <w:keepLines/>
      <w:tabs>
        <w:tab w:val="right" w:pos="851"/>
      </w:tabs>
      <w:suppressAutoHyphens/>
      <w:spacing w:before="80" w:after="120"/>
      <w:ind w:left="1247" w:right="284" w:hanging="1247"/>
    </w:pPr>
    <w:rPr>
      <w:b/>
      <w:sz w:val="24"/>
      <w:szCs w:val="24"/>
      <w:lang w:val="en-GB"/>
    </w:rPr>
  </w:style>
  <w:style w:type="paragraph" w:customStyle="1" w:styleId="CH3">
    <w:name w:val="CH3"/>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CH4">
    <w:name w:val="CH4"/>
    <w:basedOn w:val="Normalpool"/>
    <w:next w:val="Normalnumber"/>
    <w:rsid w:val="00160D74"/>
    <w:pPr>
      <w:keepNext/>
      <w:keepLines/>
      <w:tabs>
        <w:tab w:val="right" w:pos="851"/>
      </w:tabs>
      <w:suppressAutoHyphens/>
      <w:spacing w:after="120"/>
      <w:ind w:left="1247" w:right="284" w:hanging="1247"/>
    </w:pPr>
    <w:rPr>
      <w:b/>
      <w:lang w:val="en-GB"/>
    </w:rPr>
  </w:style>
  <w:style w:type="table" w:customStyle="1" w:styleId="Footertable">
    <w:name w:val="Footer_table"/>
    <w:basedOn w:val="TableNormal"/>
    <w:semiHidden/>
    <w:rsid w:val="003A77F1"/>
    <w:rPr>
      <w:rFonts w:ascii="Arial" w:hAnsi="Arial"/>
      <w:sz w:val="16"/>
    </w:rPr>
    <w:tblPr>
      <w:jc w:val="right"/>
      <w:tblInd w:w="0" w:type="dxa"/>
      <w:tblBorders>
        <w:top w:val="double" w:sz="4" w:space="0" w:color="auto"/>
        <w:left w:val="double" w:sz="4" w:space="0" w:color="auto"/>
        <w:bottom w:val="double" w:sz="4" w:space="0" w:color="auto"/>
        <w:right w:val="double" w:sz="4" w:space="0" w:color="auto"/>
      </w:tblBorders>
      <w:tblCellMar>
        <w:top w:w="0" w:type="dxa"/>
        <w:left w:w="108" w:type="dxa"/>
        <w:bottom w:w="0" w:type="dxa"/>
        <w:right w:w="108" w:type="dxa"/>
      </w:tblCellMar>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uiPriority w:val="99"/>
    <w:rsid w:val="00160D74"/>
    <w:pPr>
      <w:tabs>
        <w:tab w:val="left" w:pos="1247"/>
        <w:tab w:val="left" w:pos="1814"/>
        <w:tab w:val="left" w:pos="2381"/>
        <w:tab w:val="left" w:pos="2948"/>
        <w:tab w:val="left" w:pos="3515"/>
        <w:tab w:val="left" w:pos="4082"/>
      </w:tabs>
    </w:pPr>
    <w:rPr>
      <w:lang w:val="en-GB"/>
    </w:rPr>
  </w:style>
  <w:style w:type="character" w:styleId="FootnoteReference">
    <w:name w:val="footnote reference"/>
    <w:aliases w:val="16 Point,Superscript 6 Point,ftref,(Ref. de nota al pie),number,SUPERS,Footnote Reference Superscript,Footnote Reference1,Ref,de nota al pie,註腳內容,de nota al pie + (Asian) MS Mincho,11 pt,Ref. de nota de rodapé1"/>
    <w:basedOn w:val="DefaultParagraphFont"/>
    <w:uiPriority w:val="99"/>
    <w:rsid w:val="000D6941"/>
    <w:rPr>
      <w:rFonts w:ascii="Times New Roman" w:hAnsi="Times New Roman"/>
      <w:color w:val="auto"/>
      <w:sz w:val="20"/>
      <w:szCs w:val="18"/>
      <w:vertAlign w:val="superscript"/>
    </w:rPr>
  </w:style>
  <w:style w:type="paragraph" w:styleId="FootnoteText">
    <w:name w:val="footnote text"/>
    <w:aliases w:val="Geneva 9,Font: Geneva 9,Boston 10,93,single space,Footnote Text Rail EIS,ft,Char,footnote3,Footnotes,Footnote ak,fn cafc,Footnotes Char Char,Footnote Text Char Char,fn Char Char,footnote text,footnote text Char Char Char Ch,DNV-FT,f,fn"/>
    <w:basedOn w:val="Normalpool"/>
    <w:link w:val="FootnoteTextChar"/>
    <w:rsid w:val="000D6941"/>
    <w:pPr>
      <w:spacing w:before="20" w:after="40"/>
      <w:ind w:left="1247"/>
    </w:pPr>
    <w:rPr>
      <w:sz w:val="18"/>
    </w:rPr>
  </w:style>
  <w:style w:type="numbering" w:customStyle="1" w:styleId="NoList1">
    <w:name w:val="No List1"/>
    <w:next w:val="NoList"/>
    <w:uiPriority w:val="99"/>
    <w:semiHidden/>
    <w:unhideWhenUsed/>
    <w:rsid w:val="006B2718"/>
  </w:style>
  <w:style w:type="paragraph" w:styleId="Title">
    <w:name w:val="Title"/>
    <w:basedOn w:val="Normal"/>
    <w:link w:val="TitleChar"/>
    <w:autoRedefine/>
    <w:qFormat/>
    <w:rsid w:val="006B2718"/>
    <w:pPr>
      <w:tabs>
        <w:tab w:val="clear" w:pos="1247"/>
        <w:tab w:val="clear" w:pos="1814"/>
        <w:tab w:val="clear" w:pos="2381"/>
        <w:tab w:val="clear" w:pos="2948"/>
        <w:tab w:val="clear" w:pos="3515"/>
      </w:tabs>
      <w:spacing w:before="360" w:after="240"/>
      <w:ind w:left="1247" w:right="567"/>
      <w:outlineLvl w:val="0"/>
    </w:pPr>
    <w:rPr>
      <w:rFonts w:cs="Arial"/>
      <w:b/>
      <w:bCs/>
      <w:kern w:val="28"/>
      <w:sz w:val="28"/>
      <w:szCs w:val="28"/>
      <w:lang w:val="en-US"/>
    </w:rPr>
  </w:style>
  <w:style w:type="character" w:customStyle="1" w:styleId="TitleChar">
    <w:name w:val="Title Char"/>
    <w:basedOn w:val="DefaultParagraphFont"/>
    <w:link w:val="Title"/>
    <w:rsid w:val="006B2718"/>
    <w:rPr>
      <w:rFonts w:cs="Arial"/>
      <w:b/>
      <w:bCs/>
      <w:kern w:val="28"/>
      <w:sz w:val="28"/>
      <w:szCs w:val="28"/>
    </w:rPr>
  </w:style>
  <w:style w:type="paragraph" w:customStyle="1" w:styleId="main">
    <w:name w:val="main"/>
    <w:basedOn w:val="Normal"/>
    <w:autoRedefine/>
    <w:rsid w:val="006B2718"/>
    <w:pPr>
      <w:tabs>
        <w:tab w:val="clear" w:pos="1247"/>
        <w:tab w:val="clear" w:pos="1814"/>
        <w:tab w:val="clear" w:pos="2381"/>
        <w:tab w:val="clear" w:pos="2948"/>
        <w:tab w:val="clear" w:pos="3515"/>
      </w:tabs>
      <w:spacing w:after="120"/>
      <w:ind w:left="2495" w:hanging="624"/>
    </w:pPr>
    <w:rPr>
      <w:szCs w:val="22"/>
      <w:lang w:val="en-US"/>
    </w:rPr>
  </w:style>
  <w:style w:type="character" w:customStyle="1" w:styleId="FootnoteTextChar">
    <w:name w:val="Footnote Text Char"/>
    <w:aliases w:val="Geneva 9 Char,Font: Geneva 9 Char,Boston 10 Char,93 Char,single space Char,Footnote Text Rail EIS Char,ft Char,Char Char,footnote3 Char,Footnotes Char,Footnote ak Char,fn cafc Char,Footnotes Char Char Char,Footnote Text Char Char Char"/>
    <w:link w:val="FootnoteText"/>
    <w:rsid w:val="006B2718"/>
    <w:rPr>
      <w:sz w:val="18"/>
      <w:lang w:val="fr-FR"/>
    </w:rPr>
  </w:style>
  <w:style w:type="paragraph" w:styleId="Caption">
    <w:name w:val="caption"/>
    <w:basedOn w:val="Normal"/>
    <w:next w:val="Normal"/>
    <w:qFormat/>
    <w:rsid w:val="006B2718"/>
    <w:pPr>
      <w:widowControl w:val="0"/>
      <w:tabs>
        <w:tab w:val="clear" w:pos="1247"/>
        <w:tab w:val="clear" w:pos="1814"/>
        <w:tab w:val="clear" w:pos="2381"/>
        <w:tab w:val="clear" w:pos="2948"/>
        <w:tab w:val="clear" w:pos="3515"/>
      </w:tabs>
    </w:pPr>
    <w:rPr>
      <w:snapToGrid w:val="0"/>
      <w:sz w:val="24"/>
      <w:lang w:val="en-GB"/>
    </w:rPr>
  </w:style>
  <w:style w:type="paragraph" w:styleId="BalloonText">
    <w:name w:val="Balloon Text"/>
    <w:basedOn w:val="Normal"/>
    <w:link w:val="BalloonTextChar"/>
    <w:rsid w:val="006B2718"/>
    <w:pPr>
      <w:tabs>
        <w:tab w:val="clear" w:pos="1247"/>
        <w:tab w:val="clear" w:pos="1814"/>
        <w:tab w:val="clear" w:pos="2381"/>
        <w:tab w:val="clear" w:pos="2948"/>
        <w:tab w:val="clear" w:pos="3515"/>
      </w:tabs>
    </w:pPr>
    <w:rPr>
      <w:rFonts w:ascii="Tahoma" w:hAnsi="Tahoma" w:cs="Tahoma"/>
      <w:sz w:val="16"/>
      <w:szCs w:val="16"/>
      <w:lang w:val="en-GB"/>
    </w:rPr>
  </w:style>
  <w:style w:type="character" w:customStyle="1" w:styleId="BalloonTextChar">
    <w:name w:val="Balloon Text Char"/>
    <w:basedOn w:val="DefaultParagraphFont"/>
    <w:link w:val="BalloonText"/>
    <w:rsid w:val="006B2718"/>
    <w:rPr>
      <w:rFonts w:ascii="Tahoma" w:hAnsi="Tahoma" w:cs="Tahoma"/>
      <w:sz w:val="16"/>
      <w:szCs w:val="16"/>
      <w:lang w:val="en-GB"/>
    </w:rPr>
  </w:style>
  <w:style w:type="paragraph" w:customStyle="1" w:styleId="Paralevel1">
    <w:name w:val="Para level1"/>
    <w:basedOn w:val="Normal"/>
    <w:autoRedefine/>
    <w:rsid w:val="006B2718"/>
    <w:pPr>
      <w:numPr>
        <w:numId w:val="4"/>
      </w:numPr>
      <w:tabs>
        <w:tab w:val="clear" w:pos="1247"/>
        <w:tab w:val="clear" w:pos="1814"/>
        <w:tab w:val="clear" w:pos="2381"/>
        <w:tab w:val="clear" w:pos="2948"/>
        <w:tab w:val="clear" w:pos="3515"/>
      </w:tabs>
      <w:suppressAutoHyphens/>
      <w:spacing w:after="120"/>
    </w:pPr>
    <w:rPr>
      <w:lang w:val="en-GB"/>
    </w:rPr>
  </w:style>
  <w:style w:type="character" w:styleId="CommentReference">
    <w:name w:val="annotation reference"/>
    <w:rsid w:val="006B2718"/>
    <w:rPr>
      <w:sz w:val="18"/>
    </w:rPr>
  </w:style>
  <w:style w:type="paragraph" w:styleId="CommentText">
    <w:name w:val="annotation text"/>
    <w:basedOn w:val="Normal"/>
    <w:link w:val="CommentTextChar"/>
    <w:rsid w:val="006B2718"/>
    <w:pPr>
      <w:tabs>
        <w:tab w:val="clear" w:pos="1247"/>
        <w:tab w:val="clear" w:pos="1814"/>
        <w:tab w:val="clear" w:pos="2381"/>
        <w:tab w:val="clear" w:pos="2948"/>
        <w:tab w:val="clear" w:pos="3515"/>
      </w:tabs>
    </w:pPr>
    <w:rPr>
      <w:sz w:val="24"/>
      <w:szCs w:val="24"/>
      <w:lang w:val="en-GB"/>
    </w:rPr>
  </w:style>
  <w:style w:type="character" w:customStyle="1" w:styleId="CommentTextChar">
    <w:name w:val="Comment Text Char"/>
    <w:basedOn w:val="DefaultParagraphFont"/>
    <w:link w:val="CommentText"/>
    <w:rsid w:val="006B2718"/>
    <w:rPr>
      <w:sz w:val="24"/>
      <w:szCs w:val="24"/>
      <w:lang w:val="en-GB"/>
    </w:rPr>
  </w:style>
  <w:style w:type="paragraph" w:styleId="CommentSubject">
    <w:name w:val="annotation subject"/>
    <w:basedOn w:val="CommentText"/>
    <w:next w:val="CommentText"/>
    <w:link w:val="CommentSubjectChar"/>
    <w:rsid w:val="006B2718"/>
    <w:rPr>
      <w:sz w:val="22"/>
      <w:szCs w:val="20"/>
    </w:rPr>
  </w:style>
  <w:style w:type="character" w:customStyle="1" w:styleId="CommentSubjectChar">
    <w:name w:val="Comment Subject Char"/>
    <w:basedOn w:val="CommentTextChar"/>
    <w:link w:val="CommentSubject"/>
    <w:rsid w:val="006B2718"/>
    <w:rPr>
      <w:sz w:val="22"/>
      <w:szCs w:val="24"/>
      <w:lang w:val="en-GB"/>
    </w:rPr>
  </w:style>
  <w:style w:type="paragraph" w:customStyle="1" w:styleId="Subtitle">
    <w:name w:val="Sub title"/>
    <w:basedOn w:val="Heading2"/>
    <w:rsid w:val="006B2718"/>
    <w:pPr>
      <w:tabs>
        <w:tab w:val="clear" w:pos="1247"/>
        <w:tab w:val="clear" w:pos="1814"/>
        <w:tab w:val="clear" w:pos="2381"/>
        <w:tab w:val="clear" w:pos="2948"/>
        <w:tab w:val="clear" w:pos="3515"/>
      </w:tabs>
      <w:spacing w:before="0" w:after="240"/>
      <w:ind w:firstLine="0"/>
    </w:pPr>
    <w:rPr>
      <w:lang w:val="en-GB"/>
    </w:rPr>
  </w:style>
  <w:style w:type="numbering" w:customStyle="1" w:styleId="Normallist1">
    <w:name w:val="Normal_list1"/>
    <w:basedOn w:val="NoList"/>
    <w:rsid w:val="006B2718"/>
  </w:style>
  <w:style w:type="character" w:customStyle="1" w:styleId="FooterChar">
    <w:name w:val="Footer Char"/>
    <w:link w:val="Footer"/>
    <w:uiPriority w:val="99"/>
    <w:rsid w:val="006B2718"/>
    <w:rPr>
      <w:sz w:val="18"/>
      <w:lang w:val="fr-FR"/>
    </w:rPr>
  </w:style>
  <w:style w:type="character" w:customStyle="1" w:styleId="NormalnumberChar">
    <w:name w:val="Normal_number Char"/>
    <w:link w:val="Normalnumber"/>
    <w:locked/>
    <w:rsid w:val="00556F3A"/>
    <w:rPr>
      <w:lang w:val="en-GB"/>
    </w:rPr>
  </w:style>
  <w:style w:type="character" w:customStyle="1" w:styleId="Normal-poolChar">
    <w:name w:val="Normal-pool Char"/>
    <w:link w:val="Normal-pool"/>
    <w:uiPriority w:val="99"/>
    <w:rsid w:val="006B2718"/>
    <w:rPr>
      <w:lang w:val="en-GB"/>
    </w:rPr>
  </w:style>
  <w:style w:type="character" w:customStyle="1" w:styleId="NormalNonumberChar">
    <w:name w:val="Normal_No_number Char"/>
    <w:link w:val="NormalNonumber"/>
    <w:uiPriority w:val="99"/>
    <w:locked/>
    <w:rsid w:val="006B2718"/>
    <w:rPr>
      <w:lang w:val="en-GB"/>
    </w:rPr>
  </w:style>
  <w:style w:type="character" w:customStyle="1" w:styleId="FootnoteTextChar2">
    <w:name w:val="Footnote Text Char2"/>
    <w:aliases w:val="Geneva 9 Char2,Font: Geneva 9 Char2,Boston 10 Char2,93 Char1,single space Char1,Footnote Text Rail EIS Char1,ft Char1,Char Char1,footnote3 Char1,Footnotes Char1,Footnote ak Char1,fn cafc Char1,Footnotes Char Char Char1"/>
    <w:locked/>
    <w:rsid w:val="006B2718"/>
    <w:rPr>
      <w:sz w:val="18"/>
      <w:lang w:val="fr-FR"/>
    </w:rPr>
  </w:style>
  <w:style w:type="paragraph" w:customStyle="1" w:styleId="ColorfulShading-Accent31">
    <w:name w:val="Colorful Shading - Accent 31"/>
    <w:basedOn w:val="Normal"/>
    <w:uiPriority w:val="34"/>
    <w:qFormat/>
    <w:rsid w:val="006B2718"/>
    <w:pPr>
      <w:tabs>
        <w:tab w:val="clear" w:pos="1247"/>
        <w:tab w:val="clear" w:pos="1814"/>
        <w:tab w:val="clear" w:pos="2381"/>
        <w:tab w:val="clear" w:pos="2948"/>
        <w:tab w:val="clear" w:pos="3515"/>
      </w:tabs>
      <w:ind w:left="708"/>
    </w:pPr>
    <w:rPr>
      <w:sz w:val="22"/>
      <w:lang w:val="en-GB"/>
    </w:rPr>
  </w:style>
  <w:style w:type="paragraph" w:customStyle="1" w:styleId="LightGrid-Accent31">
    <w:name w:val="Light Grid - Accent 31"/>
    <w:basedOn w:val="Normal"/>
    <w:uiPriority w:val="99"/>
    <w:rsid w:val="006B2718"/>
    <w:pPr>
      <w:tabs>
        <w:tab w:val="clear" w:pos="1247"/>
        <w:tab w:val="clear" w:pos="1814"/>
        <w:tab w:val="clear" w:pos="2381"/>
        <w:tab w:val="clear" w:pos="2948"/>
        <w:tab w:val="clear" w:pos="3515"/>
      </w:tabs>
      <w:ind w:left="720"/>
    </w:pPr>
    <w:rPr>
      <w:sz w:val="22"/>
      <w:szCs w:val="22"/>
      <w:lang w:val="en-GB"/>
    </w:rPr>
  </w:style>
  <w:style w:type="paragraph" w:customStyle="1" w:styleId="Level1">
    <w:name w:val="Level1"/>
    <w:basedOn w:val="Normal"/>
    <w:uiPriority w:val="99"/>
    <w:rsid w:val="006B2718"/>
    <w:pPr>
      <w:numPr>
        <w:numId w:val="5"/>
      </w:numPr>
      <w:tabs>
        <w:tab w:val="clear" w:pos="1247"/>
        <w:tab w:val="clear" w:pos="1814"/>
        <w:tab w:val="clear" w:pos="2381"/>
        <w:tab w:val="clear" w:pos="2948"/>
        <w:tab w:val="clear" w:pos="3515"/>
        <w:tab w:val="left" w:pos="1157"/>
      </w:tabs>
      <w:suppressAutoHyphens/>
      <w:spacing w:after="240"/>
    </w:pPr>
    <w:rPr>
      <w:rFonts w:eastAsia="MS Mincho"/>
      <w:lang w:val="en-GB"/>
    </w:rPr>
  </w:style>
  <w:style w:type="paragraph" w:customStyle="1" w:styleId="DarkList-Accent31">
    <w:name w:val="Dark List - Accent 31"/>
    <w:hidden/>
    <w:uiPriority w:val="99"/>
    <w:semiHidden/>
    <w:rsid w:val="006B2718"/>
    <w:rPr>
      <w:sz w:val="22"/>
      <w:lang w:val="en-GB"/>
    </w:rPr>
  </w:style>
  <w:style w:type="table" w:styleId="TableGrid">
    <w:name w:val="Table Grid"/>
    <w:basedOn w:val="TableNormal"/>
    <w:rsid w:val="006B2718"/>
    <w:rPr>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2Char">
    <w:name w:val="CH2 Char"/>
    <w:link w:val="CH2"/>
    <w:rsid w:val="006B2718"/>
    <w:rPr>
      <w:b/>
      <w:sz w:val="24"/>
      <w:szCs w:val="24"/>
      <w:lang w:val="en-GB"/>
    </w:rPr>
  </w:style>
  <w:style w:type="paragraph" w:customStyle="1" w:styleId="NoSpacing1">
    <w:name w:val="No Spacing1"/>
    <w:next w:val="NoSpacing"/>
    <w:uiPriority w:val="1"/>
    <w:qFormat/>
    <w:rsid w:val="006B2718"/>
    <w:rPr>
      <w:rFonts w:ascii="Calibri" w:eastAsia="Calibri" w:hAnsi="Calibri"/>
      <w:sz w:val="22"/>
      <w:szCs w:val="22"/>
    </w:rPr>
  </w:style>
  <w:style w:type="paragraph" w:customStyle="1" w:styleId="ListParagraph1">
    <w:name w:val="List Paragraph1"/>
    <w:basedOn w:val="Normal"/>
    <w:next w:val="ListParagraph"/>
    <w:uiPriority w:val="34"/>
    <w:qFormat/>
    <w:rsid w:val="006B2718"/>
    <w:pPr>
      <w:tabs>
        <w:tab w:val="clear" w:pos="1247"/>
        <w:tab w:val="clear" w:pos="1814"/>
        <w:tab w:val="clear" w:pos="2381"/>
        <w:tab w:val="clear" w:pos="2948"/>
        <w:tab w:val="clear" w:pos="3515"/>
      </w:tabs>
      <w:spacing w:after="200" w:line="276" w:lineRule="auto"/>
      <w:ind w:left="720"/>
      <w:contextualSpacing/>
    </w:pPr>
    <w:rPr>
      <w:rFonts w:ascii="Calibri" w:eastAsia="Calibri" w:hAnsi="Calibri"/>
      <w:sz w:val="22"/>
      <w:szCs w:val="22"/>
      <w:lang w:val="en-US"/>
    </w:rPr>
  </w:style>
  <w:style w:type="paragraph" w:customStyle="1" w:styleId="Default">
    <w:name w:val="Default"/>
    <w:rsid w:val="006B2718"/>
    <w:pPr>
      <w:autoSpaceDE w:val="0"/>
      <w:autoSpaceDN w:val="0"/>
      <w:adjustRightInd w:val="0"/>
    </w:pPr>
    <w:rPr>
      <w:rFonts w:ascii="Arial" w:hAnsi="Arial" w:cs="Arial"/>
      <w:color w:val="000000"/>
      <w:sz w:val="24"/>
      <w:szCs w:val="24"/>
      <w:lang w:val="en-GB" w:eastAsia="en-GB"/>
    </w:rPr>
  </w:style>
  <w:style w:type="paragraph" w:styleId="Revision">
    <w:name w:val="Revision"/>
    <w:hidden/>
    <w:uiPriority w:val="99"/>
    <w:semiHidden/>
    <w:rsid w:val="006B2718"/>
    <w:rPr>
      <w:sz w:val="22"/>
      <w:lang w:val="en-GB"/>
    </w:rPr>
  </w:style>
  <w:style w:type="paragraph" w:customStyle="1" w:styleId="PlainText1">
    <w:name w:val="Plain Text1"/>
    <w:basedOn w:val="Normal"/>
    <w:next w:val="PlainText"/>
    <w:link w:val="PlainTextChar"/>
    <w:uiPriority w:val="99"/>
    <w:unhideWhenUsed/>
    <w:rsid w:val="006B2718"/>
    <w:pPr>
      <w:tabs>
        <w:tab w:val="clear" w:pos="1247"/>
        <w:tab w:val="clear" w:pos="1814"/>
        <w:tab w:val="clear" w:pos="2381"/>
        <w:tab w:val="clear" w:pos="2948"/>
        <w:tab w:val="clear" w:pos="3515"/>
      </w:tabs>
    </w:pPr>
    <w:rPr>
      <w:rFonts w:ascii="Consolas" w:hAnsi="Consolas" w:cs="Consolas"/>
      <w:sz w:val="21"/>
      <w:szCs w:val="21"/>
      <w:lang w:val="en-US"/>
    </w:rPr>
  </w:style>
  <w:style w:type="character" w:customStyle="1" w:styleId="PlainTextChar">
    <w:name w:val="Plain Text Char"/>
    <w:link w:val="PlainText1"/>
    <w:uiPriority w:val="99"/>
    <w:rsid w:val="006B2718"/>
    <w:rPr>
      <w:rFonts w:ascii="Consolas" w:eastAsia="Times New Roman" w:hAnsi="Consolas" w:cs="Consolas"/>
      <w:sz w:val="21"/>
      <w:szCs w:val="21"/>
    </w:rPr>
  </w:style>
  <w:style w:type="paragraph" w:styleId="NoSpacing">
    <w:name w:val="No Spacing"/>
    <w:uiPriority w:val="1"/>
    <w:qFormat/>
    <w:rsid w:val="006B2718"/>
    <w:pPr>
      <w:tabs>
        <w:tab w:val="left" w:pos="1247"/>
        <w:tab w:val="left" w:pos="1814"/>
        <w:tab w:val="left" w:pos="2381"/>
        <w:tab w:val="left" w:pos="2948"/>
        <w:tab w:val="left" w:pos="3515"/>
      </w:tabs>
    </w:pPr>
    <w:rPr>
      <w:lang w:val="fr-FR"/>
    </w:rPr>
  </w:style>
  <w:style w:type="paragraph" w:styleId="ListParagraph">
    <w:name w:val="List Paragraph"/>
    <w:basedOn w:val="Normal"/>
    <w:uiPriority w:val="34"/>
    <w:qFormat/>
    <w:rsid w:val="006B2718"/>
    <w:pPr>
      <w:ind w:left="720"/>
    </w:pPr>
  </w:style>
  <w:style w:type="paragraph" w:styleId="PlainText">
    <w:name w:val="Plain Text"/>
    <w:basedOn w:val="Normal"/>
    <w:link w:val="PlainTextChar1"/>
    <w:rsid w:val="006B2718"/>
    <w:rPr>
      <w:rFonts w:ascii="Courier New" w:hAnsi="Courier New" w:cs="Courier New"/>
    </w:rPr>
  </w:style>
  <w:style w:type="character" w:customStyle="1" w:styleId="PlainTextChar1">
    <w:name w:val="Plain Text Char1"/>
    <w:basedOn w:val="DefaultParagraphFont"/>
    <w:link w:val="PlainText"/>
    <w:rsid w:val="006B2718"/>
    <w:rPr>
      <w:rFonts w:ascii="Courier New" w:hAnsi="Courier New" w:cs="Courier New"/>
      <w:lang w:val="fr-FR"/>
    </w:rPr>
  </w:style>
  <w:style w:type="table" w:customStyle="1" w:styleId="AATable">
    <w:name w:val="AA_Table"/>
    <w:basedOn w:val="TableNormal"/>
    <w:semiHidden/>
    <w:rsid w:val="003A77F1"/>
    <w:tblPr>
      <w:tblStyleRowBandSize w:val="1"/>
      <w:tblStyleColBandSize w:val="1"/>
      <w:jc w:val="right"/>
      <w:tblInd w:w="0" w:type="dxa"/>
      <w:tblCellMar>
        <w:top w:w="0" w:type="dxa"/>
        <w:left w:w="108" w:type="dxa"/>
        <w:bottom w:w="0" w:type="dxa"/>
        <w:right w:w="108" w:type="dxa"/>
      </w:tblCellMar>
    </w:tblPr>
    <w:trPr>
      <w:jc w:val="right"/>
    </w:trPr>
    <w:tblStylePr w:type="firstRow">
      <w:pPr>
        <w:wordWrap/>
        <w:spacing w:beforeLines="0" w:beforeAutospacing="0" w:afterLines="0" w:afterAutospacing="0"/>
        <w:contextualSpacing w:val="0"/>
        <w:jc w:val="left"/>
      </w:pPr>
      <w:rPr>
        <w:rFonts w:ascii="Arial" w:hAnsi="Arial"/>
        <w:b/>
        <w:i w:val="0"/>
        <w:caps/>
        <w:smallCaps w:val="0"/>
        <w:color w:val="auto"/>
        <w:sz w:val="27"/>
        <w:szCs w:val="27"/>
      </w:rPr>
    </w:tblStylePr>
    <w:tblStylePr w:type="lastRow">
      <w:pPr>
        <w:wordWrap/>
        <w:spacing w:afterLines="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Autospacing="0" w:afterLines="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Autospacing="0" w:afterLines="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Autospacing="0" w:afterLines="0" w:afterAutospacing="0"/>
        <w:ind w:leftChars="0" w:left="0" w:rightChars="0" w:right="0"/>
        <w:contextualSpacing w:val="0"/>
      </w:pPr>
      <w:rPr>
        <w:rFonts w:ascii="Times New Roman" w:hAnsi="Times New Roman"/>
        <w:b w:val="0"/>
        <w:sz w:val="20"/>
      </w:rPr>
    </w:tblStylePr>
    <w:tblStylePr w:type="swCell">
      <w:pPr>
        <w:wordWrap/>
        <w:spacing w:afterLines="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basedOn w:val="AATitle"/>
    <w:rsid w:val="00160D74"/>
    <w:pPr>
      <w:tabs>
        <w:tab w:val="clear" w:pos="4082"/>
      </w:tabs>
      <w:spacing w:before="120" w:after="120"/>
      <w:ind w:right="4536"/>
    </w:pPr>
  </w:style>
  <w:style w:type="paragraph" w:customStyle="1" w:styleId="BBTitle">
    <w:name w:val="BB_Title"/>
    <w:basedOn w:val="Normalpool"/>
    <w:rsid w:val="00160D74"/>
    <w:pPr>
      <w:keepNext/>
      <w:keepLines/>
      <w:suppressAutoHyphens/>
      <w:spacing w:before="320" w:after="240"/>
      <w:ind w:left="1247" w:right="567"/>
    </w:pPr>
    <w:rPr>
      <w:b/>
      <w:sz w:val="28"/>
      <w:szCs w:val="28"/>
      <w:lang w:val="en-GB"/>
    </w:rPr>
  </w:style>
  <w:style w:type="paragraph" w:styleId="Footer">
    <w:name w:val="footer"/>
    <w:basedOn w:val="Normal"/>
    <w:link w:val="FooterChar"/>
    <w:uiPriority w:val="99"/>
    <w:rsid w:val="00821395"/>
    <w:pPr>
      <w:tabs>
        <w:tab w:val="center" w:pos="4320"/>
        <w:tab w:val="right" w:pos="8640"/>
      </w:tabs>
      <w:spacing w:before="60" w:after="120"/>
    </w:pPr>
    <w:rPr>
      <w:sz w:val="18"/>
    </w:rPr>
  </w:style>
  <w:style w:type="paragraph" w:styleId="Header">
    <w:name w:val="header"/>
    <w:basedOn w:val="Normal"/>
    <w:rsid w:val="000D694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basedOn w:val="DefaultParagraphFont"/>
    <w:semiHidden/>
    <w:rsid w:val="000D6941"/>
    <w:rPr>
      <w:rFonts w:ascii="Times New Roman" w:hAnsi="Times New Roman"/>
      <w:color w:val="auto"/>
      <w:sz w:val="20"/>
      <w:szCs w:val="20"/>
      <w:u w:val="none"/>
      <w:lang w:val="fr-FR"/>
    </w:rPr>
  </w:style>
  <w:style w:type="numbering" w:customStyle="1" w:styleId="Normallist">
    <w:name w:val="Normal_list"/>
    <w:basedOn w:val="NoList"/>
    <w:rsid w:val="003A77F1"/>
    <w:pPr>
      <w:numPr>
        <w:numId w:val="1"/>
      </w:numPr>
    </w:pPr>
  </w:style>
  <w:style w:type="paragraph" w:customStyle="1" w:styleId="NormalNonumber">
    <w:name w:val="Normal_No_number"/>
    <w:basedOn w:val="Normalpool"/>
    <w:link w:val="NormalNonumberChar"/>
    <w:uiPriority w:val="99"/>
    <w:rsid w:val="00160D74"/>
    <w:pPr>
      <w:spacing w:after="120"/>
      <w:ind w:left="1247"/>
    </w:pPr>
    <w:rPr>
      <w:lang w:val="en-GB"/>
    </w:rPr>
  </w:style>
  <w:style w:type="paragraph" w:customStyle="1" w:styleId="Normalnumber">
    <w:name w:val="Normal_number"/>
    <w:basedOn w:val="Normalpool"/>
    <w:link w:val="NormalnumberChar"/>
    <w:rsid w:val="00556F3A"/>
    <w:pPr>
      <w:numPr>
        <w:numId w:val="7"/>
      </w:numPr>
      <w:tabs>
        <w:tab w:val="clear" w:pos="1247"/>
        <w:tab w:val="clear" w:pos="1814"/>
        <w:tab w:val="clear" w:pos="2381"/>
        <w:tab w:val="clear" w:pos="2948"/>
        <w:tab w:val="clear" w:pos="3515"/>
        <w:tab w:val="clear" w:pos="4082"/>
        <w:tab w:val="left" w:pos="624"/>
      </w:tabs>
      <w:spacing w:after="120"/>
    </w:pPr>
    <w:rPr>
      <w:lang w:val="en-GB"/>
    </w:rPr>
  </w:style>
  <w:style w:type="paragraph" w:customStyle="1" w:styleId="Titletable">
    <w:name w:val="Title_table"/>
    <w:basedOn w:val="Normalpool"/>
    <w:rsid w:val="00160D74"/>
    <w:pPr>
      <w:keepNext/>
      <w:keepLines/>
      <w:suppressAutoHyphens/>
      <w:spacing w:after="60"/>
      <w:ind w:left="1247"/>
    </w:pPr>
    <w:rPr>
      <w:b/>
      <w:bCs/>
      <w:lang w:val="en-GB"/>
    </w:rPr>
  </w:style>
  <w:style w:type="paragraph" w:styleId="TOC1">
    <w:name w:val="toc 1"/>
    <w:basedOn w:val="Normalpool"/>
    <w:next w:val="Normalpool"/>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tabs>
        <w:tab w:val="clear" w:pos="1814"/>
        <w:tab w:val="clear" w:pos="2381"/>
        <w:tab w:val="clear" w:pos="2948"/>
        <w:tab w:val="clear" w:pos="3515"/>
      </w:tabs>
      <w:ind w:left="800"/>
    </w:pPr>
    <w:rPr>
      <w:sz w:val="18"/>
      <w:szCs w:val="18"/>
    </w:rPr>
  </w:style>
  <w:style w:type="paragraph" w:customStyle="1" w:styleId="ZZAnxheader">
    <w:name w:val="ZZ_Anx_header"/>
    <w:basedOn w:val="Normalpool"/>
    <w:rsid w:val="00160D74"/>
    <w:rPr>
      <w:b/>
      <w:bCs/>
      <w:sz w:val="28"/>
      <w:szCs w:val="22"/>
      <w:lang w:val="en-GB"/>
    </w:rPr>
  </w:style>
  <w:style w:type="paragraph" w:customStyle="1" w:styleId="ZZAnxtitle">
    <w:name w:val="ZZ_Anx_title"/>
    <w:basedOn w:val="Normalpool"/>
    <w:uiPriority w:val="99"/>
    <w:rsid w:val="00160D74"/>
    <w:pPr>
      <w:spacing w:before="360" w:after="120"/>
      <w:ind w:left="1247"/>
    </w:pPr>
    <w:rPr>
      <w:b/>
      <w:bCs/>
      <w:sz w:val="28"/>
      <w:szCs w:val="26"/>
      <w:lang w:val="en-GB"/>
    </w:rPr>
  </w:style>
  <w:style w:type="character" w:customStyle="1" w:styleId="tgc">
    <w:name w:val="_tgc"/>
    <w:basedOn w:val="DefaultParagraphFont"/>
    <w:rsid w:val="009077A1"/>
  </w:style>
  <w:style w:type="character" w:customStyle="1" w:styleId="PoWnumber">
    <w:name w:val="PoW number"/>
    <w:basedOn w:val="DefaultParagraphFont"/>
    <w:uiPriority w:val="1"/>
    <w:qFormat/>
    <w:rsid w:val="009D2448"/>
    <w:rPr>
      <w:b/>
      <w:bCs/>
      <w:sz w:val="28"/>
      <w:szCs w:val="28"/>
    </w:rPr>
  </w:style>
  <w:style w:type="character" w:customStyle="1" w:styleId="preferred">
    <w:name w:val="preferred"/>
    <w:basedOn w:val="DefaultParagraphFont"/>
    <w:rsid w:val="003877DF"/>
  </w:style>
  <w:style w:type="table" w:customStyle="1" w:styleId="PlainTable41">
    <w:name w:val="Plain Table 41"/>
    <w:basedOn w:val="TableNormal"/>
    <w:uiPriority w:val="44"/>
    <w:rsid w:val="00D2022F"/>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589199336">
      <w:bodyDiv w:val="1"/>
      <w:marLeft w:val="0"/>
      <w:marRight w:val="0"/>
      <w:marTop w:val="0"/>
      <w:marBottom w:val="0"/>
      <w:divBdr>
        <w:top w:val="none" w:sz="0" w:space="0" w:color="auto"/>
        <w:left w:val="none" w:sz="0" w:space="0" w:color="auto"/>
        <w:bottom w:val="none" w:sz="0" w:space="0" w:color="auto"/>
        <w:right w:val="none" w:sz="0" w:space="0" w:color="auto"/>
      </w:divBdr>
    </w:div>
    <w:div w:id="1024942007">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microsoft.com/office/2007/relationships/stylesWithEffects" Target="stylesWithEffects.xml"/><Relationship Id="rId15" Type="http://schemas.openxmlformats.org/officeDocument/2006/relationships/footer" Target="footer2.xml"/><Relationship Id="rId10" Type="http://schemas.openxmlformats.org/officeDocument/2006/relationships/image" Target="media/image1.wmf"/><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EEA9E6-D4F1-41D8-A7A0-F4815441699C}">
  <ds:schemaRefs>
    <ds:schemaRef ds:uri="http://schemas.openxmlformats.org/officeDocument/2006/bibliography"/>
  </ds:schemaRefs>
</ds:datastoreItem>
</file>

<file path=customXml/itemProps2.xml><?xml version="1.0" encoding="utf-8"?>
<ds:datastoreItem xmlns:ds="http://schemas.openxmlformats.org/officeDocument/2006/customXml" ds:itemID="{34D69A93-3547-4D5F-A2F6-707C8132E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6351FAC1.dotm</Template>
  <TotalTime>2</TotalTime>
  <Pages>14</Pages>
  <Words>7825</Words>
  <Characters>42888</Characters>
  <Application>Microsoft Office Word</Application>
  <DocSecurity>0</DocSecurity>
  <Lines>357</Lines>
  <Paragraphs>101</Paragraphs>
  <ScaleCrop>false</ScaleCrop>
  <HeadingPairs>
    <vt:vector size="2" baseType="variant">
      <vt:variant>
        <vt:lpstr>Title</vt:lpstr>
      </vt:variant>
      <vt:variant>
        <vt:i4>1</vt:i4>
      </vt:variant>
    </vt:vector>
  </HeadingPairs>
  <TitlesOfParts>
    <vt:vector size="1" baseType="lpstr">
      <vt:lpstr/>
    </vt:vector>
  </TitlesOfParts>
  <Company>United Nations Office at Geneva</Company>
  <LinksUpToDate>false</LinksUpToDate>
  <CharactersWithSpaces>50612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ten Have</dc:creator>
  <cp:lastModifiedBy>Jane Mbau</cp:lastModifiedBy>
  <cp:revision>4</cp:revision>
  <cp:lastPrinted>2017-09-08T10:26:00Z</cp:lastPrinted>
  <dcterms:created xsi:type="dcterms:W3CDTF">2017-09-08T10:26:00Z</dcterms:created>
  <dcterms:modified xsi:type="dcterms:W3CDTF">2017-09-08T10:27:00Z</dcterms:modified>
</cp:coreProperties>
</file>