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0"/>
        <w:gridCol w:w="4751"/>
        <w:gridCol w:w="3411"/>
      </w:tblGrid>
      <w:tr w:rsidR="00032E4E" w:rsidRPr="00E81803" w14:paraId="58C38CDE" w14:textId="77777777" w:rsidTr="00E976AB">
        <w:trPr>
          <w:cantSplit/>
          <w:trHeight w:val="850"/>
          <w:jc w:val="right"/>
        </w:trPr>
        <w:tc>
          <w:tcPr>
            <w:tcW w:w="1560" w:type="dxa"/>
          </w:tcPr>
          <w:p w14:paraId="5C319C29" w14:textId="77777777" w:rsidR="00032E4E" w:rsidRPr="00E81803" w:rsidRDefault="00032E4E" w:rsidP="00023DA9">
            <w:pPr>
              <w:rPr>
                <w:rFonts w:ascii="Univers" w:hAnsi="Univers"/>
                <w:b/>
                <w:noProof/>
                <w:sz w:val="27"/>
                <w:szCs w:val="27"/>
              </w:rPr>
            </w:pPr>
            <w:r w:rsidRPr="00E81803">
              <w:rPr>
                <w:rFonts w:ascii="Arial" w:hAnsi="Arial" w:cs="Arial"/>
                <w:b/>
                <w:noProof/>
                <w:sz w:val="27"/>
                <w:szCs w:val="27"/>
              </w:rPr>
              <w:t>UNITED</w:t>
            </w:r>
            <w:r w:rsidRPr="00E81803">
              <w:rPr>
                <w:rFonts w:ascii="Arial" w:hAnsi="Arial" w:cs="Arial"/>
                <w:b/>
                <w:noProof/>
                <w:sz w:val="27"/>
                <w:szCs w:val="27"/>
              </w:rPr>
              <w:br/>
              <w:t>NATIONS</w:t>
            </w:r>
          </w:p>
        </w:tc>
        <w:tc>
          <w:tcPr>
            <w:tcW w:w="4785" w:type="dxa"/>
          </w:tcPr>
          <w:p w14:paraId="7640C5EE" w14:textId="77777777" w:rsidR="00032E4E" w:rsidRPr="00E81803" w:rsidRDefault="00032E4E" w:rsidP="00023DA9">
            <w:pPr>
              <w:rPr>
                <w:rFonts w:ascii="Univers" w:hAnsi="Univers"/>
                <w:b/>
                <w:sz w:val="27"/>
                <w:szCs w:val="27"/>
              </w:rPr>
            </w:pPr>
          </w:p>
        </w:tc>
        <w:tc>
          <w:tcPr>
            <w:tcW w:w="3435" w:type="dxa"/>
          </w:tcPr>
          <w:p w14:paraId="2DF63106" w14:textId="77777777" w:rsidR="00032E4E" w:rsidRPr="00E81803" w:rsidRDefault="00787688" w:rsidP="00023DA9">
            <w:pPr>
              <w:jc w:val="right"/>
              <w:rPr>
                <w:rFonts w:ascii="Arial" w:hAnsi="Arial" w:cs="Arial"/>
                <w:b/>
                <w:sz w:val="64"/>
                <w:szCs w:val="64"/>
              </w:rPr>
            </w:pPr>
            <w:r w:rsidRPr="00E81803">
              <w:rPr>
                <w:rFonts w:ascii="Arial" w:hAnsi="Arial" w:cs="Arial"/>
                <w:b/>
                <w:sz w:val="64"/>
                <w:szCs w:val="64"/>
              </w:rPr>
              <w:t>MC</w:t>
            </w:r>
          </w:p>
        </w:tc>
      </w:tr>
      <w:tr w:rsidR="00032E4E" w:rsidRPr="00E81803" w14:paraId="5395C40A" w14:textId="77777777" w:rsidTr="00E976AB">
        <w:trPr>
          <w:cantSplit/>
          <w:trHeight w:val="281"/>
          <w:jc w:val="right"/>
        </w:trPr>
        <w:tc>
          <w:tcPr>
            <w:tcW w:w="1560" w:type="dxa"/>
            <w:tcBorders>
              <w:bottom w:val="single" w:sz="4" w:space="0" w:color="auto"/>
            </w:tcBorders>
          </w:tcPr>
          <w:p w14:paraId="61000ABF" w14:textId="77777777" w:rsidR="00032E4E" w:rsidRPr="00E81803" w:rsidRDefault="00032E4E" w:rsidP="00023DA9">
            <w:pPr>
              <w:rPr>
                <w:noProof/>
                <w:sz w:val="18"/>
                <w:szCs w:val="18"/>
              </w:rPr>
            </w:pPr>
          </w:p>
        </w:tc>
        <w:tc>
          <w:tcPr>
            <w:tcW w:w="4785" w:type="dxa"/>
            <w:tcBorders>
              <w:bottom w:val="single" w:sz="4" w:space="0" w:color="auto"/>
            </w:tcBorders>
          </w:tcPr>
          <w:p w14:paraId="59A92304" w14:textId="77777777" w:rsidR="00032E4E" w:rsidRPr="00E81803" w:rsidRDefault="00032E4E" w:rsidP="00023DA9">
            <w:pPr>
              <w:rPr>
                <w:rFonts w:ascii="Univers" w:hAnsi="Univers"/>
                <w:b/>
                <w:sz w:val="18"/>
                <w:szCs w:val="18"/>
              </w:rPr>
            </w:pPr>
          </w:p>
        </w:tc>
        <w:tc>
          <w:tcPr>
            <w:tcW w:w="3435" w:type="dxa"/>
            <w:tcBorders>
              <w:bottom w:val="single" w:sz="4" w:space="0" w:color="auto"/>
            </w:tcBorders>
          </w:tcPr>
          <w:p w14:paraId="48B1444B" w14:textId="77777777" w:rsidR="00032E4E" w:rsidRPr="00E81803" w:rsidRDefault="00032E4E" w:rsidP="000760B6">
            <w:pPr>
              <w:rPr>
                <w:noProof/>
                <w:sz w:val="18"/>
                <w:szCs w:val="18"/>
              </w:rPr>
            </w:pPr>
            <w:r w:rsidRPr="00E81803">
              <w:rPr>
                <w:b/>
                <w:bCs/>
                <w:sz w:val="28"/>
              </w:rPr>
              <w:t>UNEP</w:t>
            </w:r>
            <w:bookmarkStart w:id="0" w:name="OLE_LINK1"/>
            <w:bookmarkStart w:id="1" w:name="OLE_LINK2"/>
            <w:r w:rsidR="00787688" w:rsidRPr="00E81803">
              <w:t>/MC</w:t>
            </w:r>
            <w:r w:rsidRPr="00E81803">
              <w:t>/</w:t>
            </w:r>
            <w:bookmarkEnd w:id="0"/>
            <w:bookmarkEnd w:id="1"/>
            <w:r w:rsidR="00787688" w:rsidRPr="00E81803">
              <w:t>COP.1</w:t>
            </w:r>
            <w:r w:rsidRPr="00E81803">
              <w:t>/</w:t>
            </w:r>
            <w:r w:rsidR="000760B6" w:rsidRPr="00E81803">
              <w:t>20</w:t>
            </w:r>
          </w:p>
        </w:tc>
      </w:tr>
      <w:tr w:rsidR="00032E4E" w:rsidRPr="00E81803" w14:paraId="4994A62B" w14:textId="77777777" w:rsidTr="00E976AB">
        <w:trPr>
          <w:cantSplit/>
          <w:trHeight w:val="2549"/>
          <w:jc w:val="right"/>
        </w:trPr>
        <w:tc>
          <w:tcPr>
            <w:tcW w:w="1560" w:type="dxa"/>
            <w:tcBorders>
              <w:top w:val="single" w:sz="4" w:space="0" w:color="auto"/>
              <w:bottom w:val="single" w:sz="24" w:space="0" w:color="auto"/>
            </w:tcBorders>
          </w:tcPr>
          <w:p w14:paraId="338EA8D2" w14:textId="77777777" w:rsidR="00032E4E" w:rsidRPr="00E81803" w:rsidRDefault="006534F9" w:rsidP="00023DA9">
            <w:pPr>
              <w:rPr>
                <w:noProof/>
              </w:rPr>
            </w:pPr>
            <w:bookmarkStart w:id="2" w:name="_MON_1021710510"/>
            <w:bookmarkStart w:id="3" w:name="_MON_1021710482"/>
            <w:bookmarkEnd w:id="2"/>
            <w:bookmarkEnd w:id="3"/>
            <w:r w:rsidRPr="00E81803">
              <w:rPr>
                <w:noProof/>
                <w:lang w:eastAsia="en-GB"/>
              </w:rPr>
              <w:drawing>
                <wp:inline distT="0" distB="0" distL="0" distR="0" wp14:anchorId="2C97F4E8" wp14:editId="5C9B257F">
                  <wp:extent cx="826770" cy="78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6770" cy="782955"/>
                          </a:xfrm>
                          <a:prstGeom prst="rect">
                            <a:avLst/>
                          </a:prstGeom>
                          <a:noFill/>
                          <a:ln>
                            <a:noFill/>
                          </a:ln>
                        </pic:spPr>
                      </pic:pic>
                    </a:graphicData>
                  </a:graphic>
                </wp:inline>
              </w:drawing>
            </w:r>
            <w:r w:rsidR="000832C7" w:rsidRPr="00E81803">
              <w:rPr>
                <w:noProof/>
                <w:lang w:eastAsia="en-GB"/>
              </w:rPr>
              <w:drawing>
                <wp:inline distT="0" distB="0" distL="0" distR="0" wp14:anchorId="46FA6256" wp14:editId="0E9B57FC">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785" w:type="dxa"/>
            <w:tcBorders>
              <w:top w:val="single" w:sz="4" w:space="0" w:color="auto"/>
              <w:bottom w:val="single" w:sz="24" w:space="0" w:color="auto"/>
            </w:tcBorders>
          </w:tcPr>
          <w:p w14:paraId="02EF5D6E" w14:textId="77777777" w:rsidR="00032E4E" w:rsidRPr="00E81803" w:rsidRDefault="00032E4E" w:rsidP="00023DA9">
            <w:pPr>
              <w:spacing w:before="1200"/>
              <w:rPr>
                <w:rFonts w:ascii="Arial" w:hAnsi="Arial" w:cs="Arial"/>
                <w:b/>
                <w:sz w:val="28"/>
              </w:rPr>
            </w:pPr>
            <w:r w:rsidRPr="00E81803">
              <w:rPr>
                <w:rFonts w:ascii="Arial" w:hAnsi="Arial" w:cs="Arial"/>
                <w:b/>
                <w:sz w:val="32"/>
                <w:szCs w:val="32"/>
              </w:rPr>
              <w:t>United Nations</w:t>
            </w:r>
            <w:r w:rsidRPr="00E81803">
              <w:rPr>
                <w:rFonts w:ascii="Arial" w:hAnsi="Arial" w:cs="Arial"/>
                <w:b/>
                <w:sz w:val="32"/>
                <w:szCs w:val="32"/>
              </w:rPr>
              <w:br w:type="textWrapping" w:clear="all"/>
              <w:t>Environment</w:t>
            </w:r>
            <w:r w:rsidRPr="00E81803">
              <w:rPr>
                <w:rFonts w:ascii="Arial" w:hAnsi="Arial" w:cs="Arial"/>
                <w:b/>
                <w:sz w:val="32"/>
                <w:szCs w:val="32"/>
              </w:rPr>
              <w:br w:type="textWrapping" w:clear="all"/>
              <w:t>Programme</w:t>
            </w:r>
          </w:p>
        </w:tc>
        <w:tc>
          <w:tcPr>
            <w:tcW w:w="3435" w:type="dxa"/>
            <w:tcBorders>
              <w:top w:val="single" w:sz="4" w:space="0" w:color="auto"/>
              <w:bottom w:val="single" w:sz="24" w:space="0" w:color="auto"/>
            </w:tcBorders>
          </w:tcPr>
          <w:p w14:paraId="33DFEFF9" w14:textId="1A10C47C" w:rsidR="00032E4E" w:rsidRPr="00E81803" w:rsidRDefault="00032E4E" w:rsidP="000760B6">
            <w:pPr>
              <w:tabs>
                <w:tab w:val="clear" w:pos="1247"/>
                <w:tab w:val="clear" w:pos="1814"/>
                <w:tab w:val="clear" w:pos="2381"/>
                <w:tab w:val="clear" w:pos="2948"/>
                <w:tab w:val="clear" w:pos="3515"/>
              </w:tabs>
              <w:spacing w:before="120"/>
            </w:pPr>
            <w:r w:rsidRPr="00E81803">
              <w:t>Distr.: General</w:t>
            </w:r>
            <w:r w:rsidRPr="00E81803">
              <w:br w:type="textWrapping" w:clear="all"/>
            </w:r>
            <w:r w:rsidR="009718A3" w:rsidRPr="00E81803">
              <w:t>7</w:t>
            </w:r>
            <w:r w:rsidR="000760B6" w:rsidRPr="00E81803">
              <w:t xml:space="preserve"> July</w:t>
            </w:r>
            <w:r w:rsidR="000832C7" w:rsidRPr="00E81803">
              <w:t xml:space="preserve"> 2017</w:t>
            </w:r>
          </w:p>
          <w:p w14:paraId="3105E0FA" w14:textId="77777777" w:rsidR="00032E4E" w:rsidRPr="00E81803" w:rsidRDefault="00032E4E" w:rsidP="000832C7">
            <w:pPr>
              <w:spacing w:before="120"/>
            </w:pPr>
            <w:r w:rsidRPr="00E81803">
              <w:t>Original: English</w:t>
            </w:r>
          </w:p>
        </w:tc>
      </w:tr>
    </w:tbl>
    <w:p w14:paraId="66B7A72C" w14:textId="77777777" w:rsidR="00C543FE" w:rsidRPr="00E81803" w:rsidRDefault="00C543FE" w:rsidP="00E976AB">
      <w:pPr>
        <w:pStyle w:val="AATitle"/>
        <w:keepNext w:val="0"/>
        <w:keepLines w:val="0"/>
      </w:pPr>
      <w:r w:rsidRPr="00E81803">
        <w:t xml:space="preserve">Conference of the Parties to the </w:t>
      </w:r>
    </w:p>
    <w:p w14:paraId="2E951DE0" w14:textId="77777777" w:rsidR="00E976AB" w:rsidRPr="00E81803" w:rsidRDefault="00787688" w:rsidP="00E976AB">
      <w:pPr>
        <w:pStyle w:val="AATitle"/>
        <w:keepNext w:val="0"/>
        <w:keepLines w:val="0"/>
      </w:pPr>
      <w:r w:rsidRPr="00E81803">
        <w:t>Minamata Convention on Mercury</w:t>
      </w:r>
    </w:p>
    <w:p w14:paraId="29A7DA84" w14:textId="77777777" w:rsidR="00E976AB" w:rsidRPr="00E81803" w:rsidRDefault="00787688" w:rsidP="00E976AB">
      <w:pPr>
        <w:pStyle w:val="AATitle"/>
        <w:keepNext w:val="0"/>
        <w:keepLines w:val="0"/>
      </w:pPr>
      <w:r w:rsidRPr="00E81803">
        <w:t>First meeting</w:t>
      </w:r>
    </w:p>
    <w:p w14:paraId="2776C003" w14:textId="77777777" w:rsidR="00E976AB" w:rsidRPr="00E81803" w:rsidRDefault="00787688" w:rsidP="00465D27">
      <w:pPr>
        <w:pStyle w:val="AATitle"/>
        <w:rPr>
          <w:b w:val="0"/>
        </w:rPr>
      </w:pPr>
      <w:r w:rsidRPr="00E81803">
        <w:rPr>
          <w:b w:val="0"/>
        </w:rPr>
        <w:t>Geneva</w:t>
      </w:r>
      <w:r w:rsidR="00E976AB" w:rsidRPr="00E81803">
        <w:rPr>
          <w:b w:val="0"/>
        </w:rPr>
        <w:t xml:space="preserve">, </w:t>
      </w:r>
      <w:r w:rsidR="00465D27" w:rsidRPr="00E81803">
        <w:rPr>
          <w:b w:val="0"/>
        </w:rPr>
        <w:t>24–29 September</w:t>
      </w:r>
      <w:r w:rsidRPr="00E81803">
        <w:rPr>
          <w:b w:val="0"/>
        </w:rPr>
        <w:t xml:space="preserve"> 2017</w:t>
      </w:r>
    </w:p>
    <w:p w14:paraId="11B10690" w14:textId="77777777" w:rsidR="00775D8D" w:rsidRPr="00E81803" w:rsidRDefault="00775D8D" w:rsidP="000760B6">
      <w:pPr>
        <w:pStyle w:val="AATitle"/>
        <w:keepNext w:val="0"/>
        <w:keepLines w:val="0"/>
        <w:rPr>
          <w:b w:val="0"/>
        </w:rPr>
      </w:pPr>
      <w:r w:rsidRPr="00E81803">
        <w:rPr>
          <w:b w:val="0"/>
        </w:rPr>
        <w:t xml:space="preserve">Item </w:t>
      </w:r>
      <w:r w:rsidR="0025267F" w:rsidRPr="00E81803">
        <w:rPr>
          <w:b w:val="0"/>
        </w:rPr>
        <w:t>5 (</w:t>
      </w:r>
      <w:r w:rsidR="000760B6" w:rsidRPr="00E81803">
        <w:rPr>
          <w:b w:val="0"/>
        </w:rPr>
        <w:t>d</w:t>
      </w:r>
      <w:r w:rsidR="0025267F" w:rsidRPr="00E81803">
        <w:rPr>
          <w:b w:val="0"/>
        </w:rPr>
        <w:t xml:space="preserve">) </w:t>
      </w:r>
      <w:r w:rsidRPr="00E81803">
        <w:rPr>
          <w:b w:val="0"/>
        </w:rPr>
        <w:t>of the provisional agenda</w:t>
      </w:r>
      <w:r w:rsidRPr="00E81803">
        <w:rPr>
          <w:b w:val="0"/>
        </w:rPr>
        <w:footnoteReference w:customMarkFollows="1" w:id="1"/>
        <w:t>*</w:t>
      </w:r>
    </w:p>
    <w:p w14:paraId="4F558320" w14:textId="30D5E9B4" w:rsidR="0025267F" w:rsidRPr="00E81803" w:rsidRDefault="0025267F">
      <w:pPr>
        <w:pStyle w:val="AATitle2"/>
      </w:pPr>
      <w:r w:rsidRPr="00E81803">
        <w:t xml:space="preserve">Matters for action by the Conference of the Parties at its first meeting: </w:t>
      </w:r>
      <w:r w:rsidR="000760B6" w:rsidRPr="00E81803">
        <w:t>programme of work of the secretariat and budget for the period 2018</w:t>
      </w:r>
      <w:r w:rsidR="004671EC" w:rsidRPr="00E81803">
        <w:t>–</w:t>
      </w:r>
      <w:r w:rsidR="000760B6" w:rsidRPr="00E81803">
        <w:t>2019</w:t>
      </w:r>
    </w:p>
    <w:p w14:paraId="1E944109" w14:textId="77777777" w:rsidR="000760B6" w:rsidRPr="00E81803" w:rsidRDefault="000760B6" w:rsidP="000E671B">
      <w:pPr>
        <w:pStyle w:val="BBTitle"/>
      </w:pPr>
      <w:r w:rsidRPr="00E81803">
        <w:t>Progress report on the work of the interim secretariat in the period since the</w:t>
      </w:r>
      <w:r w:rsidRPr="00E81803">
        <w:rPr>
          <w:rFonts w:eastAsia="MS Mincho"/>
        </w:rPr>
        <w:t xml:space="preserve"> </w:t>
      </w:r>
      <w:r w:rsidR="000E671B" w:rsidRPr="00E81803">
        <w:rPr>
          <w:rFonts w:eastAsia="MS Mincho"/>
        </w:rPr>
        <w:t xml:space="preserve">seventh </w:t>
      </w:r>
      <w:r w:rsidRPr="00E81803">
        <w:rPr>
          <w:rFonts w:eastAsia="MS Mincho"/>
        </w:rPr>
        <w:t>session of</w:t>
      </w:r>
      <w:r w:rsidRPr="00E81803">
        <w:t xml:space="preserve"> </w:t>
      </w:r>
      <w:r w:rsidRPr="00E81803">
        <w:rPr>
          <w:rFonts w:eastAsia="MS Mincho"/>
        </w:rPr>
        <w:t xml:space="preserve">the intergovernmental negotiating committee </w:t>
      </w:r>
      <w:r w:rsidRPr="00E81803">
        <w:t>to prepare a global legally binding instrument on mercury</w:t>
      </w:r>
    </w:p>
    <w:p w14:paraId="388FCB04" w14:textId="77777777" w:rsidR="000760B6" w:rsidRPr="00E81803" w:rsidRDefault="000760B6" w:rsidP="000760B6">
      <w:pPr>
        <w:pStyle w:val="CH2"/>
      </w:pPr>
      <w:r w:rsidRPr="00E81803">
        <w:tab/>
      </w:r>
      <w:r w:rsidRPr="00E81803">
        <w:tab/>
        <w:t>Note by the secretariat</w:t>
      </w:r>
    </w:p>
    <w:p w14:paraId="7F6C1CA2" w14:textId="77777777" w:rsidR="000760B6" w:rsidRPr="00E81803" w:rsidRDefault="000760B6" w:rsidP="000760B6">
      <w:pPr>
        <w:pStyle w:val="CH1"/>
      </w:pPr>
      <w:r w:rsidRPr="00E81803">
        <w:tab/>
        <w:t>I.</w:t>
      </w:r>
      <w:r w:rsidRPr="00E81803">
        <w:tab/>
        <w:t>Introduction</w:t>
      </w:r>
    </w:p>
    <w:p w14:paraId="71937E4A" w14:textId="34AB4502" w:rsidR="000760B6" w:rsidRPr="00E81803" w:rsidRDefault="000760B6" w:rsidP="001F2B6B">
      <w:pPr>
        <w:pStyle w:val="Normalnumber"/>
        <w:numPr>
          <w:ilvl w:val="0"/>
          <w:numId w:val="33"/>
        </w:numPr>
        <w:tabs>
          <w:tab w:val="clear" w:pos="1134"/>
        </w:tabs>
      </w:pPr>
      <w:r w:rsidRPr="00E81803">
        <w:t>In paragraph 11 of its resolution on arrangements in the interim period before entry into force of the Convention (UNEP(DTIE)/Hg/CONF/4, annex I),</w:t>
      </w:r>
      <w:r w:rsidRPr="00E81803">
        <w:rPr>
          <w:vertAlign w:val="superscript"/>
        </w:rPr>
        <w:t xml:space="preserve"> </w:t>
      </w:r>
      <w:r w:rsidRPr="00E81803">
        <w:t xml:space="preserve">the Conference of Plenipotentiaries on the Minamata Convention on Mercury </w:t>
      </w:r>
      <w:r w:rsidRPr="00E81803">
        <w:rPr>
          <w:rFonts w:eastAsia="MS Mincho"/>
        </w:rPr>
        <w:t xml:space="preserve">requested the Executive Director of the United Nations Environment Programme (UNEP) to provide interim secretariat services to support the intergovernmental negotiating committee </w:t>
      </w:r>
      <w:r w:rsidR="00A1713B" w:rsidRPr="00E81803">
        <w:rPr>
          <w:rFonts w:eastAsia="MS Mincho"/>
        </w:rPr>
        <w:t xml:space="preserve">to prepare a global legally binding instrument </w:t>
      </w:r>
      <w:r w:rsidRPr="00E81803">
        <w:rPr>
          <w:rFonts w:eastAsia="MS Mincho"/>
        </w:rPr>
        <w:t xml:space="preserve">on mercury and its activities until the first meeting of the Conference of the Parties. In paragraph 12 of that resolution, the Conference requested the interim secretariat to cooperate and coordinate, as appropriate, with other relevant actors, including the secretariat of the Basel Convention on the Control of Transboundary Movements of Hazardous Wastes and Their Disposal, the Rotterdam Convention on the Prior Informed Consent Procedure for Certain Hazardous Chemicals and Pesticides in International Trade and the Stockholm Convention on Persistent Organic Pollutants, in order to make full use of relevant experience and expertise. In paragraph 13 of the resolution it requested the Executive Director to facilitate activities at the regional and country levels to support implementation during the interim period in an effective and efficient manner. </w:t>
      </w:r>
    </w:p>
    <w:p w14:paraId="4260DE6F" w14:textId="6115C996" w:rsidR="000760B6" w:rsidRPr="00E81803" w:rsidRDefault="000760B6" w:rsidP="000760B6">
      <w:pPr>
        <w:pStyle w:val="Normalnumber"/>
        <w:numPr>
          <w:ilvl w:val="0"/>
          <w:numId w:val="33"/>
        </w:numPr>
        <w:tabs>
          <w:tab w:val="clear" w:pos="624"/>
          <w:tab w:val="left" w:pos="1247"/>
          <w:tab w:val="left" w:pos="1814"/>
          <w:tab w:val="left" w:pos="2381"/>
          <w:tab w:val="left" w:pos="2948"/>
          <w:tab w:val="left" w:pos="3515"/>
          <w:tab w:val="left" w:pos="4082"/>
        </w:tabs>
      </w:pPr>
      <w:r w:rsidRPr="00E81803">
        <w:rPr>
          <w:rFonts w:eastAsia="MS Mincho"/>
        </w:rPr>
        <w:t>A summary of the activities undertaken by the interim secretariat in response to these requests (</w:t>
      </w:r>
      <w:r w:rsidRPr="00E81803">
        <w:t xml:space="preserve">UNEP(DTIE)/Hg/INC.7/21) </w:t>
      </w:r>
      <w:r w:rsidRPr="00E81803">
        <w:rPr>
          <w:rFonts w:eastAsia="MS Mincho"/>
        </w:rPr>
        <w:t xml:space="preserve">was presented to the intergovernmental negotiating committee at its </w:t>
      </w:r>
      <w:r w:rsidR="003D4BAE" w:rsidRPr="00E81803">
        <w:rPr>
          <w:rFonts w:eastAsia="MS Mincho"/>
        </w:rPr>
        <w:t>seventh session</w:t>
      </w:r>
      <w:r w:rsidRPr="00E81803">
        <w:rPr>
          <w:rFonts w:eastAsia="MS Mincho"/>
        </w:rPr>
        <w:t xml:space="preserve">, held </w:t>
      </w:r>
      <w:r w:rsidRPr="00E81803">
        <w:t>from 1</w:t>
      </w:r>
      <w:r w:rsidR="000E671B" w:rsidRPr="00E81803">
        <w:t>0</w:t>
      </w:r>
      <w:r w:rsidRPr="00E81803">
        <w:t xml:space="preserve"> to 15 March 2016 at the Dead Sea, Jordan. The present report summarizes the major activities undertaken by the interim secretariat since the committee’s seventh session, covering both its work to prepare for the</w:t>
      </w:r>
      <w:r w:rsidRPr="00E81803">
        <w:rPr>
          <w:rFonts w:eastAsia="MS Mincho"/>
        </w:rPr>
        <w:t xml:space="preserve"> first meeting of the Conference of the Parties, including intersessional work requested by the </w:t>
      </w:r>
      <w:r w:rsidR="00A1713B" w:rsidRPr="00E81803">
        <w:rPr>
          <w:rFonts w:eastAsia="MS Mincho"/>
        </w:rPr>
        <w:t xml:space="preserve">committee at its </w:t>
      </w:r>
      <w:r w:rsidRPr="00E81803">
        <w:rPr>
          <w:rFonts w:eastAsia="MS Mincho"/>
        </w:rPr>
        <w:t>seventh session</w:t>
      </w:r>
      <w:r w:rsidR="00E16E50">
        <w:rPr>
          <w:rFonts w:eastAsia="MS Mincho"/>
        </w:rPr>
        <w:t>,</w:t>
      </w:r>
      <w:r w:rsidRPr="00E81803">
        <w:t xml:space="preserve"> and its work in support of the ratification and early implementation of the Minamata Convention</w:t>
      </w:r>
      <w:r w:rsidRPr="00E81803">
        <w:rPr>
          <w:rFonts w:eastAsia="MS Mincho"/>
        </w:rPr>
        <w:t>.</w:t>
      </w:r>
      <w:r w:rsidRPr="00E81803">
        <w:t xml:space="preserve"> </w:t>
      </w:r>
    </w:p>
    <w:p w14:paraId="1942246A" w14:textId="4DC663DE" w:rsidR="000760B6" w:rsidRPr="00E81803" w:rsidRDefault="000760B6" w:rsidP="000760B6">
      <w:pPr>
        <w:pStyle w:val="CH1"/>
        <w:rPr>
          <w:rFonts w:eastAsia="MS Mincho"/>
        </w:rPr>
      </w:pPr>
      <w:r w:rsidRPr="00E81803">
        <w:lastRenderedPageBreak/>
        <w:tab/>
        <w:t>II.</w:t>
      </w:r>
      <w:r w:rsidRPr="00E81803">
        <w:tab/>
        <w:t xml:space="preserve">Support for the preparations </w:t>
      </w:r>
      <w:r w:rsidR="00EC13C2" w:rsidRPr="00E81803">
        <w:t>for</w:t>
      </w:r>
      <w:r w:rsidRPr="00E81803">
        <w:t xml:space="preserve"> the first meeting of the Conference of the Parties, including intersessional work requested by the intergovernmental negotiating committee </w:t>
      </w:r>
    </w:p>
    <w:p w14:paraId="197BB30D" w14:textId="77777777" w:rsidR="000760B6" w:rsidRPr="00E81803" w:rsidRDefault="009718A3" w:rsidP="001F2B6B">
      <w:pPr>
        <w:pStyle w:val="CH2"/>
      </w:pPr>
      <w:r w:rsidRPr="00E81803">
        <w:tab/>
      </w:r>
      <w:r w:rsidR="000760B6" w:rsidRPr="00E81803">
        <w:t>A.</w:t>
      </w:r>
      <w:r w:rsidR="000760B6" w:rsidRPr="00E81803">
        <w:tab/>
        <w:t xml:space="preserve">First meeting of the Conference of the Parties </w:t>
      </w:r>
      <w:r w:rsidR="000E671B" w:rsidRPr="00E81803">
        <w:t>to the Minamata Convention on Mercury</w:t>
      </w:r>
    </w:p>
    <w:p w14:paraId="3990CA92" w14:textId="595D6702" w:rsidR="000760B6" w:rsidRPr="00E81803" w:rsidRDefault="000760B6" w:rsidP="00E81803">
      <w:pPr>
        <w:pStyle w:val="Normalnumber"/>
        <w:numPr>
          <w:ilvl w:val="0"/>
          <w:numId w:val="33"/>
        </w:numPr>
        <w:tabs>
          <w:tab w:val="clear" w:pos="624"/>
          <w:tab w:val="left" w:pos="1247"/>
          <w:tab w:val="left" w:pos="1814"/>
          <w:tab w:val="left" w:pos="2381"/>
          <w:tab w:val="left" w:pos="2948"/>
          <w:tab w:val="left" w:pos="3515"/>
          <w:tab w:val="left" w:pos="4082"/>
        </w:tabs>
      </w:pPr>
      <w:r w:rsidRPr="00E81803">
        <w:t>The interim secretariat is in the process of organizing the first meeting of the Conference of the Parties</w:t>
      </w:r>
      <w:r w:rsidR="00BC41A1" w:rsidRPr="00E81803">
        <w:t xml:space="preserve"> to the Minamata Convention</w:t>
      </w:r>
      <w:r w:rsidRPr="00E81803">
        <w:t xml:space="preserve">. That process has included drafting and sending out invitation letters, </w:t>
      </w:r>
      <w:r w:rsidR="000E671B" w:rsidRPr="00E81803">
        <w:t xml:space="preserve">establishing an online pre-registration platform, developing models of credentials to be submitted by Parties, reviewing requests for </w:t>
      </w:r>
      <w:r w:rsidR="00B8332B" w:rsidRPr="00E81803">
        <w:t xml:space="preserve">the </w:t>
      </w:r>
      <w:r w:rsidR="000E671B" w:rsidRPr="00E81803">
        <w:t xml:space="preserve">admission of observers </w:t>
      </w:r>
      <w:r w:rsidRPr="00E81803">
        <w:t>a</w:t>
      </w:r>
      <w:r w:rsidR="00B8332B" w:rsidRPr="00E81803">
        <w:t>nd</w:t>
      </w:r>
      <w:r w:rsidRPr="00E81803">
        <w:t xml:space="preserve"> organizing logistical matters</w:t>
      </w:r>
      <w:r w:rsidR="003E3CCD" w:rsidRPr="00E81803">
        <w:t xml:space="preserve"> in relation to the</w:t>
      </w:r>
      <w:r w:rsidRPr="00E81803">
        <w:t xml:space="preserve"> meeting venue. Other activities have included arranging for conference services support, organizing travel for funded participants, supporting the activities of the bureau of the intergovernmental negotiating committee and preparing meeting documents for consideration by the </w:t>
      </w:r>
      <w:r w:rsidR="000E671B" w:rsidRPr="00E81803">
        <w:t xml:space="preserve">Conference of the Parties at </w:t>
      </w:r>
      <w:r w:rsidR="00B8332B" w:rsidRPr="00E81803">
        <w:t>the</w:t>
      </w:r>
      <w:r w:rsidR="000E671B" w:rsidRPr="00E81803">
        <w:t xml:space="preserve"> meeting</w:t>
      </w:r>
      <w:r w:rsidRPr="00E81803">
        <w:t xml:space="preserve">. </w:t>
      </w:r>
    </w:p>
    <w:p w14:paraId="02B81C82" w14:textId="5DB71946" w:rsidR="000760B6" w:rsidRPr="00E81803" w:rsidRDefault="000760B6" w:rsidP="00E81803">
      <w:pPr>
        <w:pStyle w:val="Normalnumber"/>
        <w:numPr>
          <w:ilvl w:val="0"/>
          <w:numId w:val="33"/>
        </w:numPr>
        <w:tabs>
          <w:tab w:val="clear" w:pos="624"/>
          <w:tab w:val="left" w:pos="1247"/>
          <w:tab w:val="left" w:pos="1814"/>
          <w:tab w:val="left" w:pos="2381"/>
          <w:tab w:val="left" w:pos="2948"/>
          <w:tab w:val="left" w:pos="3515"/>
          <w:tab w:val="left" w:pos="4082"/>
        </w:tabs>
      </w:pPr>
      <w:r w:rsidRPr="00E81803">
        <w:t xml:space="preserve">Logistical activities have been undertaken with the support of staff members of the Chemicals and </w:t>
      </w:r>
      <w:r w:rsidR="003E3CCD" w:rsidRPr="00E81803">
        <w:t>Health</w:t>
      </w:r>
      <w:r w:rsidRPr="00E81803">
        <w:t xml:space="preserve"> Branch of the </w:t>
      </w:r>
      <w:r w:rsidR="003E3CCD" w:rsidRPr="00E81803">
        <w:t xml:space="preserve">Economy </w:t>
      </w:r>
      <w:r w:rsidRPr="00E81803">
        <w:t xml:space="preserve">Division </w:t>
      </w:r>
      <w:r w:rsidR="003E3CCD" w:rsidRPr="00E81803">
        <w:t xml:space="preserve">of </w:t>
      </w:r>
      <w:r w:rsidR="00AE77D5" w:rsidRPr="00E81803">
        <w:t>UNEP</w:t>
      </w:r>
      <w:r w:rsidR="003E3CCD" w:rsidRPr="00E81803">
        <w:t xml:space="preserve">. </w:t>
      </w:r>
      <w:r w:rsidRPr="00E81803">
        <w:t xml:space="preserve">The secretariat of the Basel, Rotterdam and Stockholm conventions has provided </w:t>
      </w:r>
      <w:r w:rsidR="003E3CCD" w:rsidRPr="00E81803">
        <w:t>input to relevant documents</w:t>
      </w:r>
      <w:r w:rsidRPr="00E81803">
        <w:t xml:space="preserve">. Both the Chemicals and </w:t>
      </w:r>
      <w:r w:rsidR="003E3CCD" w:rsidRPr="00E81803">
        <w:t xml:space="preserve">Health </w:t>
      </w:r>
      <w:r w:rsidRPr="00E81803">
        <w:t xml:space="preserve">Branch and the secretariat of the Basel, Rotterdam and Stockholm conventions will be providing support to the interim secretariat </w:t>
      </w:r>
      <w:r w:rsidR="00A91156" w:rsidRPr="00E81803">
        <w:t xml:space="preserve">to facilitate </w:t>
      </w:r>
      <w:r w:rsidRPr="00E81803">
        <w:t xml:space="preserve">the running of the </w:t>
      </w:r>
      <w:r w:rsidR="003E3CCD" w:rsidRPr="00E81803">
        <w:t>meeting</w:t>
      </w:r>
      <w:r w:rsidRPr="00E81803">
        <w:t>.</w:t>
      </w:r>
    </w:p>
    <w:p w14:paraId="6C2A560E" w14:textId="77C7E30A" w:rsidR="000760B6" w:rsidRPr="00A53B00" w:rsidRDefault="000760B6" w:rsidP="009C45CB">
      <w:pPr>
        <w:pStyle w:val="Normalnumber"/>
        <w:numPr>
          <w:ilvl w:val="0"/>
          <w:numId w:val="33"/>
        </w:numPr>
        <w:tabs>
          <w:tab w:val="clear" w:pos="624"/>
          <w:tab w:val="left" w:pos="1247"/>
          <w:tab w:val="left" w:pos="1814"/>
          <w:tab w:val="left" w:pos="2381"/>
          <w:tab w:val="left" w:pos="2948"/>
          <w:tab w:val="left" w:pos="3515"/>
          <w:tab w:val="left" w:pos="4082"/>
        </w:tabs>
      </w:pPr>
      <w:r w:rsidRPr="00E81803">
        <w:t>The preparation of technical material, in particular meeting documents, has been led by the interim secretariat</w:t>
      </w:r>
      <w:r w:rsidR="003E3CCD" w:rsidRPr="00E81803">
        <w:t>. As requested by the intergovernmental negotiating committee</w:t>
      </w:r>
      <w:r w:rsidR="00352B35" w:rsidRPr="00E81803">
        <w:t xml:space="preserve"> at its seventh session</w:t>
      </w:r>
      <w:r w:rsidR="003E3CCD" w:rsidRPr="00E81803">
        <w:t>, documents have been prepared in cooperation with relevant stakeholders,</w:t>
      </w:r>
      <w:r w:rsidR="00554DFB" w:rsidRPr="00E81803">
        <w:t xml:space="preserve"> in</w:t>
      </w:r>
      <w:r w:rsidR="000E671B" w:rsidRPr="00E81803">
        <w:t xml:space="preserve"> particular</w:t>
      </w:r>
      <w:r w:rsidR="003E3CCD" w:rsidRPr="00E81803">
        <w:t xml:space="preserve"> </w:t>
      </w:r>
      <w:r w:rsidR="00554DFB" w:rsidRPr="00E81803">
        <w:rPr>
          <w:rStyle w:val="Inget"/>
        </w:rPr>
        <w:t xml:space="preserve">national Governments, including </w:t>
      </w:r>
      <w:r w:rsidR="00352B35" w:rsidRPr="00E81803">
        <w:rPr>
          <w:rStyle w:val="Inget"/>
        </w:rPr>
        <w:t>p</w:t>
      </w:r>
      <w:r w:rsidR="00554DFB" w:rsidRPr="00E81803">
        <w:rPr>
          <w:rStyle w:val="Inget"/>
        </w:rPr>
        <w:t>arties to the Basel Convention, regional and subregional monitoring programmes and partnerships, the World Health Organization</w:t>
      </w:r>
      <w:r w:rsidR="00187CDE" w:rsidRPr="00E81803">
        <w:rPr>
          <w:rStyle w:val="Inget"/>
        </w:rPr>
        <w:t xml:space="preserve"> (WHO)</w:t>
      </w:r>
      <w:r w:rsidR="00554DFB" w:rsidRPr="00E81803">
        <w:rPr>
          <w:rStyle w:val="Inget"/>
        </w:rPr>
        <w:t>, regional representatives, regional and national institutions, academia, industry, civil society, the UNEP Global Mercury Partnership and others as appropriate.</w:t>
      </w:r>
      <w:r w:rsidR="00306DBF">
        <w:rPr>
          <w:rStyle w:val="Inget"/>
        </w:rPr>
        <w:t xml:space="preserve"> </w:t>
      </w:r>
      <w:r w:rsidR="00F83C2A" w:rsidRPr="00A53B00">
        <w:t xml:space="preserve">During the seventh session of the </w:t>
      </w:r>
      <w:r w:rsidR="009718A3" w:rsidRPr="00C107C4">
        <w:t>intergovernmental</w:t>
      </w:r>
      <w:r w:rsidR="00F83C2A" w:rsidRPr="00C107C4">
        <w:t xml:space="preserve"> negotiating committee, the secretariat was asked to seek input from Governments and a range of o</w:t>
      </w:r>
      <w:r w:rsidR="00F83C2A" w:rsidRPr="00A53B00">
        <w:t xml:space="preserve">ther interested stakeholders on a number of issues to be considered at the first meeting of the Conference of the Parties. The submissions received are available on the </w:t>
      </w:r>
      <w:r w:rsidR="00DF7FC2" w:rsidRPr="00A53B00">
        <w:t xml:space="preserve">Minamata </w:t>
      </w:r>
      <w:r w:rsidR="00F83C2A" w:rsidRPr="00A53B00">
        <w:t xml:space="preserve">Convention website. </w:t>
      </w:r>
      <w:r w:rsidR="00554DFB" w:rsidRPr="00A53B00">
        <w:rPr>
          <w:rStyle w:val="Inget"/>
        </w:rPr>
        <w:t xml:space="preserve">A group of experts has provided input </w:t>
      </w:r>
      <w:r w:rsidR="00DF7FC2" w:rsidRPr="00A53B00">
        <w:rPr>
          <w:rStyle w:val="Inget"/>
        </w:rPr>
        <w:t>for</w:t>
      </w:r>
      <w:r w:rsidR="00554DFB" w:rsidRPr="00A53B00">
        <w:rPr>
          <w:rStyle w:val="Inget"/>
        </w:rPr>
        <w:t xml:space="preserve"> the draft guidance on</w:t>
      </w:r>
      <w:r w:rsidR="00F83C2A" w:rsidRPr="00A53B00">
        <w:t xml:space="preserve"> environmentally sound</w:t>
      </w:r>
      <w:r w:rsidR="00554DFB" w:rsidRPr="00A53B00">
        <w:rPr>
          <w:rStyle w:val="Inget"/>
        </w:rPr>
        <w:t xml:space="preserve"> interim storage of mercury</w:t>
      </w:r>
      <w:r w:rsidR="00AD0AC9" w:rsidRPr="00A53B00">
        <w:rPr>
          <w:rStyle w:val="Inget"/>
        </w:rPr>
        <w:t xml:space="preserve"> and mercury compounds</w:t>
      </w:r>
      <w:r w:rsidR="00F83C2A" w:rsidRPr="00A53B00">
        <w:rPr>
          <w:rStyle w:val="Inget"/>
        </w:rPr>
        <w:t xml:space="preserve"> </w:t>
      </w:r>
      <w:r w:rsidR="00F83C2A" w:rsidRPr="00A53B00">
        <w:t>other than waste mercury</w:t>
      </w:r>
      <w:r w:rsidR="00554DFB" w:rsidRPr="00A53B00">
        <w:rPr>
          <w:rStyle w:val="Inget"/>
        </w:rPr>
        <w:t>.</w:t>
      </w:r>
      <w:r w:rsidR="00306DBF" w:rsidRPr="00A53B00">
        <w:rPr>
          <w:rStyle w:val="Inget"/>
        </w:rPr>
        <w:t xml:space="preserve"> </w:t>
      </w:r>
      <w:r w:rsidR="000E671B" w:rsidRPr="00A53B00">
        <w:rPr>
          <w:rStyle w:val="Inget"/>
        </w:rPr>
        <w:t>D</w:t>
      </w:r>
      <w:r w:rsidR="00554DFB" w:rsidRPr="00A53B00">
        <w:rPr>
          <w:rStyle w:val="Inget"/>
        </w:rPr>
        <w:t xml:space="preserve">raft </w:t>
      </w:r>
      <w:r w:rsidR="000E671B" w:rsidRPr="00A53B00">
        <w:rPr>
          <w:rStyle w:val="Inget"/>
        </w:rPr>
        <w:t xml:space="preserve">guidance </w:t>
      </w:r>
      <w:r w:rsidR="00554DFB" w:rsidRPr="00A53B00">
        <w:rPr>
          <w:rStyle w:val="Inget"/>
        </w:rPr>
        <w:t>documents</w:t>
      </w:r>
      <w:r w:rsidR="009C45CB" w:rsidRPr="00A53B00">
        <w:rPr>
          <w:rStyle w:val="Inget"/>
        </w:rPr>
        <w:t xml:space="preserve"> </w:t>
      </w:r>
      <w:r w:rsidR="000E671B" w:rsidRPr="00A53B00">
        <w:rPr>
          <w:rStyle w:val="Inget"/>
        </w:rPr>
        <w:t xml:space="preserve">on </w:t>
      </w:r>
      <w:r w:rsidR="00F83C2A" w:rsidRPr="00A53B00">
        <w:t>environmentally sound</w:t>
      </w:r>
      <w:r w:rsidR="00F83C2A" w:rsidRPr="00A53B00">
        <w:rPr>
          <w:rStyle w:val="Inget"/>
        </w:rPr>
        <w:t xml:space="preserve"> interim storage</w:t>
      </w:r>
      <w:r w:rsidR="009C45CB" w:rsidRPr="00A53B00">
        <w:rPr>
          <w:rStyle w:val="Inget"/>
        </w:rPr>
        <w:t xml:space="preserve"> a</w:t>
      </w:r>
      <w:r w:rsidR="00DF7FC2" w:rsidRPr="00A53B00">
        <w:rPr>
          <w:rStyle w:val="Inget"/>
        </w:rPr>
        <w:t>nd</w:t>
      </w:r>
      <w:r w:rsidR="009C45CB" w:rsidRPr="00A53B00">
        <w:rPr>
          <w:rStyle w:val="Inget"/>
        </w:rPr>
        <w:t xml:space="preserve"> </w:t>
      </w:r>
      <w:r w:rsidR="00F83C2A" w:rsidRPr="00A53B00">
        <w:rPr>
          <w:rStyle w:val="Inget"/>
        </w:rPr>
        <w:t xml:space="preserve">on </w:t>
      </w:r>
      <w:r w:rsidR="00DF7FC2" w:rsidRPr="00A53B00">
        <w:rPr>
          <w:rStyle w:val="Inget"/>
        </w:rPr>
        <w:t xml:space="preserve">the </w:t>
      </w:r>
      <w:r w:rsidR="000E671B" w:rsidRPr="00A53B00">
        <w:t>develop</w:t>
      </w:r>
      <w:r w:rsidR="00DF7FC2" w:rsidRPr="00A53B00">
        <w:t>ment of</w:t>
      </w:r>
      <w:r w:rsidR="000E671B" w:rsidRPr="00A53B00">
        <w:t xml:space="preserve"> </w:t>
      </w:r>
      <w:r w:rsidR="00A53B00" w:rsidRPr="00E02303">
        <w:t xml:space="preserve">a </w:t>
      </w:r>
      <w:r w:rsidR="000E671B" w:rsidRPr="00A53B00">
        <w:t>national action</w:t>
      </w:r>
      <w:r w:rsidR="000E671B" w:rsidRPr="00C107C4">
        <w:t xml:space="preserve"> plan</w:t>
      </w:r>
      <w:r w:rsidR="000E671B" w:rsidRPr="00A53B00">
        <w:t xml:space="preserve"> to reduce and, where feasible, eliminate mercury use in artisanal and small-scale gold mining</w:t>
      </w:r>
      <w:r w:rsidR="00554DFB" w:rsidRPr="00A53B00">
        <w:rPr>
          <w:rStyle w:val="Inget"/>
        </w:rPr>
        <w:t xml:space="preserve"> have </w:t>
      </w:r>
      <w:r w:rsidR="000E671B" w:rsidRPr="00A53B00">
        <w:rPr>
          <w:rStyle w:val="Inget"/>
        </w:rPr>
        <w:t xml:space="preserve">also </w:t>
      </w:r>
      <w:r w:rsidR="00554DFB" w:rsidRPr="00A53B00">
        <w:rPr>
          <w:rStyle w:val="Inget"/>
        </w:rPr>
        <w:t xml:space="preserve">been opened for public comment. </w:t>
      </w:r>
      <w:r w:rsidR="00DF7FC2" w:rsidRPr="00A53B00">
        <w:rPr>
          <w:rStyle w:val="Inget"/>
        </w:rPr>
        <w:t>In a</w:t>
      </w:r>
      <w:r w:rsidR="00554DFB" w:rsidRPr="00A53B00">
        <w:rPr>
          <w:rStyle w:val="Inget"/>
        </w:rPr>
        <w:t xml:space="preserve">ddition, an informal process on the establishment of mercury waste thresholds has been </w:t>
      </w:r>
      <w:r w:rsidR="005330BE" w:rsidRPr="00A53B00">
        <w:rPr>
          <w:rStyle w:val="Inget"/>
        </w:rPr>
        <w:t xml:space="preserve">undertaken, </w:t>
      </w:r>
      <w:r w:rsidR="00554DFB" w:rsidRPr="00A53B00">
        <w:rPr>
          <w:rStyle w:val="Inget"/>
        </w:rPr>
        <w:t xml:space="preserve">led by the Government of Japan. </w:t>
      </w:r>
    </w:p>
    <w:p w14:paraId="2F344516" w14:textId="523E582C" w:rsidR="00554DFB" w:rsidRPr="00E81803" w:rsidRDefault="00554DFB" w:rsidP="00F83C2A">
      <w:pPr>
        <w:pStyle w:val="Normalnumber"/>
        <w:numPr>
          <w:ilvl w:val="0"/>
          <w:numId w:val="33"/>
        </w:numPr>
        <w:tabs>
          <w:tab w:val="clear" w:pos="624"/>
          <w:tab w:val="left" w:pos="1247"/>
          <w:tab w:val="left" w:pos="1814"/>
          <w:tab w:val="left" w:pos="2381"/>
          <w:tab w:val="left" w:pos="2948"/>
          <w:tab w:val="left" w:pos="3515"/>
          <w:tab w:val="left" w:pos="4082"/>
        </w:tabs>
      </w:pPr>
      <w:r w:rsidRPr="00E81803">
        <w:t>A number of the documents for the first meeting of the Conference of the Parties have not required substantive work</w:t>
      </w:r>
      <w:r w:rsidR="00873A3D" w:rsidRPr="00E81803">
        <w:t xml:space="preserve"> because they simply present </w:t>
      </w:r>
      <w:r w:rsidRPr="00E81803">
        <w:t xml:space="preserve">material adopted </w:t>
      </w:r>
      <w:r w:rsidR="00F83C2A" w:rsidRPr="00E81803">
        <w:t xml:space="preserve">or agreed upon </w:t>
      </w:r>
      <w:r w:rsidRPr="00E81803">
        <w:t xml:space="preserve">on a provisional basis by the intergovernmental negotiating committee. </w:t>
      </w:r>
      <w:r w:rsidR="00873A3D" w:rsidRPr="00E81803">
        <w:t>In some cases</w:t>
      </w:r>
      <w:r w:rsidR="0082260B" w:rsidRPr="00E81803">
        <w:t>, however,</w:t>
      </w:r>
      <w:r w:rsidR="00873A3D" w:rsidRPr="00E81803">
        <w:t xml:space="preserve"> the </w:t>
      </w:r>
      <w:r w:rsidR="00F83C2A" w:rsidRPr="00E81803">
        <w:t xml:space="preserve">interim </w:t>
      </w:r>
      <w:r w:rsidRPr="00E81803">
        <w:t>secretariat has amend</w:t>
      </w:r>
      <w:r w:rsidR="00873A3D" w:rsidRPr="00E81803">
        <w:t>ed these documents as</w:t>
      </w:r>
      <w:r w:rsidRPr="00E81803">
        <w:t xml:space="preserve"> requested by the </w:t>
      </w:r>
      <w:r w:rsidR="009718A3" w:rsidRPr="00E81803">
        <w:t>committee, as</w:t>
      </w:r>
      <w:r w:rsidRPr="00E81803">
        <w:t xml:space="preserve"> </w:t>
      </w:r>
      <w:r w:rsidR="00873A3D" w:rsidRPr="00E81803">
        <w:t>described</w:t>
      </w:r>
      <w:r w:rsidRPr="00E81803">
        <w:t xml:space="preserve"> in the report of the </w:t>
      </w:r>
      <w:r w:rsidR="0082260B" w:rsidRPr="00E81803">
        <w:t xml:space="preserve">committee’s </w:t>
      </w:r>
      <w:r w:rsidRPr="00E81803">
        <w:t xml:space="preserve">seventh session </w:t>
      </w:r>
      <w:r w:rsidR="00873A3D" w:rsidRPr="00E81803">
        <w:t>(</w:t>
      </w:r>
      <w:r w:rsidRPr="00E81803">
        <w:t>UNEP(DTIE)/Hg/INC.7/22/Rev.1</w:t>
      </w:r>
      <w:r w:rsidR="00873A3D" w:rsidRPr="00E81803">
        <w:t>)</w:t>
      </w:r>
      <w:r w:rsidRPr="00E81803">
        <w:t>.</w:t>
      </w:r>
      <w:r w:rsidR="00306DBF">
        <w:t xml:space="preserve"> </w:t>
      </w:r>
    </w:p>
    <w:p w14:paraId="034B1A10" w14:textId="3DD5BE53" w:rsidR="000760B6" w:rsidRPr="00E81803" w:rsidRDefault="000760B6" w:rsidP="00554DFB">
      <w:pPr>
        <w:pStyle w:val="Normalnumber"/>
        <w:numPr>
          <w:ilvl w:val="0"/>
          <w:numId w:val="33"/>
        </w:numPr>
        <w:tabs>
          <w:tab w:val="clear" w:pos="624"/>
          <w:tab w:val="left" w:pos="1247"/>
          <w:tab w:val="left" w:pos="1814"/>
          <w:tab w:val="left" w:pos="2381"/>
          <w:tab w:val="left" w:pos="2948"/>
          <w:tab w:val="left" w:pos="3515"/>
          <w:tab w:val="left" w:pos="4082"/>
        </w:tabs>
      </w:pPr>
      <w:r w:rsidRPr="00E81803">
        <w:rPr>
          <w:bCs/>
        </w:rPr>
        <w:t>T</w:t>
      </w:r>
      <w:r w:rsidRPr="00E81803">
        <w:t>he experience and contribution of the Basel, Rotterdam and Stockholm convention</w:t>
      </w:r>
      <w:r w:rsidR="005B1A45">
        <w:t>s</w:t>
      </w:r>
      <w:r w:rsidRPr="00E81803">
        <w:t xml:space="preserve"> secretariat was taken into consideration by the Executive Director in his report on proposals on how he </w:t>
      </w:r>
      <w:r w:rsidR="005B3352" w:rsidRPr="00E81803">
        <w:t xml:space="preserve">would </w:t>
      </w:r>
      <w:r w:rsidRPr="00E81803">
        <w:t>perform the functions of the permanent secretariat for the Convention (</w:t>
      </w:r>
      <w:r w:rsidR="00554DFB" w:rsidRPr="00E81803">
        <w:t>UNEP/MC/COP.1/14</w:t>
      </w:r>
      <w:r w:rsidRPr="00E81803">
        <w:t>)</w:t>
      </w:r>
      <w:r w:rsidR="00554DFB" w:rsidRPr="00E81803">
        <w:t xml:space="preserve">, as well as in the presentation and structure of the programme of work and budget for the secretariat (UNEP/MC/COP.1/21 and </w:t>
      </w:r>
      <w:r w:rsidR="00E54AC0" w:rsidRPr="00E81803">
        <w:t>Add.1</w:t>
      </w:r>
      <w:r w:rsidR="00554DFB" w:rsidRPr="00E81803">
        <w:t xml:space="preserve">). </w:t>
      </w:r>
    </w:p>
    <w:p w14:paraId="73338CB6" w14:textId="4A5DDDBC" w:rsidR="000760B6" w:rsidRPr="00E81803" w:rsidRDefault="000760B6">
      <w:pPr>
        <w:pStyle w:val="Normalnumber"/>
        <w:numPr>
          <w:ilvl w:val="0"/>
          <w:numId w:val="33"/>
        </w:numPr>
        <w:tabs>
          <w:tab w:val="clear" w:pos="624"/>
          <w:tab w:val="left" w:pos="1247"/>
          <w:tab w:val="left" w:pos="1814"/>
          <w:tab w:val="left" w:pos="2381"/>
          <w:tab w:val="left" w:pos="2948"/>
          <w:tab w:val="left" w:pos="3515"/>
          <w:tab w:val="left" w:pos="4082"/>
        </w:tabs>
        <w:rPr>
          <w:b/>
        </w:rPr>
      </w:pPr>
      <w:r w:rsidRPr="00E81803">
        <w:t xml:space="preserve">The UNEP Global Mercury Partnership has provided input </w:t>
      </w:r>
      <w:r w:rsidR="00554DFB" w:rsidRPr="00E81803">
        <w:t>on t</w:t>
      </w:r>
      <w:r w:rsidRPr="00E81803">
        <w:t>he guidance document on artisanal and small-scale gold mining</w:t>
      </w:r>
      <w:r w:rsidR="00F83C2A" w:rsidRPr="00E81803">
        <w:t>,</w:t>
      </w:r>
      <w:r w:rsidRPr="00E81803">
        <w:t xml:space="preserve"> </w:t>
      </w:r>
      <w:r w:rsidR="00554DFB" w:rsidRPr="00E81803">
        <w:t>particularly in taking into consideration comments received during the intersessional period</w:t>
      </w:r>
      <w:r w:rsidRPr="00E81803">
        <w:t xml:space="preserve">. </w:t>
      </w:r>
      <w:r w:rsidR="00554DFB" w:rsidRPr="00E81803">
        <w:rPr>
          <w:bCs/>
        </w:rPr>
        <w:t xml:space="preserve">Input was also sought from </w:t>
      </w:r>
      <w:r w:rsidR="003D4BAE" w:rsidRPr="00E81803">
        <w:rPr>
          <w:bCs/>
        </w:rPr>
        <w:t>WHO</w:t>
      </w:r>
      <w:r w:rsidR="00554DFB" w:rsidRPr="00E81803">
        <w:rPr>
          <w:bCs/>
        </w:rPr>
        <w:t xml:space="preserve">, in particular in relation to draft guidance on public health aspects of the preparation of national action plans. </w:t>
      </w:r>
      <w:r w:rsidRPr="00E81803">
        <w:t xml:space="preserve">The interim secretariat worked closely with the secretariat </w:t>
      </w:r>
      <w:r w:rsidR="00F100D2" w:rsidRPr="00E81803">
        <w:t xml:space="preserve">of the Global Environment Facility (GEF) </w:t>
      </w:r>
      <w:r w:rsidRPr="00E81803">
        <w:t xml:space="preserve">in </w:t>
      </w:r>
      <w:r w:rsidR="00554DFB" w:rsidRPr="00E81803">
        <w:t>finalizing the</w:t>
      </w:r>
      <w:r w:rsidRPr="00E81803">
        <w:t xml:space="preserve"> documents relating to </w:t>
      </w:r>
      <w:r w:rsidR="00EF3BE7" w:rsidRPr="00E81803">
        <w:t xml:space="preserve">a </w:t>
      </w:r>
      <w:r w:rsidRPr="00E81803">
        <w:rPr>
          <w:bCs/>
        </w:rPr>
        <w:t xml:space="preserve">draft memorandum of understanding between the Conference of the Parties </w:t>
      </w:r>
      <w:r w:rsidR="005B1A45">
        <w:rPr>
          <w:bCs/>
        </w:rPr>
        <w:t>to</w:t>
      </w:r>
      <w:r w:rsidR="005B1A45" w:rsidRPr="00E81803">
        <w:rPr>
          <w:bCs/>
        </w:rPr>
        <w:t xml:space="preserve"> </w:t>
      </w:r>
      <w:r w:rsidRPr="00E81803">
        <w:rPr>
          <w:bCs/>
        </w:rPr>
        <w:t>the Minamata Convention and the GEF Council</w:t>
      </w:r>
      <w:r w:rsidR="00187CDE" w:rsidRPr="00E81803">
        <w:rPr>
          <w:bCs/>
        </w:rPr>
        <w:t>,</w:t>
      </w:r>
      <w:r w:rsidRPr="00E81803">
        <w:rPr>
          <w:bCs/>
        </w:rPr>
        <w:t xml:space="preserve"> </w:t>
      </w:r>
      <w:r w:rsidR="00F83C2A" w:rsidRPr="00E81803">
        <w:rPr>
          <w:bCs/>
        </w:rPr>
        <w:t xml:space="preserve">as well as on </w:t>
      </w:r>
      <w:r w:rsidRPr="00E81803">
        <w:t>draft guidance to GEF</w:t>
      </w:r>
      <w:r w:rsidRPr="00E81803">
        <w:rPr>
          <w:bCs/>
        </w:rPr>
        <w:t>.</w:t>
      </w:r>
      <w:r w:rsidRPr="00E81803">
        <w:rPr>
          <w:b/>
        </w:rPr>
        <w:t xml:space="preserve"> </w:t>
      </w:r>
    </w:p>
    <w:p w14:paraId="1BAA051A" w14:textId="5C5F49DA" w:rsidR="000760B6" w:rsidRPr="00E81803" w:rsidRDefault="000760B6" w:rsidP="004C64D1">
      <w:pPr>
        <w:pStyle w:val="Normalnumber"/>
        <w:keepNext/>
        <w:keepLines/>
        <w:numPr>
          <w:ilvl w:val="0"/>
          <w:numId w:val="33"/>
        </w:numPr>
        <w:tabs>
          <w:tab w:val="clear" w:pos="624"/>
          <w:tab w:val="left" w:pos="1247"/>
          <w:tab w:val="left" w:pos="1814"/>
          <w:tab w:val="left" w:pos="2381"/>
          <w:tab w:val="left" w:pos="2948"/>
          <w:tab w:val="left" w:pos="3515"/>
          <w:tab w:val="left" w:pos="4082"/>
        </w:tabs>
      </w:pPr>
      <w:r w:rsidRPr="00E81803">
        <w:lastRenderedPageBreak/>
        <w:t xml:space="preserve">In addition to </w:t>
      </w:r>
      <w:r w:rsidR="00EF3BE7" w:rsidRPr="00E81803">
        <w:t xml:space="preserve">its </w:t>
      </w:r>
      <w:r w:rsidRPr="00DA7A79">
        <w:t>contributions to the development</w:t>
      </w:r>
      <w:r w:rsidRPr="00E81803">
        <w:t xml:space="preserve"> of meeting documents, each of the organizations contributing to the work of the interim secretariat, particularly in support of ratification and early implementation, has been invited to</w:t>
      </w:r>
      <w:r w:rsidR="00EF3BE7" w:rsidRPr="00E81803">
        <w:t xml:space="preserve"> provide</w:t>
      </w:r>
      <w:r w:rsidRPr="00E81803">
        <w:t xml:space="preserve"> </w:t>
      </w:r>
      <w:r w:rsidR="00554DFB" w:rsidRPr="00E81803">
        <w:t xml:space="preserve">information </w:t>
      </w:r>
      <w:r w:rsidR="00EF3BE7" w:rsidRPr="00E81803">
        <w:t>on its activities in support of the Convention for</w:t>
      </w:r>
      <w:r w:rsidR="00554DFB" w:rsidRPr="00E81803">
        <w:t xml:space="preserve"> the first meeting of the Conference of the Parties.</w:t>
      </w:r>
      <w:r w:rsidRPr="00E81803">
        <w:t xml:space="preserve"> Accordingly, a progress report on </w:t>
      </w:r>
      <w:r w:rsidR="00F83C2A" w:rsidRPr="00E81803">
        <w:t xml:space="preserve">activities under the </w:t>
      </w:r>
      <w:r w:rsidRPr="00E81803">
        <w:t>UNEP Global Mercury Partnership (</w:t>
      </w:r>
      <w:r w:rsidR="00554DFB" w:rsidRPr="00E81803">
        <w:t>UNEP/MC/COP.1/</w:t>
      </w:r>
      <w:r w:rsidRPr="00E81803">
        <w:t>INF</w:t>
      </w:r>
      <w:r w:rsidR="00554DFB" w:rsidRPr="00E81803">
        <w:t>/2</w:t>
      </w:r>
      <w:r w:rsidRPr="00E81803">
        <w:t>)</w:t>
      </w:r>
      <w:r w:rsidR="00927821" w:rsidRPr="00E81803">
        <w:t>, a report o</w:t>
      </w:r>
      <w:r w:rsidR="00EF3BE7" w:rsidRPr="00E81803">
        <w:t>n</w:t>
      </w:r>
      <w:r w:rsidR="00927821" w:rsidRPr="00E81803">
        <w:t xml:space="preserve"> </w:t>
      </w:r>
      <w:r w:rsidR="00EF3BE7" w:rsidRPr="00E81803">
        <w:t xml:space="preserve">GEF </w:t>
      </w:r>
      <w:r w:rsidR="00927821" w:rsidRPr="00E81803">
        <w:t xml:space="preserve">activities (UNEP/MC/COP.1/INF/3), a report on the activities of the </w:t>
      </w:r>
      <w:r w:rsidR="00AD0AC9">
        <w:t>S</w:t>
      </w:r>
      <w:r w:rsidR="00AD0AC9" w:rsidRPr="00E81803">
        <w:t xml:space="preserve">pecial </w:t>
      </w:r>
      <w:r w:rsidR="00AD0AC9">
        <w:t>P</w:t>
      </w:r>
      <w:r w:rsidR="00AD0AC9" w:rsidRPr="00E81803">
        <w:t xml:space="preserve">rogramme </w:t>
      </w:r>
      <w:r w:rsidR="001B6273" w:rsidRPr="00E81803">
        <w:t xml:space="preserve">to support institutional strengthening at the national level </w:t>
      </w:r>
      <w:r w:rsidR="004C64D1">
        <w:t>for</w:t>
      </w:r>
      <w:r w:rsidR="001B6273" w:rsidRPr="00E81803">
        <w:t xml:space="preserve"> implementation of the Basel</w:t>
      </w:r>
      <w:r w:rsidR="00DA7A79">
        <w:t>,</w:t>
      </w:r>
      <w:r w:rsidR="001B6273" w:rsidRPr="00E81803">
        <w:t xml:space="preserve"> Rotterdam and Stockholm conventions, the Minamata Convention and the Strategic Approach to International Chemicals Management</w:t>
      </w:r>
      <w:r w:rsidR="001B6273" w:rsidRPr="00E81803" w:rsidDel="001B6273">
        <w:t xml:space="preserve"> </w:t>
      </w:r>
      <w:r w:rsidR="00927821" w:rsidRPr="00E81803">
        <w:t>(UNEP/MC/COP.1/INF/4)</w:t>
      </w:r>
      <w:r w:rsidRPr="00E81803">
        <w:t xml:space="preserve"> and a report on activities undertaken by all other partner organizations (</w:t>
      </w:r>
      <w:r w:rsidR="00927821" w:rsidRPr="00E81803">
        <w:t>UNEP/MC/COP.1/INF/5)</w:t>
      </w:r>
      <w:r w:rsidRPr="00E81803">
        <w:t xml:space="preserve"> will be available </w:t>
      </w:r>
      <w:r w:rsidR="006A16FF" w:rsidRPr="00E81803">
        <w:t xml:space="preserve">for </w:t>
      </w:r>
      <w:r w:rsidRPr="00E81803">
        <w:t xml:space="preserve">the </w:t>
      </w:r>
      <w:r w:rsidR="00927821" w:rsidRPr="00E81803">
        <w:t xml:space="preserve">first meeting of the </w:t>
      </w:r>
      <w:r w:rsidR="00F83C2A" w:rsidRPr="00E81803">
        <w:t>C</w:t>
      </w:r>
      <w:r w:rsidR="00927821" w:rsidRPr="00E81803">
        <w:t>onference</w:t>
      </w:r>
      <w:r w:rsidR="00F83C2A" w:rsidRPr="00E81803">
        <w:t xml:space="preserve"> of the Parties</w:t>
      </w:r>
      <w:r w:rsidR="00927821" w:rsidRPr="00E81803">
        <w:t>.</w:t>
      </w:r>
      <w:r w:rsidR="00306DBF">
        <w:t xml:space="preserve"> </w:t>
      </w:r>
    </w:p>
    <w:p w14:paraId="64927EE6" w14:textId="77777777" w:rsidR="000760B6" w:rsidRPr="00E81803" w:rsidRDefault="000760B6" w:rsidP="001F2B6B">
      <w:pPr>
        <w:pStyle w:val="CH2"/>
      </w:pPr>
      <w:r w:rsidRPr="00E81803">
        <w:tab/>
      </w:r>
      <w:r w:rsidR="009718A3" w:rsidRPr="00E81803">
        <w:t>B.</w:t>
      </w:r>
      <w:r w:rsidRPr="00E81803">
        <w:tab/>
        <w:t>Meetings of the bureau of the intergovernmental negotiating committee</w:t>
      </w:r>
    </w:p>
    <w:p w14:paraId="631B3031" w14:textId="4EA118CB" w:rsidR="000760B6" w:rsidRPr="00E81803" w:rsidRDefault="000760B6" w:rsidP="00E05E61">
      <w:pPr>
        <w:pStyle w:val="Normalnumber"/>
        <w:numPr>
          <w:ilvl w:val="0"/>
          <w:numId w:val="33"/>
        </w:numPr>
        <w:tabs>
          <w:tab w:val="clear" w:pos="624"/>
          <w:tab w:val="left" w:pos="1247"/>
          <w:tab w:val="left" w:pos="1814"/>
          <w:tab w:val="left" w:pos="2381"/>
          <w:tab w:val="left" w:pos="2948"/>
          <w:tab w:val="left" w:pos="3515"/>
          <w:tab w:val="left" w:pos="4082"/>
        </w:tabs>
      </w:pPr>
      <w:r w:rsidRPr="00E81803">
        <w:t xml:space="preserve">Since the </w:t>
      </w:r>
      <w:r w:rsidR="00927821" w:rsidRPr="00E05E61">
        <w:t>seventh</w:t>
      </w:r>
      <w:r w:rsidRPr="00E05E61">
        <w:t xml:space="preserve"> session</w:t>
      </w:r>
      <w:r w:rsidRPr="00E81803">
        <w:t xml:space="preserve"> of the intergovernmental negotiating committee, </w:t>
      </w:r>
      <w:r w:rsidR="00927821" w:rsidRPr="00E81803">
        <w:t>three</w:t>
      </w:r>
      <w:r w:rsidRPr="00E81803">
        <w:t xml:space="preserve"> meetings of the </w:t>
      </w:r>
      <w:r w:rsidR="00EE6754" w:rsidRPr="00E81803">
        <w:t xml:space="preserve">committee’s </w:t>
      </w:r>
      <w:r w:rsidRPr="00E81803">
        <w:t xml:space="preserve">bureau have been held, </w:t>
      </w:r>
      <w:r w:rsidR="00927821" w:rsidRPr="00E81803">
        <w:t>o</w:t>
      </w:r>
      <w:r w:rsidRPr="00E81803">
        <w:t xml:space="preserve">n </w:t>
      </w:r>
      <w:r w:rsidR="00927821" w:rsidRPr="00E81803">
        <w:rPr>
          <w:rStyle w:val="Strong"/>
          <w:b w:val="0"/>
          <w:bCs w:val="0"/>
        </w:rPr>
        <w:t xml:space="preserve">24 </w:t>
      </w:r>
      <w:r w:rsidR="00F83C2A" w:rsidRPr="00E81803">
        <w:rPr>
          <w:rStyle w:val="Strong"/>
          <w:b w:val="0"/>
          <w:bCs w:val="0"/>
        </w:rPr>
        <w:t>and</w:t>
      </w:r>
      <w:r w:rsidR="00927821" w:rsidRPr="00E81803">
        <w:rPr>
          <w:rStyle w:val="Strong"/>
          <w:b w:val="0"/>
          <w:bCs w:val="0"/>
        </w:rPr>
        <w:t xml:space="preserve"> 25 August 2016 in </w:t>
      </w:r>
      <w:r w:rsidR="00927821" w:rsidRPr="00E81803">
        <w:t>Livingston</w:t>
      </w:r>
      <w:r w:rsidR="00E05E61">
        <w:t>e</w:t>
      </w:r>
      <w:r w:rsidR="00F83C2A" w:rsidRPr="00E81803">
        <w:t>,</w:t>
      </w:r>
      <w:r w:rsidR="00927821" w:rsidRPr="00E81803">
        <w:t xml:space="preserve"> Zambia, on 12 January 2017</w:t>
      </w:r>
      <w:r w:rsidR="00F83C2A" w:rsidRPr="00E81803">
        <w:t xml:space="preserve"> </w:t>
      </w:r>
      <w:r w:rsidR="009718A3" w:rsidRPr="00E81803">
        <w:t>in Haikou</w:t>
      </w:r>
      <w:r w:rsidR="00927821" w:rsidRPr="00E81803">
        <w:t>, Hainan Province, China and on 3 and 4 July 2017 in Bangkok.</w:t>
      </w:r>
      <w:r w:rsidR="00306DBF">
        <w:t xml:space="preserve"> </w:t>
      </w:r>
      <w:r w:rsidR="00927821" w:rsidRPr="00E81803">
        <w:t xml:space="preserve">The Government of Switzerland, </w:t>
      </w:r>
      <w:r w:rsidR="00FA23C0" w:rsidRPr="00E81803">
        <w:t xml:space="preserve">which will host </w:t>
      </w:r>
      <w:r w:rsidR="00927821" w:rsidRPr="00E81803">
        <w:t>the first meeting of the Conference of the Parties</w:t>
      </w:r>
      <w:r w:rsidR="00FA23C0" w:rsidRPr="00E81803">
        <w:t xml:space="preserve"> in Geneva, was represented as an observer at the meetings</w:t>
      </w:r>
      <w:r w:rsidR="00927821" w:rsidRPr="00E81803">
        <w:t xml:space="preserve">. </w:t>
      </w:r>
      <w:r w:rsidRPr="00E81803">
        <w:t>Among</w:t>
      </w:r>
      <w:r w:rsidR="00F83C2A" w:rsidRPr="00E81803">
        <w:t xml:space="preserve"> others,</w:t>
      </w:r>
      <w:r w:rsidRPr="00E81803">
        <w:t xml:space="preserve"> the main objectives of these meetings w</w:t>
      </w:r>
      <w:r w:rsidR="00F83C2A" w:rsidRPr="00E81803">
        <w:t>ere</w:t>
      </w:r>
      <w:r w:rsidRPr="00E81803">
        <w:t xml:space="preserve"> to take stock of the outcome of the committee’s </w:t>
      </w:r>
      <w:r w:rsidR="00927821" w:rsidRPr="00E81803">
        <w:t xml:space="preserve">seventh </w:t>
      </w:r>
      <w:r w:rsidRPr="00E81803">
        <w:t xml:space="preserve">session, to ensure adequate planning for the </w:t>
      </w:r>
      <w:r w:rsidR="00927821" w:rsidRPr="00E81803">
        <w:t>first meeting of the Conference</w:t>
      </w:r>
      <w:r w:rsidR="00F83C2A" w:rsidRPr="00E81803">
        <w:t xml:space="preserve"> of the Parties</w:t>
      </w:r>
      <w:r w:rsidR="00927821" w:rsidRPr="00E81803">
        <w:t>, including in particular</w:t>
      </w:r>
      <w:r w:rsidR="00F83C2A" w:rsidRPr="00E81803">
        <w:t xml:space="preserve"> its</w:t>
      </w:r>
      <w:r w:rsidR="00927821" w:rsidRPr="00E81803">
        <w:t xml:space="preserve"> </w:t>
      </w:r>
      <w:r w:rsidR="00E05E61" w:rsidRPr="00E81803">
        <w:t>high</w:t>
      </w:r>
      <w:r w:rsidR="00E05E61">
        <w:t>-</w:t>
      </w:r>
      <w:r w:rsidR="00927821" w:rsidRPr="00E81803">
        <w:t>level segment</w:t>
      </w:r>
      <w:r w:rsidRPr="00E81803">
        <w:t>, to consider the issues to be addressed</w:t>
      </w:r>
      <w:r w:rsidR="00910514" w:rsidRPr="00E81803">
        <w:t>,</w:t>
      </w:r>
      <w:r w:rsidRPr="00E81803">
        <w:t xml:space="preserve"> to </w:t>
      </w:r>
      <w:r w:rsidR="00A83B47" w:rsidRPr="00E81803">
        <w:t xml:space="preserve">discuss </w:t>
      </w:r>
      <w:r w:rsidRPr="00E81803">
        <w:t xml:space="preserve">strategic and policy </w:t>
      </w:r>
      <w:r w:rsidR="00A83B47" w:rsidRPr="00E81803">
        <w:t xml:space="preserve">matters </w:t>
      </w:r>
      <w:r w:rsidRPr="00E81803">
        <w:t xml:space="preserve">and </w:t>
      </w:r>
      <w:r w:rsidR="00910514" w:rsidRPr="00E81803">
        <w:t xml:space="preserve">to </w:t>
      </w:r>
      <w:r w:rsidRPr="00E81803">
        <w:t xml:space="preserve">develop logistical plans for the </w:t>
      </w:r>
      <w:r w:rsidR="00F747D1" w:rsidRPr="00E81803">
        <w:t>first meeting</w:t>
      </w:r>
      <w:r w:rsidR="00910514" w:rsidRPr="00E81803">
        <w:t xml:space="preserve"> of the Conference of the Parties</w:t>
      </w:r>
      <w:r w:rsidRPr="00E81803">
        <w:t>. Reports of the bureau meetings are available on the Convention website.</w:t>
      </w:r>
      <w:r w:rsidRPr="00E81803">
        <w:rPr>
          <w:rStyle w:val="FootnoteReference"/>
        </w:rPr>
        <w:footnoteReference w:id="2"/>
      </w:r>
      <w:r w:rsidRPr="00E81803">
        <w:t xml:space="preserve"> Cooperation with the secretariats of GEF and the Basel, Rotterdam and Stockholm conventions in particular was also addressed at the meetings, through briefings provided by the two secretariats.</w:t>
      </w:r>
    </w:p>
    <w:p w14:paraId="2514C48F" w14:textId="39B9D7D4" w:rsidR="000760B6" w:rsidRPr="00E81803" w:rsidRDefault="000760B6" w:rsidP="001F2B6B">
      <w:pPr>
        <w:pStyle w:val="Normalnumber"/>
        <w:numPr>
          <w:ilvl w:val="0"/>
          <w:numId w:val="0"/>
        </w:numPr>
        <w:tabs>
          <w:tab w:val="clear" w:pos="624"/>
          <w:tab w:val="left" w:pos="1247"/>
          <w:tab w:val="left" w:pos="1814"/>
          <w:tab w:val="left" w:pos="2381"/>
          <w:tab w:val="left" w:pos="2948"/>
          <w:tab w:val="left" w:pos="3515"/>
          <w:tab w:val="left" w:pos="4082"/>
        </w:tabs>
        <w:ind w:left="1247"/>
      </w:pPr>
      <w:r w:rsidRPr="00E81803">
        <w:t>The interim secretariat supported the organization of the meetings through logistical preparations and the delivery of necessary information prior to and during the meetings.</w:t>
      </w:r>
    </w:p>
    <w:p w14:paraId="28C565FC" w14:textId="605132B3" w:rsidR="000760B6" w:rsidRPr="00E81803" w:rsidRDefault="009718A3" w:rsidP="009718A3">
      <w:pPr>
        <w:pStyle w:val="CH2"/>
      </w:pPr>
      <w:r w:rsidRPr="00E81803">
        <w:tab/>
      </w:r>
      <w:r w:rsidR="000760B6" w:rsidRPr="00E81803">
        <w:t>C.</w:t>
      </w:r>
      <w:r w:rsidR="000760B6" w:rsidRPr="00E81803">
        <w:tab/>
        <w:t xml:space="preserve">Regional meetings in preparation for the </w:t>
      </w:r>
      <w:r w:rsidR="00F747D1" w:rsidRPr="00E81803">
        <w:t>first meeting of the Conference of the Parties</w:t>
      </w:r>
      <w:r w:rsidR="00306DBF">
        <w:t xml:space="preserve"> </w:t>
      </w:r>
    </w:p>
    <w:p w14:paraId="37E64BB0" w14:textId="2E840040" w:rsidR="000760B6" w:rsidRPr="00E81803" w:rsidRDefault="000760B6" w:rsidP="006F4948">
      <w:pPr>
        <w:pStyle w:val="Normalnumber"/>
        <w:numPr>
          <w:ilvl w:val="0"/>
          <w:numId w:val="33"/>
        </w:numPr>
        <w:tabs>
          <w:tab w:val="clear" w:pos="624"/>
          <w:tab w:val="left" w:pos="1247"/>
          <w:tab w:val="left" w:pos="1814"/>
          <w:tab w:val="left" w:pos="2381"/>
          <w:tab w:val="left" w:pos="2948"/>
          <w:tab w:val="left" w:pos="3515"/>
          <w:tab w:val="left" w:pos="4082"/>
        </w:tabs>
        <w:rPr>
          <w:bCs/>
        </w:rPr>
      </w:pPr>
      <w:r w:rsidRPr="00E81803">
        <w:t xml:space="preserve">In preparation for the </w:t>
      </w:r>
      <w:r w:rsidR="00F747D1" w:rsidRPr="00E81803">
        <w:t xml:space="preserve">first </w:t>
      </w:r>
      <w:r w:rsidR="00F747D1" w:rsidRPr="006F4948">
        <w:t>meeting of the</w:t>
      </w:r>
      <w:r w:rsidR="00F747D1" w:rsidRPr="00E81803">
        <w:t xml:space="preserve"> Conference of the Parties</w:t>
      </w:r>
      <w:r w:rsidR="000B3759" w:rsidRPr="00E81803">
        <w:t xml:space="preserve"> to the Minamata Convention</w:t>
      </w:r>
      <w:r w:rsidRPr="00E81803">
        <w:t xml:space="preserve">, the interim secretariat </w:t>
      </w:r>
      <w:r w:rsidR="001E54FA" w:rsidRPr="00E81803">
        <w:t>is organizing</w:t>
      </w:r>
      <w:r w:rsidRPr="00E81803">
        <w:t xml:space="preserve"> a series of </w:t>
      </w:r>
      <w:r w:rsidRPr="00C107C4">
        <w:t xml:space="preserve">regional </w:t>
      </w:r>
      <w:r w:rsidR="00910514" w:rsidRPr="00C107C4">
        <w:t xml:space="preserve">consultations </w:t>
      </w:r>
      <w:r w:rsidRPr="00C107C4">
        <w:t>for the Africa</w:t>
      </w:r>
      <w:r w:rsidR="000B3759" w:rsidRPr="00C107C4">
        <w:t>n</w:t>
      </w:r>
      <w:r w:rsidRPr="00C107C4">
        <w:t>, Asia</w:t>
      </w:r>
      <w:r w:rsidR="000B3759" w:rsidRPr="00C107C4">
        <w:t>-</w:t>
      </w:r>
      <w:r w:rsidR="009718A3" w:rsidRPr="00C107C4">
        <w:t>Pacific</w:t>
      </w:r>
      <w:r w:rsidRPr="00C107C4">
        <w:t>, Central and Eastern Europe</w:t>
      </w:r>
      <w:r w:rsidR="000B3759" w:rsidRPr="00C107C4">
        <w:t>an</w:t>
      </w:r>
      <w:r w:rsidRPr="00C107C4">
        <w:t xml:space="preserve"> and Central Asia</w:t>
      </w:r>
      <w:r w:rsidR="000B3759" w:rsidRPr="00C107C4">
        <w:t>n</w:t>
      </w:r>
      <w:r w:rsidR="00CC7F80" w:rsidRPr="00C107C4">
        <w:t>,</w:t>
      </w:r>
      <w:r w:rsidRPr="00C107C4">
        <w:t xml:space="preserve"> and Latin America</w:t>
      </w:r>
      <w:r w:rsidR="009D01B5" w:rsidRPr="00C107C4">
        <w:t>n</w:t>
      </w:r>
      <w:r w:rsidRPr="00C107C4">
        <w:t xml:space="preserve"> and </w:t>
      </w:r>
      <w:r w:rsidR="009D01B5" w:rsidRPr="00C107C4">
        <w:t xml:space="preserve">the </w:t>
      </w:r>
      <w:r w:rsidRPr="00C107C4">
        <w:t>Caribbean</w:t>
      </w:r>
      <w:r w:rsidRPr="00E81803">
        <w:t xml:space="preserve"> regions. These </w:t>
      </w:r>
      <w:r w:rsidR="009718A3" w:rsidRPr="00E81803">
        <w:t>consultations</w:t>
      </w:r>
      <w:r w:rsidRPr="00E81803">
        <w:t xml:space="preserve"> were called for by a number of Governments </w:t>
      </w:r>
      <w:r w:rsidRPr="00E81803">
        <w:rPr>
          <w:bCs/>
        </w:rPr>
        <w:t>to allow the regions to prepare for the first meeting of the Conference of the Parties</w:t>
      </w:r>
      <w:r w:rsidR="00F747D1" w:rsidRPr="00E81803">
        <w:rPr>
          <w:bCs/>
        </w:rPr>
        <w:t>, with particular attention to ensuring full participation from the regions</w:t>
      </w:r>
      <w:r w:rsidRPr="00E81803">
        <w:rPr>
          <w:bCs/>
        </w:rPr>
        <w:t xml:space="preserve">. These </w:t>
      </w:r>
      <w:r w:rsidRPr="009D01B5">
        <w:rPr>
          <w:bCs/>
        </w:rPr>
        <w:t xml:space="preserve">meetings </w:t>
      </w:r>
      <w:r w:rsidR="009D01B5" w:rsidRPr="009D01B5">
        <w:rPr>
          <w:bCs/>
        </w:rPr>
        <w:t>are being</w:t>
      </w:r>
      <w:r w:rsidRPr="009D01B5">
        <w:rPr>
          <w:bCs/>
        </w:rPr>
        <w:t xml:space="preserve"> held as follows</w:t>
      </w:r>
      <w:r w:rsidRPr="00E81803">
        <w:rPr>
          <w:bCs/>
        </w:rPr>
        <w:t xml:space="preserve">: </w:t>
      </w:r>
    </w:p>
    <w:p w14:paraId="18F2824C" w14:textId="40313612" w:rsidR="000760B6" w:rsidRPr="00E81803" w:rsidRDefault="000760B6" w:rsidP="00F747D1">
      <w:pPr>
        <w:pStyle w:val="Normalnumber"/>
        <w:numPr>
          <w:ilvl w:val="1"/>
          <w:numId w:val="33"/>
        </w:numPr>
        <w:tabs>
          <w:tab w:val="clear" w:pos="624"/>
          <w:tab w:val="left" w:pos="1247"/>
          <w:tab w:val="left" w:pos="1814"/>
          <w:tab w:val="left" w:pos="2381"/>
          <w:tab w:val="left" w:pos="2948"/>
          <w:tab w:val="left" w:pos="3515"/>
          <w:tab w:val="left" w:pos="4082"/>
        </w:tabs>
      </w:pPr>
      <w:r w:rsidRPr="00E81803">
        <w:t xml:space="preserve">For Asia-Pacific, from </w:t>
      </w:r>
      <w:r w:rsidR="00F747D1" w:rsidRPr="00E81803">
        <w:t>5 to 7 July 2017 in Bangkok</w:t>
      </w:r>
      <w:r w:rsidR="00A02EC3" w:rsidRPr="00E81803">
        <w:t>;</w:t>
      </w:r>
    </w:p>
    <w:p w14:paraId="2A7D4B8B" w14:textId="193A1416" w:rsidR="000760B6" w:rsidRPr="00E81803" w:rsidRDefault="000760B6" w:rsidP="00F747D1">
      <w:pPr>
        <w:pStyle w:val="Normalnumber"/>
        <w:numPr>
          <w:ilvl w:val="1"/>
          <w:numId w:val="33"/>
        </w:numPr>
        <w:tabs>
          <w:tab w:val="clear" w:pos="624"/>
          <w:tab w:val="left" w:pos="1247"/>
          <w:tab w:val="left" w:pos="1814"/>
          <w:tab w:val="left" w:pos="2381"/>
          <w:tab w:val="left" w:pos="2948"/>
          <w:tab w:val="left" w:pos="3515"/>
          <w:tab w:val="left" w:pos="4082"/>
        </w:tabs>
      </w:pPr>
      <w:r w:rsidRPr="00E81803">
        <w:t xml:space="preserve">For Africa, from </w:t>
      </w:r>
      <w:r w:rsidR="00F747D1" w:rsidRPr="00E81803">
        <w:t>11 to 13 July, in Johannesburg, South Africa</w:t>
      </w:r>
      <w:r w:rsidRPr="00E81803">
        <w:t>;</w:t>
      </w:r>
    </w:p>
    <w:p w14:paraId="23C7D43C" w14:textId="6BCE354A" w:rsidR="000760B6" w:rsidRPr="00E81803" w:rsidRDefault="000760B6">
      <w:pPr>
        <w:pStyle w:val="Normalnumber"/>
        <w:numPr>
          <w:ilvl w:val="1"/>
          <w:numId w:val="33"/>
        </w:numPr>
        <w:tabs>
          <w:tab w:val="clear" w:pos="624"/>
          <w:tab w:val="left" w:pos="1247"/>
          <w:tab w:val="left" w:pos="1814"/>
          <w:tab w:val="left" w:pos="2381"/>
          <w:tab w:val="left" w:pos="2948"/>
          <w:tab w:val="left" w:pos="3515"/>
          <w:tab w:val="left" w:pos="4082"/>
        </w:tabs>
      </w:pPr>
      <w:r w:rsidRPr="00E81803">
        <w:t xml:space="preserve">For Central and Eastern Europe </w:t>
      </w:r>
      <w:r w:rsidRPr="001F4F4A">
        <w:t>and Central Asia</w:t>
      </w:r>
      <w:r w:rsidRPr="00E81803">
        <w:t xml:space="preserve">, on </w:t>
      </w:r>
      <w:r w:rsidR="00F747D1" w:rsidRPr="00E81803">
        <w:t>12</w:t>
      </w:r>
      <w:r w:rsidRPr="00E81803">
        <w:t xml:space="preserve"> and </w:t>
      </w:r>
      <w:r w:rsidR="00F747D1" w:rsidRPr="00E81803">
        <w:t>13</w:t>
      </w:r>
      <w:r w:rsidRPr="00E81803">
        <w:t xml:space="preserve"> </w:t>
      </w:r>
      <w:r w:rsidR="00F747D1" w:rsidRPr="00E81803">
        <w:t>July 2017</w:t>
      </w:r>
      <w:r w:rsidRPr="00E81803">
        <w:t xml:space="preserve"> in Brno, Czech</w:t>
      </w:r>
      <w:r w:rsidR="008C796D" w:rsidRPr="00E81803">
        <w:t>ia</w:t>
      </w:r>
      <w:r w:rsidRPr="00E81803">
        <w:t>;</w:t>
      </w:r>
      <w:r w:rsidR="009D353F">
        <w:t xml:space="preserve"> </w:t>
      </w:r>
    </w:p>
    <w:p w14:paraId="4425D93D" w14:textId="17633CCB" w:rsidR="000760B6" w:rsidRPr="00E81803" w:rsidRDefault="000760B6">
      <w:pPr>
        <w:pStyle w:val="Normalnumber"/>
        <w:numPr>
          <w:ilvl w:val="1"/>
          <w:numId w:val="33"/>
        </w:numPr>
        <w:tabs>
          <w:tab w:val="clear" w:pos="624"/>
          <w:tab w:val="left" w:pos="1247"/>
          <w:tab w:val="left" w:pos="1814"/>
          <w:tab w:val="left" w:pos="2381"/>
          <w:tab w:val="left" w:pos="2948"/>
          <w:tab w:val="left" w:pos="3515"/>
          <w:tab w:val="left" w:pos="4082"/>
        </w:tabs>
      </w:pPr>
      <w:r w:rsidRPr="00E81803">
        <w:t>For Latin America and</w:t>
      </w:r>
      <w:r w:rsidR="009D01B5">
        <w:t xml:space="preserve"> </w:t>
      </w:r>
      <w:r w:rsidR="009D01B5" w:rsidRPr="001F4F4A">
        <w:t>the</w:t>
      </w:r>
      <w:r w:rsidRPr="001F4F4A">
        <w:t xml:space="preserve"> Caribbean</w:t>
      </w:r>
      <w:r w:rsidRPr="00E81803">
        <w:t xml:space="preserve">, from </w:t>
      </w:r>
      <w:r w:rsidR="00F747D1" w:rsidRPr="00E81803">
        <w:t xml:space="preserve">25 to 28 July 2017 </w:t>
      </w:r>
      <w:r w:rsidRPr="00E81803">
        <w:t xml:space="preserve">in </w:t>
      </w:r>
      <w:r w:rsidR="00F747D1" w:rsidRPr="00E81803">
        <w:t>Buenos Aires</w:t>
      </w:r>
      <w:r w:rsidRPr="00E81803">
        <w:t>.</w:t>
      </w:r>
    </w:p>
    <w:p w14:paraId="7B0BD206" w14:textId="048C9437" w:rsidR="000760B6" w:rsidRPr="00E81803" w:rsidRDefault="000760B6" w:rsidP="00910514">
      <w:pPr>
        <w:pStyle w:val="Normalnumber"/>
        <w:numPr>
          <w:ilvl w:val="0"/>
          <w:numId w:val="33"/>
        </w:numPr>
        <w:tabs>
          <w:tab w:val="clear" w:pos="624"/>
          <w:tab w:val="left" w:pos="1247"/>
          <w:tab w:val="left" w:pos="1814"/>
          <w:tab w:val="left" w:pos="2381"/>
          <w:tab w:val="left" w:pos="2948"/>
          <w:tab w:val="left" w:pos="3515"/>
          <w:tab w:val="left" w:pos="4082"/>
        </w:tabs>
      </w:pPr>
      <w:r w:rsidRPr="00E81803">
        <w:t xml:space="preserve">The overall objective of </w:t>
      </w:r>
      <w:r w:rsidRPr="00E53A84">
        <w:t xml:space="preserve">these </w:t>
      </w:r>
      <w:r w:rsidR="00910514" w:rsidRPr="00E53A84">
        <w:t>consultations</w:t>
      </w:r>
      <w:r w:rsidR="00910514" w:rsidRPr="00E81803">
        <w:t xml:space="preserve"> </w:t>
      </w:r>
      <w:r w:rsidRPr="00E81803">
        <w:t xml:space="preserve">is to contribute to the success of the </w:t>
      </w:r>
      <w:r w:rsidR="00F747D1" w:rsidRPr="00E81803">
        <w:t>first meeting of the Conference of the Parties</w:t>
      </w:r>
      <w:r w:rsidRPr="00E81803">
        <w:t xml:space="preserve"> by giving </w:t>
      </w:r>
      <w:r w:rsidR="00910514" w:rsidRPr="00E81803">
        <w:t>P</w:t>
      </w:r>
      <w:r w:rsidR="00F747D1" w:rsidRPr="00E81803">
        <w:t xml:space="preserve">arties and countries </w:t>
      </w:r>
      <w:r w:rsidRPr="00E81803">
        <w:t xml:space="preserve">in the regions the opportunity to consult </w:t>
      </w:r>
      <w:r w:rsidR="004479F0" w:rsidRPr="00E81803">
        <w:t xml:space="preserve">one </w:t>
      </w:r>
      <w:r w:rsidRPr="00E81803">
        <w:t xml:space="preserve">other in advance of the </w:t>
      </w:r>
      <w:r w:rsidR="00910514" w:rsidRPr="00E81803">
        <w:t>meeting</w:t>
      </w:r>
      <w:r w:rsidRPr="00E81803">
        <w:t xml:space="preserve">, to consider meeting documents, to discuss substantive matters on the agenda, to identify regional priorities and challenges and to facilitate the preparation of regional positions. </w:t>
      </w:r>
      <w:r w:rsidR="004479F0" w:rsidRPr="00E81803">
        <w:t>T</w:t>
      </w:r>
      <w:r w:rsidR="00F747D1" w:rsidRPr="00E81803">
        <w:t xml:space="preserve">he meetings will </w:t>
      </w:r>
      <w:r w:rsidR="004479F0" w:rsidRPr="00E81803">
        <w:t xml:space="preserve">also </w:t>
      </w:r>
      <w:r w:rsidR="00F747D1" w:rsidRPr="00E81803">
        <w:t xml:space="preserve">provide an opportunity for the regions to consider the membership of the bureau for the Conference of the Parties, as well as membership </w:t>
      </w:r>
      <w:r w:rsidR="004479F0" w:rsidRPr="00E81803">
        <w:t xml:space="preserve">of </w:t>
      </w:r>
      <w:r w:rsidR="00F747D1" w:rsidRPr="00E81803">
        <w:t>the implementation and compliance committee</w:t>
      </w:r>
      <w:r w:rsidR="004479F0" w:rsidRPr="00E81803">
        <w:t xml:space="preserve"> under the Convention</w:t>
      </w:r>
      <w:r w:rsidR="00F747D1" w:rsidRPr="00E81803">
        <w:t xml:space="preserve">. </w:t>
      </w:r>
      <w:r w:rsidRPr="00E81803">
        <w:rPr>
          <w:bCs/>
        </w:rPr>
        <w:t xml:space="preserve">The </w:t>
      </w:r>
      <w:r w:rsidRPr="00E81803">
        <w:t xml:space="preserve">regional </w:t>
      </w:r>
      <w:r w:rsidR="00910514" w:rsidRPr="00E81803">
        <w:t>consultation</w:t>
      </w:r>
      <w:r w:rsidRPr="00E81803">
        <w:t>s</w:t>
      </w:r>
      <w:r w:rsidRPr="00E81803">
        <w:rPr>
          <w:bCs/>
        </w:rPr>
        <w:t xml:space="preserve"> will include presentation by the interim secretariat of the documents for the </w:t>
      </w:r>
      <w:r w:rsidR="00F747D1" w:rsidRPr="00E81803">
        <w:rPr>
          <w:bCs/>
        </w:rPr>
        <w:t>first meeting</w:t>
      </w:r>
      <w:r w:rsidRPr="00E81803">
        <w:rPr>
          <w:bCs/>
        </w:rPr>
        <w:t xml:space="preserve">, followed by discussions among Governments and possible development of positions on the issues to be addressed at the </w:t>
      </w:r>
      <w:r w:rsidR="00F747D1" w:rsidRPr="00E81803">
        <w:rPr>
          <w:bCs/>
        </w:rPr>
        <w:t>meeting</w:t>
      </w:r>
      <w:r w:rsidRPr="00E81803">
        <w:rPr>
          <w:bCs/>
        </w:rPr>
        <w:t xml:space="preserve">. The provisional programme for each regional </w:t>
      </w:r>
      <w:r w:rsidR="00910514" w:rsidRPr="00E81803">
        <w:t>consultation</w:t>
      </w:r>
      <w:r w:rsidRPr="00E81803">
        <w:rPr>
          <w:bCs/>
        </w:rPr>
        <w:t xml:space="preserve"> </w:t>
      </w:r>
      <w:r w:rsidR="00F747D1" w:rsidRPr="00E81803">
        <w:rPr>
          <w:bCs/>
        </w:rPr>
        <w:t xml:space="preserve">has been developed </w:t>
      </w:r>
      <w:r w:rsidRPr="00E81803">
        <w:rPr>
          <w:bCs/>
        </w:rPr>
        <w:t>in cooperation with the members of the intergovernmental negotiating committee bureau from the region.</w:t>
      </w:r>
    </w:p>
    <w:p w14:paraId="0F851A5B" w14:textId="7D572270" w:rsidR="000760B6" w:rsidRPr="00E81803" w:rsidRDefault="000760B6" w:rsidP="00910514">
      <w:pPr>
        <w:pStyle w:val="Normalnumber"/>
        <w:numPr>
          <w:ilvl w:val="0"/>
          <w:numId w:val="33"/>
        </w:numPr>
        <w:tabs>
          <w:tab w:val="clear" w:pos="624"/>
          <w:tab w:val="left" w:pos="1247"/>
          <w:tab w:val="left" w:pos="1814"/>
          <w:tab w:val="left" w:pos="2381"/>
          <w:tab w:val="left" w:pos="2948"/>
          <w:tab w:val="left" w:pos="3515"/>
          <w:tab w:val="left" w:pos="4082"/>
        </w:tabs>
      </w:pPr>
      <w:r w:rsidRPr="00E81803">
        <w:t xml:space="preserve">The regional </w:t>
      </w:r>
      <w:r w:rsidR="00910514" w:rsidRPr="00E81803">
        <w:t>consultations</w:t>
      </w:r>
      <w:r w:rsidR="00910514" w:rsidRPr="00E81803" w:rsidDel="00910514">
        <w:t xml:space="preserve"> </w:t>
      </w:r>
      <w:r w:rsidRPr="00E81803">
        <w:t xml:space="preserve">are being organized by the interim secretariat in cooperation with Basel </w:t>
      </w:r>
      <w:r w:rsidR="009B057D" w:rsidRPr="00E81803">
        <w:t xml:space="preserve">and </w:t>
      </w:r>
      <w:r w:rsidRPr="00E81803">
        <w:t xml:space="preserve">Stockholm </w:t>
      </w:r>
      <w:r w:rsidR="009B057D" w:rsidRPr="00E81803">
        <w:t>c</w:t>
      </w:r>
      <w:r w:rsidRPr="00E81803">
        <w:t xml:space="preserve">onvention regional centres </w:t>
      </w:r>
      <w:r w:rsidR="00F747D1" w:rsidRPr="00E81803">
        <w:t xml:space="preserve">for the African region, </w:t>
      </w:r>
      <w:r w:rsidR="009B057D" w:rsidRPr="00E81803">
        <w:t xml:space="preserve">the </w:t>
      </w:r>
      <w:r w:rsidR="00F747D1" w:rsidRPr="00E81803">
        <w:t>Central and Eastern European and Central Asian region</w:t>
      </w:r>
      <w:r w:rsidR="009B057D" w:rsidRPr="00E81803">
        <w:t xml:space="preserve"> </w:t>
      </w:r>
      <w:r w:rsidR="009B057D" w:rsidRPr="00C107C4">
        <w:t>and the</w:t>
      </w:r>
      <w:r w:rsidR="00F747D1" w:rsidRPr="00C107C4">
        <w:t xml:space="preserve"> Latin American and </w:t>
      </w:r>
      <w:r w:rsidR="009D01B5" w:rsidRPr="00E02303">
        <w:t xml:space="preserve">the </w:t>
      </w:r>
      <w:r w:rsidR="00F747D1" w:rsidRPr="00C107C4">
        <w:t>Caribbean region and with the</w:t>
      </w:r>
      <w:r w:rsidR="00F747D1" w:rsidRPr="00E81803">
        <w:t xml:space="preserve"> Asia Office of the United Nations Environment Programme for the Asia-Pacific region</w:t>
      </w:r>
      <w:r w:rsidRPr="00E81803">
        <w:t xml:space="preserve"> and in close cooperation and coordination with the secretariat of the Basel, Rotterdam and Stockholm conventions. The meetings are being funded through voluntary contributions from the Government of Switzerland</w:t>
      </w:r>
      <w:r w:rsidR="00F747D1" w:rsidRPr="00E81803">
        <w:t xml:space="preserve"> and the European Commission</w:t>
      </w:r>
      <w:r w:rsidRPr="00E81803">
        <w:t xml:space="preserve"> as principal contributor</w:t>
      </w:r>
      <w:r w:rsidR="00F747D1" w:rsidRPr="00E81803">
        <w:t>s</w:t>
      </w:r>
      <w:r w:rsidRPr="00E81803">
        <w:t>.</w:t>
      </w:r>
    </w:p>
    <w:p w14:paraId="0050D760" w14:textId="77777777" w:rsidR="000760B6" w:rsidRPr="00E81803" w:rsidRDefault="000760B6" w:rsidP="000760B6">
      <w:pPr>
        <w:pStyle w:val="CH1"/>
      </w:pPr>
      <w:r w:rsidRPr="00E81803">
        <w:tab/>
        <w:t>III.</w:t>
      </w:r>
      <w:r w:rsidRPr="00E81803">
        <w:tab/>
        <w:t xml:space="preserve">Support for the ratification and early implementation of the Minamata Convention </w:t>
      </w:r>
    </w:p>
    <w:p w14:paraId="386327D6" w14:textId="018B1570" w:rsidR="000760B6" w:rsidRPr="00E81803" w:rsidRDefault="000760B6" w:rsidP="00910514">
      <w:pPr>
        <w:pStyle w:val="Normalnumber"/>
        <w:numPr>
          <w:ilvl w:val="0"/>
          <w:numId w:val="33"/>
        </w:numPr>
        <w:tabs>
          <w:tab w:val="clear" w:pos="624"/>
          <w:tab w:val="left" w:pos="1247"/>
          <w:tab w:val="left" w:pos="1814"/>
          <w:tab w:val="left" w:pos="2381"/>
          <w:tab w:val="left" w:pos="2948"/>
          <w:tab w:val="left" w:pos="3515"/>
          <w:tab w:val="left" w:pos="4082"/>
        </w:tabs>
      </w:pPr>
      <w:r w:rsidRPr="00E81803">
        <w:t xml:space="preserve">In addition to its </w:t>
      </w:r>
      <w:r w:rsidRPr="00E53A84">
        <w:t>work in support</w:t>
      </w:r>
      <w:r w:rsidRPr="00E81803">
        <w:t xml:space="preserve"> of the intergovernmental negotiating committee </w:t>
      </w:r>
      <w:r w:rsidRPr="00E81803">
        <w:rPr>
          <w:rFonts w:eastAsia="MS Mincho"/>
        </w:rPr>
        <w:t>and its activities</w:t>
      </w:r>
      <w:r w:rsidR="00F747D1" w:rsidRPr="00E81803">
        <w:rPr>
          <w:rFonts w:eastAsia="MS Mincho"/>
        </w:rPr>
        <w:t xml:space="preserve"> and the work to </w:t>
      </w:r>
      <w:r w:rsidR="00910514" w:rsidRPr="00E81803">
        <w:rPr>
          <w:rFonts w:eastAsia="MS Mincho"/>
        </w:rPr>
        <w:t xml:space="preserve">prepare </w:t>
      </w:r>
      <w:r w:rsidR="002F5BEB" w:rsidRPr="00E81803">
        <w:rPr>
          <w:rFonts w:eastAsia="MS Mincho"/>
        </w:rPr>
        <w:t xml:space="preserve">for </w:t>
      </w:r>
      <w:r w:rsidR="00F747D1" w:rsidRPr="00E81803">
        <w:rPr>
          <w:rFonts w:eastAsia="MS Mincho"/>
        </w:rPr>
        <w:t>the first meeting of the Conference of the Parties</w:t>
      </w:r>
      <w:r w:rsidRPr="00E81803">
        <w:rPr>
          <w:rFonts w:eastAsia="MS Mincho"/>
        </w:rPr>
        <w:t xml:space="preserve">, </w:t>
      </w:r>
      <w:r w:rsidRPr="00E81803">
        <w:t xml:space="preserve">the interim secretariat has supported activities at the national and regional levels to facilitate the ratification and early implementation of the Minamata Convention. </w:t>
      </w:r>
    </w:p>
    <w:p w14:paraId="4EFC0BCB" w14:textId="7930FFFB" w:rsidR="000760B6" w:rsidRPr="00E81803" w:rsidRDefault="009718A3" w:rsidP="001F2B6B">
      <w:pPr>
        <w:pStyle w:val="CH2"/>
      </w:pPr>
      <w:r w:rsidRPr="00E81803">
        <w:tab/>
        <w:t>A.</w:t>
      </w:r>
      <w:r w:rsidRPr="00E81803">
        <w:tab/>
      </w:r>
      <w:r w:rsidR="000760B6" w:rsidRPr="00E81803">
        <w:t xml:space="preserve">Organization of </w:t>
      </w:r>
      <w:r w:rsidR="00F747D1" w:rsidRPr="00E81803">
        <w:t xml:space="preserve">Minamata </w:t>
      </w:r>
      <w:r w:rsidR="006E5704" w:rsidRPr="00E81803">
        <w:t xml:space="preserve">Convention </w:t>
      </w:r>
      <w:r w:rsidR="00F747D1" w:rsidRPr="00E81803">
        <w:t xml:space="preserve">working sessions </w:t>
      </w:r>
    </w:p>
    <w:p w14:paraId="365D44D0" w14:textId="48C88AC1" w:rsidR="000760B6" w:rsidRPr="00946EE2" w:rsidRDefault="000760B6">
      <w:pPr>
        <w:pStyle w:val="Normalnumber"/>
        <w:numPr>
          <w:ilvl w:val="0"/>
          <w:numId w:val="33"/>
        </w:numPr>
        <w:tabs>
          <w:tab w:val="clear" w:pos="624"/>
          <w:tab w:val="left" w:pos="1247"/>
          <w:tab w:val="left" w:pos="1814"/>
          <w:tab w:val="left" w:pos="2381"/>
          <w:tab w:val="left" w:pos="2948"/>
          <w:tab w:val="left" w:pos="3515"/>
          <w:tab w:val="left" w:pos="4082"/>
        </w:tabs>
      </w:pPr>
      <w:r w:rsidRPr="00E81803">
        <w:t xml:space="preserve">In cooperation </w:t>
      </w:r>
      <w:r w:rsidRPr="00EE6E5C">
        <w:t>with the secretariat</w:t>
      </w:r>
      <w:r w:rsidRPr="00E81803">
        <w:t xml:space="preserve"> of the Basel, Rotterdam and Stockholm conventions and relevant regional centres of the Basel and Stockholm conventions, the interim secretariat </w:t>
      </w:r>
      <w:r w:rsidR="00F747D1" w:rsidRPr="00E81803">
        <w:t>has organized working session</w:t>
      </w:r>
      <w:r w:rsidR="00910514" w:rsidRPr="00E81803">
        <w:t>s</w:t>
      </w:r>
      <w:r w:rsidR="00F747D1" w:rsidRPr="00E81803">
        <w:t xml:space="preserve"> on the Minamata Convention on Mercury.</w:t>
      </w:r>
      <w:r w:rsidR="00306DBF">
        <w:t xml:space="preserve"> </w:t>
      </w:r>
      <w:r w:rsidR="00F747D1" w:rsidRPr="00E81803">
        <w:t xml:space="preserve">These sessions were </w:t>
      </w:r>
      <w:r w:rsidR="00910514" w:rsidRPr="00E81803">
        <w:t xml:space="preserve">held </w:t>
      </w:r>
      <w:r w:rsidR="00F747D1" w:rsidRPr="00E81803">
        <w:t xml:space="preserve">back to back with the preparatory meetings for the Conferences of the Parties </w:t>
      </w:r>
      <w:r w:rsidR="006F4C39">
        <w:t>to</w:t>
      </w:r>
      <w:r w:rsidR="006F4C39" w:rsidRPr="00E81803">
        <w:t xml:space="preserve"> </w:t>
      </w:r>
      <w:r w:rsidR="00F747D1" w:rsidRPr="00E81803">
        <w:t xml:space="preserve">the Basel, Rotterdam and Stockholm </w:t>
      </w:r>
      <w:r w:rsidR="002C1945">
        <w:t>c</w:t>
      </w:r>
      <w:r w:rsidR="00F747D1" w:rsidRPr="00E81803">
        <w:t>onventions.</w:t>
      </w:r>
      <w:r w:rsidR="00306DBF">
        <w:t xml:space="preserve"> </w:t>
      </w:r>
      <w:r w:rsidR="00F747D1" w:rsidRPr="00E81803">
        <w:t>The working sessions were held as follows</w:t>
      </w:r>
      <w:r w:rsidR="00F747D1" w:rsidRPr="00E02303">
        <w:rPr>
          <w:b/>
          <w:bCs/>
        </w:rPr>
        <w:t xml:space="preserve">: </w:t>
      </w:r>
    </w:p>
    <w:p w14:paraId="33259FC7" w14:textId="507FD884" w:rsidR="00F747D1" w:rsidRPr="00E81803" w:rsidRDefault="00F747D1" w:rsidP="00750E86">
      <w:pPr>
        <w:pStyle w:val="Normalnumber"/>
        <w:numPr>
          <w:ilvl w:val="1"/>
          <w:numId w:val="33"/>
        </w:numPr>
        <w:tabs>
          <w:tab w:val="clear" w:pos="1134"/>
        </w:tabs>
        <w:ind w:firstLine="624"/>
      </w:pPr>
      <w:r w:rsidRPr="00E81803">
        <w:t>Asia</w:t>
      </w:r>
      <w:r w:rsidR="00095751">
        <w:t>-</w:t>
      </w:r>
      <w:r w:rsidRPr="00E81803">
        <w:t>Pacific: 9 to 10 March 2017, Bangkok</w:t>
      </w:r>
      <w:r w:rsidR="00C107C4">
        <w:t>;</w:t>
      </w:r>
      <w:r w:rsidR="006F229F">
        <w:t xml:space="preserve"> </w:t>
      </w:r>
    </w:p>
    <w:p w14:paraId="456F6252" w14:textId="48DE490B" w:rsidR="00F747D1" w:rsidRPr="00E81803" w:rsidRDefault="00F747D1" w:rsidP="00E02303">
      <w:pPr>
        <w:pStyle w:val="Normalnumber"/>
        <w:numPr>
          <w:ilvl w:val="1"/>
          <w:numId w:val="33"/>
        </w:numPr>
        <w:tabs>
          <w:tab w:val="clear" w:pos="1134"/>
        </w:tabs>
        <w:ind w:firstLine="624"/>
      </w:pPr>
      <w:r w:rsidRPr="00E81803">
        <w:t>Africa: 17 March 2017, Dakar</w:t>
      </w:r>
      <w:r w:rsidR="00C107C4">
        <w:t>;</w:t>
      </w:r>
    </w:p>
    <w:p w14:paraId="5D1BB323" w14:textId="12A5006B" w:rsidR="00F747D1" w:rsidRPr="00E81803" w:rsidRDefault="00F747D1" w:rsidP="00E02303">
      <w:pPr>
        <w:pStyle w:val="Normalnumber"/>
        <w:numPr>
          <w:ilvl w:val="1"/>
          <w:numId w:val="33"/>
        </w:numPr>
        <w:tabs>
          <w:tab w:val="clear" w:pos="1134"/>
        </w:tabs>
        <w:ind w:firstLine="624"/>
      </w:pPr>
      <w:r w:rsidRPr="00E81803">
        <w:t>Central and Eastern Europe: 24 March 2017, Riga</w:t>
      </w:r>
      <w:r w:rsidR="00C107C4">
        <w:t>;</w:t>
      </w:r>
    </w:p>
    <w:p w14:paraId="0AB42D45" w14:textId="5F0DBF0B" w:rsidR="00F747D1" w:rsidRPr="00E81803" w:rsidRDefault="00F747D1" w:rsidP="00E02303">
      <w:pPr>
        <w:pStyle w:val="Normalnumber"/>
        <w:numPr>
          <w:ilvl w:val="1"/>
          <w:numId w:val="33"/>
        </w:numPr>
        <w:tabs>
          <w:tab w:val="clear" w:pos="1134"/>
        </w:tabs>
        <w:ind w:firstLine="624"/>
      </w:pPr>
      <w:r w:rsidRPr="00E81803">
        <w:t>Latin America and the Caribbean: 27 to 31 March 2017, Sao Paulo, Brazil</w:t>
      </w:r>
      <w:r w:rsidR="00C107C4">
        <w:t>.</w:t>
      </w:r>
      <w:r w:rsidRPr="00E81803">
        <w:t xml:space="preserve"> </w:t>
      </w:r>
    </w:p>
    <w:p w14:paraId="3D396497" w14:textId="6E526B23" w:rsidR="000760B6" w:rsidRPr="00E81803" w:rsidRDefault="000760B6" w:rsidP="00910514">
      <w:pPr>
        <w:pStyle w:val="Normalnumber"/>
        <w:numPr>
          <w:ilvl w:val="0"/>
          <w:numId w:val="33"/>
        </w:numPr>
        <w:tabs>
          <w:tab w:val="clear" w:pos="624"/>
          <w:tab w:val="left" w:pos="1247"/>
          <w:tab w:val="left" w:pos="1814"/>
          <w:tab w:val="left" w:pos="2381"/>
          <w:tab w:val="left" w:pos="2948"/>
          <w:tab w:val="left" w:pos="3515"/>
          <w:tab w:val="left" w:pos="4082"/>
        </w:tabs>
      </w:pPr>
      <w:r w:rsidRPr="00E81803">
        <w:t xml:space="preserve">The objective </w:t>
      </w:r>
      <w:r w:rsidR="00FB2C8D" w:rsidRPr="00E81803">
        <w:t>of these working sessions was to provide an opportunity for a brief presentation of the objectives of the Convention, as well as an opportunity for countries to present their preparation for implementation and ratification, and to highlight particular challenges or successes.</w:t>
      </w:r>
      <w:r w:rsidR="00306DBF">
        <w:t xml:space="preserve"> </w:t>
      </w:r>
      <w:r w:rsidR="00FB2C8D" w:rsidRPr="00E81803">
        <w:t xml:space="preserve">The working sessions also </w:t>
      </w:r>
      <w:r w:rsidR="00910514" w:rsidRPr="00E81803">
        <w:t xml:space="preserve">offered </w:t>
      </w:r>
      <w:r w:rsidR="00FB2C8D" w:rsidRPr="00E81803">
        <w:t>an opportunity for input and comments on certain issues to be presented at the first meeting of the Conference of the Parties, in particular the guidance on the development of national action plans for artisanal and small-scale gold mining, as well as the development of guidance on contaminated sites.</w:t>
      </w:r>
      <w:r w:rsidR="00306DBF">
        <w:t xml:space="preserve"> </w:t>
      </w:r>
      <w:r w:rsidR="00FB2C8D" w:rsidRPr="00E81803">
        <w:t xml:space="preserve">There was also an opportunity </w:t>
      </w:r>
      <w:r w:rsidR="00910514" w:rsidRPr="00E81803">
        <w:t xml:space="preserve">to discuss </w:t>
      </w:r>
      <w:r w:rsidR="00FB2C8D" w:rsidRPr="00E81803">
        <w:t>specific technical issues relevant to each region.</w:t>
      </w:r>
      <w:r w:rsidR="00306DBF">
        <w:t xml:space="preserve"> </w:t>
      </w:r>
      <w:r w:rsidRPr="00E81803">
        <w:t>The secretariats of the United Nations Development Programme, UNEP, the United</w:t>
      </w:r>
      <w:r w:rsidR="00CA1185">
        <w:t> </w:t>
      </w:r>
      <w:r w:rsidRPr="00E81803">
        <w:t xml:space="preserve">Nations Industrial Development Organization, the United Nations Institute for Training and Research and WHO all contributed to the </w:t>
      </w:r>
      <w:r w:rsidR="00910514" w:rsidRPr="00E81803">
        <w:t>Minamata working sessions</w:t>
      </w:r>
      <w:r w:rsidRPr="00E81803">
        <w:t xml:space="preserve">. </w:t>
      </w:r>
    </w:p>
    <w:p w14:paraId="5DD4DB5B" w14:textId="07C465EE" w:rsidR="000760B6" w:rsidRPr="00E81803" w:rsidRDefault="00FB2C8D" w:rsidP="00910514">
      <w:pPr>
        <w:pStyle w:val="Normalnumber"/>
        <w:numPr>
          <w:ilvl w:val="0"/>
          <w:numId w:val="33"/>
        </w:numPr>
        <w:tabs>
          <w:tab w:val="clear" w:pos="624"/>
          <w:tab w:val="left" w:pos="1247"/>
          <w:tab w:val="left" w:pos="1814"/>
          <w:tab w:val="left" w:pos="2381"/>
          <w:tab w:val="left" w:pos="2948"/>
          <w:tab w:val="left" w:pos="3515"/>
          <w:tab w:val="left" w:pos="4082"/>
        </w:tabs>
      </w:pPr>
      <w:r w:rsidRPr="00E81803">
        <w:t>Information</w:t>
      </w:r>
      <w:r w:rsidR="000760B6" w:rsidRPr="00E81803">
        <w:t xml:space="preserve"> on the regional </w:t>
      </w:r>
      <w:r w:rsidR="00910514" w:rsidRPr="00E81803">
        <w:t>working sessions</w:t>
      </w:r>
      <w:r w:rsidR="000760B6" w:rsidRPr="00E81803">
        <w:t xml:space="preserve"> </w:t>
      </w:r>
      <w:r w:rsidR="003D4BAE" w:rsidRPr="00E81803">
        <w:t>is</w:t>
      </w:r>
      <w:r w:rsidR="000760B6" w:rsidRPr="00E81803">
        <w:t xml:space="preserve"> available at </w:t>
      </w:r>
      <w:hyperlink r:id="rId11" w:history="1">
        <w:r w:rsidR="000760B6" w:rsidRPr="00E81803">
          <w:rPr>
            <w:rStyle w:val="Hyperlink"/>
            <w:lang w:val="en-GB"/>
          </w:rPr>
          <w:t>www.mercuryconvention.org/AwarenessRaising/Workshops/tabid/3800/Default.aspx</w:t>
        </w:r>
      </w:hyperlink>
      <w:r w:rsidR="000760B6" w:rsidRPr="00E81803">
        <w:t>.</w:t>
      </w:r>
    </w:p>
    <w:p w14:paraId="49F01E7B" w14:textId="77777777" w:rsidR="000760B6" w:rsidRPr="00E81803" w:rsidRDefault="009718A3" w:rsidP="001F2B6B">
      <w:pPr>
        <w:pStyle w:val="CH2"/>
      </w:pPr>
      <w:r w:rsidRPr="00E81803">
        <w:tab/>
        <w:t>B.</w:t>
      </w:r>
      <w:r w:rsidRPr="00E81803">
        <w:tab/>
      </w:r>
      <w:r w:rsidR="000760B6" w:rsidRPr="00E81803">
        <w:t xml:space="preserve">Support for pilot projects at the national and regional levels </w:t>
      </w:r>
    </w:p>
    <w:p w14:paraId="1BCE2828" w14:textId="0F449A87" w:rsidR="000760B6" w:rsidRPr="00E81803" w:rsidRDefault="000760B6">
      <w:pPr>
        <w:pStyle w:val="Normalnumber"/>
        <w:numPr>
          <w:ilvl w:val="0"/>
          <w:numId w:val="33"/>
        </w:numPr>
        <w:tabs>
          <w:tab w:val="clear" w:pos="624"/>
          <w:tab w:val="left" w:pos="1247"/>
          <w:tab w:val="left" w:pos="1814"/>
          <w:tab w:val="left" w:pos="2381"/>
          <w:tab w:val="left" w:pos="2948"/>
          <w:tab w:val="left" w:pos="3515"/>
          <w:tab w:val="left" w:pos="4082"/>
        </w:tabs>
      </w:pPr>
      <w:r w:rsidRPr="00E81803">
        <w:t xml:space="preserve">The interim secretariat continued its support for pilot projects at the national level to promote activities intended to </w:t>
      </w:r>
      <w:r w:rsidR="00FB2C8D" w:rsidRPr="00E81803">
        <w:t xml:space="preserve">assist with </w:t>
      </w:r>
      <w:r w:rsidRPr="00E81803">
        <w:t xml:space="preserve">ratification and implementation of the Convention in a number of countries. Key activities undertaken at the country level included </w:t>
      </w:r>
      <w:r w:rsidR="00FB2C8D" w:rsidRPr="00E81803">
        <w:t>preparatory work towards the development of national action plans for artisanal and small-scale gold mining.</w:t>
      </w:r>
      <w:r w:rsidR="00306DBF">
        <w:t xml:space="preserve"> </w:t>
      </w:r>
      <w:r w:rsidRPr="00E81803">
        <w:t>The interim secretariat is also supporting the implementation with partner organizations of pilot projects at the regional level, including support for a project to determine mercury levels in hair in women of child</w:t>
      </w:r>
      <w:r w:rsidRPr="00E81803">
        <w:noBreakHyphen/>
        <w:t>bearing age in selected countries of the Asia</w:t>
      </w:r>
      <w:r w:rsidR="00E405EF">
        <w:t>-</w:t>
      </w:r>
      <w:r w:rsidR="009718A3" w:rsidRPr="00E81803">
        <w:t>Pacific</w:t>
      </w:r>
      <w:r w:rsidR="00FB2C8D" w:rsidRPr="00E81803">
        <w:t xml:space="preserve"> </w:t>
      </w:r>
      <w:r w:rsidR="00E405EF">
        <w:t>r</w:t>
      </w:r>
      <w:r w:rsidR="00E405EF" w:rsidRPr="00E81803">
        <w:t>egion</w:t>
      </w:r>
      <w:r w:rsidRPr="00E81803">
        <w:t xml:space="preserve">. </w:t>
      </w:r>
      <w:r w:rsidR="00FB2C8D" w:rsidRPr="00E81803">
        <w:t xml:space="preserve">The interim secretariat also participates actively, upon request, </w:t>
      </w:r>
      <w:r w:rsidR="00F5671C" w:rsidRPr="00E81803">
        <w:t>i</w:t>
      </w:r>
      <w:r w:rsidR="00FB2C8D" w:rsidRPr="00E81803">
        <w:t xml:space="preserve">n enabling activities related to Minamata </w:t>
      </w:r>
      <w:r w:rsidR="00F5671C" w:rsidRPr="00E81803">
        <w:t>i</w:t>
      </w:r>
      <w:r w:rsidR="00FB2C8D" w:rsidRPr="00E81803">
        <w:t xml:space="preserve">nitial </w:t>
      </w:r>
      <w:r w:rsidR="00F5671C" w:rsidRPr="00E81803">
        <w:t>a</w:t>
      </w:r>
      <w:r w:rsidR="00FB2C8D" w:rsidRPr="00E81803">
        <w:t xml:space="preserve">ssessments and the development of national action plans for artisanal and small-scale gold mining, including </w:t>
      </w:r>
      <w:r w:rsidR="00ED76F4" w:rsidRPr="00E81803">
        <w:t xml:space="preserve">by </w:t>
      </w:r>
      <w:r w:rsidR="00FB2C8D" w:rsidRPr="00E81803">
        <w:t>reviewing legal assessment</w:t>
      </w:r>
      <w:r w:rsidR="00ED76F4" w:rsidRPr="00E81803">
        <w:t>s</w:t>
      </w:r>
      <w:r w:rsidR="00FB2C8D" w:rsidRPr="00E81803">
        <w:t xml:space="preserve"> and final project reports provided by the implementing agencies</w:t>
      </w:r>
      <w:r w:rsidR="00910514" w:rsidRPr="00E81803">
        <w:t xml:space="preserve">, as well as </w:t>
      </w:r>
      <w:r w:rsidR="00ED76F4" w:rsidRPr="00E81803">
        <w:t xml:space="preserve">through the </w:t>
      </w:r>
      <w:r w:rsidR="00910514" w:rsidRPr="00E81803">
        <w:t>development of pr</w:t>
      </w:r>
      <w:r w:rsidR="004E01DD" w:rsidRPr="00E81803">
        <w:t>esentations o</w:t>
      </w:r>
      <w:r w:rsidR="00ED76F4" w:rsidRPr="00E81803">
        <w:t>n</w:t>
      </w:r>
      <w:r w:rsidR="004E01DD" w:rsidRPr="00E81803">
        <w:t xml:space="preserve"> the Convention for</w:t>
      </w:r>
      <w:r w:rsidR="00910514" w:rsidRPr="00E81803">
        <w:t xml:space="preserve"> project inception workshops</w:t>
      </w:r>
      <w:r w:rsidR="00FB2C8D" w:rsidRPr="00E81803">
        <w:t xml:space="preserve">. </w:t>
      </w:r>
    </w:p>
    <w:p w14:paraId="4EE74758" w14:textId="77777777" w:rsidR="000760B6" w:rsidRPr="00E81803" w:rsidRDefault="009718A3" w:rsidP="001F2B6B">
      <w:pPr>
        <w:pStyle w:val="CH2"/>
      </w:pPr>
      <w:r w:rsidRPr="00E81803">
        <w:tab/>
        <w:t>C.</w:t>
      </w:r>
      <w:r w:rsidRPr="00E81803">
        <w:tab/>
      </w:r>
      <w:r w:rsidR="000760B6" w:rsidRPr="00E81803">
        <w:t xml:space="preserve">Additional outreach and awareness-raising activities </w:t>
      </w:r>
    </w:p>
    <w:p w14:paraId="19A8D962" w14:textId="6AE51380" w:rsidR="000760B6" w:rsidRPr="00E81803" w:rsidRDefault="000760B6" w:rsidP="004E01DD">
      <w:pPr>
        <w:pStyle w:val="Normalnumber"/>
        <w:numPr>
          <w:ilvl w:val="0"/>
          <w:numId w:val="33"/>
        </w:numPr>
        <w:tabs>
          <w:tab w:val="clear" w:pos="624"/>
          <w:tab w:val="left" w:pos="1247"/>
          <w:tab w:val="left" w:pos="1814"/>
          <w:tab w:val="left" w:pos="2381"/>
          <w:tab w:val="left" w:pos="2948"/>
          <w:tab w:val="left" w:pos="3515"/>
          <w:tab w:val="left" w:pos="4082"/>
        </w:tabs>
      </w:pPr>
      <w:r w:rsidRPr="00E81803">
        <w:t xml:space="preserve">The Convention’s outreach </w:t>
      </w:r>
      <w:r w:rsidRPr="009D54EF">
        <w:t>activities have been</w:t>
      </w:r>
      <w:r w:rsidRPr="00E81803">
        <w:t xml:space="preserve"> boosted by the hosting of the Convention website on a platform provided by the secretariat of the Basel, Rotterdam and Stockholm conventions, together with technical support provided by that secretariat in the maintenance and further development of the website. Since the </w:t>
      </w:r>
      <w:r w:rsidR="00FB2C8D" w:rsidRPr="00E81803">
        <w:t xml:space="preserve">seventh </w:t>
      </w:r>
      <w:r w:rsidRPr="00E81803">
        <w:t>session of the committee the interim secretariat has worked to improve the dissemination of information on the Convention website, including through the publication of updated supporting documentation.</w:t>
      </w:r>
      <w:r w:rsidR="00FB2C8D" w:rsidRPr="00E81803">
        <w:t xml:space="preserve"> The website now </w:t>
      </w:r>
      <w:r w:rsidR="00FB2C8D" w:rsidRPr="00A53B00">
        <w:t>provides, in addition to outreach and awareness</w:t>
      </w:r>
      <w:r w:rsidR="00CE1853" w:rsidRPr="00A53B00">
        <w:noBreakHyphen/>
      </w:r>
      <w:r w:rsidR="00FB2C8D" w:rsidRPr="00A53B00">
        <w:t>raising information, all the guidance documents and relevant forms adopted on a provision</w:t>
      </w:r>
      <w:r w:rsidR="003D4BAE" w:rsidRPr="00A53B00">
        <w:t>al</w:t>
      </w:r>
      <w:r w:rsidR="00FB2C8D" w:rsidRPr="00A53B00">
        <w:t xml:space="preserve"> </w:t>
      </w:r>
      <w:r w:rsidR="003D4BAE" w:rsidRPr="00A53B00">
        <w:t>basis</w:t>
      </w:r>
      <w:r w:rsidR="00FB2C8D" w:rsidRPr="00A53B00">
        <w:t xml:space="preserve"> by the committee to </w:t>
      </w:r>
      <w:r w:rsidR="00805679" w:rsidRPr="00A53B00">
        <w:t xml:space="preserve">facilitate their </w:t>
      </w:r>
      <w:r w:rsidR="00FB2C8D" w:rsidRPr="00A53B00">
        <w:t xml:space="preserve">use in </w:t>
      </w:r>
      <w:r w:rsidR="00A53B00" w:rsidRPr="00E02303">
        <w:t xml:space="preserve">the </w:t>
      </w:r>
      <w:r w:rsidR="00FB2C8D" w:rsidRPr="00A53B00">
        <w:t>implementation</w:t>
      </w:r>
      <w:r w:rsidR="00A53B00" w:rsidRPr="00A53B00">
        <w:t xml:space="preserve"> of the Convention</w:t>
      </w:r>
      <w:r w:rsidR="00FB2C8D" w:rsidRPr="00A53B00">
        <w:t>.</w:t>
      </w:r>
      <w:r w:rsidR="00FB2C8D" w:rsidRPr="00E02303">
        <w:rPr>
          <w:b/>
          <w:bCs/>
        </w:rPr>
        <w:t xml:space="preserve"> </w:t>
      </w:r>
      <w:r w:rsidR="00CA1185">
        <w:rPr>
          <w:b/>
          <w:bCs/>
        </w:rPr>
        <w:br/>
      </w:r>
      <w:r w:rsidR="004E01DD" w:rsidRPr="00A53B00">
        <w:t>T</w:t>
      </w:r>
      <w:r w:rsidR="00910514" w:rsidRPr="00A53B00">
        <w:t>he Convention website has been translated and is now available</w:t>
      </w:r>
      <w:r w:rsidR="004E01DD" w:rsidRPr="00A53B00">
        <w:t xml:space="preserve"> and updated in </w:t>
      </w:r>
      <w:r w:rsidR="00910514" w:rsidRPr="00A53B00">
        <w:t>English, French</w:t>
      </w:r>
      <w:r w:rsidR="00910514" w:rsidRPr="00E81803">
        <w:t xml:space="preserve"> and Spanish. </w:t>
      </w:r>
    </w:p>
    <w:p w14:paraId="7DA832FB" w14:textId="63D46AA6" w:rsidR="008831FA" w:rsidRPr="00E81803" w:rsidRDefault="008831FA" w:rsidP="00EE6E5C">
      <w:pPr>
        <w:pStyle w:val="Normalnumber"/>
        <w:numPr>
          <w:ilvl w:val="0"/>
          <w:numId w:val="33"/>
        </w:numPr>
        <w:spacing w:before="285"/>
        <w:rPr>
          <w:color w:val="000000" w:themeColor="text1"/>
        </w:rPr>
      </w:pPr>
      <w:r w:rsidRPr="00E81803">
        <w:t xml:space="preserve">The </w:t>
      </w:r>
      <w:r w:rsidR="006A4C1D" w:rsidRPr="00E81803">
        <w:t>inte</w:t>
      </w:r>
      <w:r w:rsidR="006A4C1D">
        <w:t>rim</w:t>
      </w:r>
      <w:r w:rsidR="006A4C1D" w:rsidRPr="00E81803">
        <w:t xml:space="preserve"> </w:t>
      </w:r>
      <w:r w:rsidRPr="00E81803">
        <w:t xml:space="preserve">secretariat </w:t>
      </w:r>
      <w:r w:rsidR="00936773" w:rsidRPr="00EE6E5C">
        <w:t xml:space="preserve">has </w:t>
      </w:r>
      <w:r w:rsidRPr="00EE6E5C">
        <w:t>also collaborated</w:t>
      </w:r>
      <w:r w:rsidRPr="00E81803">
        <w:t xml:space="preserve"> with </w:t>
      </w:r>
      <w:r w:rsidR="00936773" w:rsidRPr="00E81803">
        <w:t xml:space="preserve">the United Nations Institute for Training and Research </w:t>
      </w:r>
      <w:r w:rsidRPr="00E81803">
        <w:t>on an online training platform, MercuryLearn</w:t>
      </w:r>
      <w:r w:rsidR="00936773" w:rsidRPr="00E81803">
        <w:rPr>
          <w:color w:val="3AAEDD"/>
        </w:rPr>
        <w:t>,</w:t>
      </w:r>
      <w:r w:rsidRPr="00E81803">
        <w:t xml:space="preserve"> and </w:t>
      </w:r>
      <w:r w:rsidR="00936773" w:rsidRPr="00E81803">
        <w:t xml:space="preserve">has </w:t>
      </w:r>
      <w:r w:rsidRPr="00E81803">
        <w:t>contributed</w:t>
      </w:r>
      <w:r w:rsidR="00936773" w:rsidRPr="00E81803">
        <w:t>,</w:t>
      </w:r>
      <w:r w:rsidRPr="00E81803">
        <w:t xml:space="preserve"> through </w:t>
      </w:r>
      <w:r w:rsidR="009848E6" w:rsidRPr="00E81803">
        <w:t xml:space="preserve">the </w:t>
      </w:r>
      <w:r w:rsidR="00936773" w:rsidRPr="00E81803">
        <w:t xml:space="preserve">Multilateral </w:t>
      </w:r>
      <w:r w:rsidR="00936773" w:rsidRPr="00E81803">
        <w:rPr>
          <w:color w:val="000000" w:themeColor="text1"/>
        </w:rPr>
        <w:t>Environmental Agreements Information and Knowledge Management Initiative, an online introductory course on the Minamata Convention that appears on the United Nations Information Portal on Multilateral Environmental Agreements (</w:t>
      </w:r>
      <w:r w:rsidRPr="00E81803">
        <w:rPr>
          <w:rStyle w:val="Strong"/>
          <w:b w:val="0"/>
          <w:bCs w:val="0"/>
          <w:color w:val="000000" w:themeColor="text1"/>
        </w:rPr>
        <w:t>InforMEA</w:t>
      </w:r>
      <w:r w:rsidR="00936773" w:rsidRPr="00E81803">
        <w:rPr>
          <w:rStyle w:val="Strong"/>
          <w:b w:val="0"/>
          <w:bCs w:val="0"/>
          <w:color w:val="000000" w:themeColor="text1"/>
        </w:rPr>
        <w:t>)</w:t>
      </w:r>
      <w:r w:rsidRPr="00E81803">
        <w:rPr>
          <w:color w:val="000000" w:themeColor="text1"/>
        </w:rPr>
        <w:t xml:space="preserve">. </w:t>
      </w:r>
    </w:p>
    <w:p w14:paraId="38B8B1BB" w14:textId="670C4642" w:rsidR="008831FA" w:rsidRPr="00A53B00" w:rsidRDefault="008831FA" w:rsidP="00EE6E5C">
      <w:pPr>
        <w:pStyle w:val="Normalnumber"/>
        <w:numPr>
          <w:ilvl w:val="0"/>
          <w:numId w:val="33"/>
        </w:numPr>
        <w:tabs>
          <w:tab w:val="left" w:pos="1247"/>
          <w:tab w:val="left" w:pos="1814"/>
          <w:tab w:val="left" w:pos="2381"/>
          <w:tab w:val="left" w:pos="2948"/>
          <w:tab w:val="left" w:pos="3515"/>
          <w:tab w:val="left" w:pos="4082"/>
        </w:tabs>
        <w:rPr>
          <w:bCs/>
        </w:rPr>
      </w:pPr>
      <w:r w:rsidRPr="00E81803">
        <w:t xml:space="preserve">The interim secretariat </w:t>
      </w:r>
      <w:r w:rsidR="009848E6" w:rsidRPr="00E81803">
        <w:t xml:space="preserve">has also </w:t>
      </w:r>
      <w:r w:rsidRPr="00E81803">
        <w:rPr>
          <w:bCs/>
        </w:rPr>
        <w:t>developed a series of fact sheets</w:t>
      </w:r>
      <w:r w:rsidR="00EE6E5C">
        <w:rPr>
          <w:bCs/>
        </w:rPr>
        <w:t>,</w:t>
      </w:r>
      <w:r w:rsidRPr="00E81803">
        <w:rPr>
          <w:bCs/>
        </w:rPr>
        <w:t xml:space="preserve"> “Becoming a Party to the Minamata Convention on Mercury”, “Minamata Convention on </w:t>
      </w:r>
      <w:r w:rsidRPr="00A53B00">
        <w:rPr>
          <w:bCs/>
        </w:rPr>
        <w:t xml:space="preserve">Mercury at a glance”, </w:t>
      </w:r>
      <w:r w:rsidR="00EE6E5C" w:rsidRPr="00A53B00">
        <w:rPr>
          <w:bCs/>
        </w:rPr>
        <w:t xml:space="preserve">and </w:t>
      </w:r>
      <w:r w:rsidRPr="00A53B00">
        <w:rPr>
          <w:bCs/>
        </w:rPr>
        <w:t>“Key control measures under the Minamata Convention”</w:t>
      </w:r>
      <w:r w:rsidR="009848E6" w:rsidRPr="00A53B00">
        <w:rPr>
          <w:bCs/>
        </w:rPr>
        <w:t>, which are available in English, French and Spanish on the Convention website</w:t>
      </w:r>
      <w:r w:rsidRPr="00A53B00">
        <w:rPr>
          <w:bCs/>
        </w:rPr>
        <w:t>.</w:t>
      </w:r>
    </w:p>
    <w:p w14:paraId="2087382A" w14:textId="0F76F10C" w:rsidR="008831FA" w:rsidRPr="00E81803" w:rsidRDefault="008831FA" w:rsidP="00910514">
      <w:pPr>
        <w:pStyle w:val="Normalnumber"/>
        <w:numPr>
          <w:ilvl w:val="0"/>
          <w:numId w:val="33"/>
        </w:numPr>
        <w:tabs>
          <w:tab w:val="clear" w:pos="624"/>
          <w:tab w:val="left" w:pos="1247"/>
          <w:tab w:val="left" w:pos="1814"/>
          <w:tab w:val="left" w:pos="2381"/>
          <w:tab w:val="left" w:pos="2948"/>
          <w:tab w:val="left" w:pos="3515"/>
          <w:tab w:val="left" w:pos="4082"/>
        </w:tabs>
      </w:pPr>
      <w:r w:rsidRPr="00E81803">
        <w:t xml:space="preserve">Finally, the interim secretariat </w:t>
      </w:r>
      <w:r w:rsidR="00122A33" w:rsidRPr="00E81803">
        <w:t xml:space="preserve">has </w:t>
      </w:r>
      <w:r w:rsidRPr="00E81803">
        <w:t xml:space="preserve">contributed to the delivery of webinars on </w:t>
      </w:r>
      <w:r w:rsidR="00122A33" w:rsidRPr="00E81803">
        <w:t xml:space="preserve">various </w:t>
      </w:r>
      <w:r w:rsidRPr="00E81803">
        <w:t xml:space="preserve">aspects of the </w:t>
      </w:r>
      <w:r w:rsidR="00122A33" w:rsidRPr="00E81803">
        <w:t xml:space="preserve">Minamata </w:t>
      </w:r>
      <w:r w:rsidRPr="00E81803">
        <w:t>Convention, including emissions and artisanal and small</w:t>
      </w:r>
      <w:r w:rsidR="00122A33" w:rsidRPr="00E81803">
        <w:noBreakHyphen/>
      </w:r>
      <w:r w:rsidRPr="00E81803">
        <w:t>scale gold mining.</w:t>
      </w:r>
    </w:p>
    <w:p w14:paraId="7E8265F1" w14:textId="77777777" w:rsidR="000760B6" w:rsidRPr="00E81803" w:rsidRDefault="000760B6" w:rsidP="000760B6">
      <w:pPr>
        <w:pStyle w:val="CH1"/>
      </w:pPr>
      <w:r w:rsidRPr="00E81803">
        <w:tab/>
        <w:t>IV.</w:t>
      </w:r>
      <w:r w:rsidRPr="00E81803">
        <w:tab/>
        <w:t>Other activities undertaken by the interim secretariat</w:t>
      </w:r>
    </w:p>
    <w:p w14:paraId="6B8DC1B7" w14:textId="74249BB2" w:rsidR="000760B6" w:rsidRPr="00E81803" w:rsidRDefault="000760B6" w:rsidP="006F229F">
      <w:pPr>
        <w:pStyle w:val="Normalnumber"/>
        <w:numPr>
          <w:ilvl w:val="0"/>
          <w:numId w:val="33"/>
        </w:numPr>
        <w:tabs>
          <w:tab w:val="clear" w:pos="624"/>
          <w:tab w:val="left" w:pos="1247"/>
          <w:tab w:val="left" w:pos="1814"/>
          <w:tab w:val="left" w:pos="2381"/>
          <w:tab w:val="left" w:pos="2948"/>
          <w:tab w:val="left" w:pos="3515"/>
          <w:tab w:val="left" w:pos="4082"/>
        </w:tabs>
      </w:pPr>
      <w:r w:rsidRPr="00E81803">
        <w:t xml:space="preserve">The interim secretariat </w:t>
      </w:r>
      <w:r w:rsidR="00365E83" w:rsidRPr="006F229F">
        <w:t xml:space="preserve">has taken </w:t>
      </w:r>
      <w:r w:rsidRPr="006F229F">
        <w:t>par</w:t>
      </w:r>
      <w:r w:rsidRPr="00E81803">
        <w:t xml:space="preserve">t in a number of processes along with the Chemicals and </w:t>
      </w:r>
      <w:r w:rsidR="00FB2C8D" w:rsidRPr="00E81803">
        <w:t xml:space="preserve">Health </w:t>
      </w:r>
      <w:r w:rsidRPr="00E81803">
        <w:t>Branch, the Basel, Rotterdam and Stockholm convention</w:t>
      </w:r>
      <w:r w:rsidR="003E3C7E">
        <w:t>s</w:t>
      </w:r>
      <w:r w:rsidRPr="00E81803">
        <w:t xml:space="preserve"> secretariat and the secretariat of the Strategic Approach</w:t>
      </w:r>
      <w:r w:rsidR="003B3274" w:rsidRPr="00E81803">
        <w:t xml:space="preserve">, including </w:t>
      </w:r>
      <w:r w:rsidR="00FB2C8D" w:rsidRPr="00E81803">
        <w:t>the review of projects submitted under</w:t>
      </w:r>
      <w:r w:rsidRPr="00E81803">
        <w:t xml:space="preserve"> the </w:t>
      </w:r>
      <w:r w:rsidR="003E3C7E">
        <w:t>S</w:t>
      </w:r>
      <w:r w:rsidRPr="00E81803">
        <w:t xml:space="preserve">pecial </w:t>
      </w:r>
      <w:r w:rsidR="003E3C7E">
        <w:t>P</w:t>
      </w:r>
      <w:r w:rsidRPr="00E81803">
        <w:t>rogramme</w:t>
      </w:r>
      <w:r w:rsidRPr="00E81803">
        <w:rPr>
          <w:rFonts w:ascii="Tahoma" w:hAnsi="Tahoma" w:cs="Tahoma"/>
          <w:color w:val="333333"/>
        </w:rPr>
        <w:t xml:space="preserve"> </w:t>
      </w:r>
      <w:r w:rsidRPr="00E81803">
        <w:t xml:space="preserve">to support institutional strengthening at the national level for implementation of the Basel, Rotterdam and Stockholm conventions, the Minamata </w:t>
      </w:r>
      <w:r w:rsidR="004C64D1">
        <w:t>C</w:t>
      </w:r>
      <w:r w:rsidRPr="00E81803">
        <w:t xml:space="preserve">onvention and the Strategic Approach to International Chemicals Management. </w:t>
      </w:r>
    </w:p>
    <w:p w14:paraId="384D6A5D" w14:textId="51008548" w:rsidR="000760B6" w:rsidRPr="00E81803" w:rsidRDefault="000760B6" w:rsidP="00FB2C8D">
      <w:pPr>
        <w:pStyle w:val="Normalnumber"/>
        <w:numPr>
          <w:ilvl w:val="0"/>
          <w:numId w:val="33"/>
        </w:numPr>
        <w:tabs>
          <w:tab w:val="clear" w:pos="624"/>
          <w:tab w:val="left" w:pos="1247"/>
          <w:tab w:val="left" w:pos="1814"/>
          <w:tab w:val="left" w:pos="2381"/>
          <w:tab w:val="left" w:pos="2948"/>
          <w:tab w:val="left" w:pos="3515"/>
          <w:tab w:val="left" w:pos="4082"/>
        </w:tabs>
      </w:pPr>
      <w:r w:rsidRPr="00E81803">
        <w:t xml:space="preserve">Members of the interim secretariat </w:t>
      </w:r>
      <w:r w:rsidR="002C1B9F" w:rsidRPr="00E81803">
        <w:t xml:space="preserve">also </w:t>
      </w:r>
      <w:r w:rsidRPr="00E81803">
        <w:t xml:space="preserve">provided logistical and substantive support for the meetings of the conferences of the parties to the Basel, Rotterdam and Stockholm conventions held in Geneva from </w:t>
      </w:r>
      <w:r w:rsidR="00FB2C8D" w:rsidRPr="00E81803">
        <w:t>24 April to 5 May 2017</w:t>
      </w:r>
      <w:r w:rsidRPr="00E81803">
        <w:t>.</w:t>
      </w:r>
    </w:p>
    <w:p w14:paraId="0CF64662" w14:textId="33EE17A1" w:rsidR="008B13C8" w:rsidRPr="00E81803" w:rsidRDefault="00FB2C8D">
      <w:pPr>
        <w:pStyle w:val="Normalnumber"/>
        <w:numPr>
          <w:ilvl w:val="0"/>
          <w:numId w:val="33"/>
        </w:numPr>
        <w:tabs>
          <w:tab w:val="clear" w:pos="624"/>
          <w:tab w:val="left" w:pos="1247"/>
          <w:tab w:val="left" w:pos="1814"/>
          <w:tab w:val="left" w:pos="2381"/>
          <w:tab w:val="left" w:pos="2948"/>
          <w:tab w:val="left" w:pos="3515"/>
          <w:tab w:val="left" w:pos="4082"/>
        </w:tabs>
        <w:rPr>
          <w:b/>
          <w:bCs/>
        </w:rPr>
      </w:pPr>
      <w:r w:rsidRPr="00E81803">
        <w:t>The</w:t>
      </w:r>
      <w:r w:rsidR="000760B6" w:rsidRPr="00E81803">
        <w:t xml:space="preserve"> interim secretariat </w:t>
      </w:r>
      <w:r w:rsidR="002C1B9F" w:rsidRPr="00E81803">
        <w:t xml:space="preserve">has also </w:t>
      </w:r>
      <w:r w:rsidRPr="00E81803">
        <w:t xml:space="preserve">attended meetings of the GEF Council, as well as meetings </w:t>
      </w:r>
      <w:r w:rsidR="002C1B9F" w:rsidRPr="00E81803">
        <w:t>on the seventh</w:t>
      </w:r>
      <w:r w:rsidRPr="00E81803">
        <w:t xml:space="preserve"> replenishment</w:t>
      </w:r>
      <w:r w:rsidR="002C1B9F" w:rsidRPr="00E81803">
        <w:t xml:space="preserve"> of the GEF trust fund</w:t>
      </w:r>
      <w:r w:rsidRPr="00E81803">
        <w:t xml:space="preserve">. The </w:t>
      </w:r>
      <w:r w:rsidR="00910514" w:rsidRPr="00E81803">
        <w:t xml:space="preserve">interim </w:t>
      </w:r>
      <w:r w:rsidRPr="00E81803">
        <w:t xml:space="preserve">secretariat has </w:t>
      </w:r>
      <w:r w:rsidR="002C1B9F" w:rsidRPr="00E81803">
        <w:t xml:space="preserve">also </w:t>
      </w:r>
      <w:r w:rsidRPr="00E81803">
        <w:t xml:space="preserve">contributed to the development of the documents for the discussions </w:t>
      </w:r>
      <w:r w:rsidR="002C1B9F" w:rsidRPr="00E81803">
        <w:t>on</w:t>
      </w:r>
      <w:r w:rsidRPr="00E81803">
        <w:t xml:space="preserve"> the seventh replenishment of the GEF </w:t>
      </w:r>
      <w:r w:rsidR="002C1B9F" w:rsidRPr="00E81803">
        <w:t>t</w:t>
      </w:r>
      <w:r w:rsidRPr="00E81803">
        <w:t xml:space="preserve">rust </w:t>
      </w:r>
      <w:r w:rsidR="002C1B9F" w:rsidRPr="00E81803">
        <w:t>f</w:t>
      </w:r>
      <w:r w:rsidRPr="00E81803">
        <w:t xml:space="preserve">und and </w:t>
      </w:r>
      <w:r w:rsidR="002C1B9F" w:rsidRPr="00E81803">
        <w:t>continues</w:t>
      </w:r>
      <w:r w:rsidRPr="00E81803">
        <w:t xml:space="preserve"> to review and comment on the documents as they are </w:t>
      </w:r>
      <w:r w:rsidR="002C1B9F" w:rsidRPr="00E81803">
        <w:t xml:space="preserve">further </w:t>
      </w:r>
      <w:r w:rsidRPr="00E81803">
        <w:t>develop</w:t>
      </w:r>
      <w:r w:rsidR="008B13C8" w:rsidRPr="00E81803">
        <w:t>ed</w:t>
      </w:r>
      <w:r w:rsidRPr="00E81803">
        <w:t>. The secretariat also participate</w:t>
      </w:r>
      <w:r w:rsidR="008B13C8" w:rsidRPr="00E81803">
        <w:t>d</w:t>
      </w:r>
      <w:r w:rsidR="000760B6" w:rsidRPr="00E81803">
        <w:t xml:space="preserve"> in a number of meetings relevant to mercury and the chemicals and waste agenda, namely, </w:t>
      </w:r>
      <w:r w:rsidR="008B13C8" w:rsidRPr="00E81803">
        <w:t xml:space="preserve">the annual joint meeting to enhance cooperation and coordination between regional centres </w:t>
      </w:r>
      <w:r w:rsidR="002C1B9F" w:rsidRPr="00E81803">
        <w:t xml:space="preserve">of </w:t>
      </w:r>
      <w:r w:rsidR="008B13C8" w:rsidRPr="00E81803">
        <w:t xml:space="preserve">the Basel and Stockholm conventions, held in Geneva from 31 October to 2 November 2016, </w:t>
      </w:r>
      <w:r w:rsidR="00B36C94" w:rsidRPr="00E81803">
        <w:t>the second session of the United Nations Environment Assembly</w:t>
      </w:r>
      <w:r w:rsidR="002C1B9F" w:rsidRPr="00E81803">
        <w:t xml:space="preserve"> and</w:t>
      </w:r>
      <w:r w:rsidR="00B36C94" w:rsidRPr="00E81803">
        <w:t xml:space="preserve"> meetings </w:t>
      </w:r>
      <w:r w:rsidR="00B36C94" w:rsidRPr="00306DBF">
        <w:rPr>
          <w:color w:val="000000" w:themeColor="text1"/>
        </w:rPr>
        <w:t xml:space="preserve">held under the </w:t>
      </w:r>
      <w:r w:rsidR="002C1B9F" w:rsidRPr="00306DBF">
        <w:rPr>
          <w:color w:val="000000" w:themeColor="text1"/>
        </w:rPr>
        <w:t xml:space="preserve">auspices of the </w:t>
      </w:r>
      <w:r w:rsidR="00B36C94" w:rsidRPr="00306DBF">
        <w:rPr>
          <w:color w:val="000000" w:themeColor="text1"/>
        </w:rPr>
        <w:t xml:space="preserve">Economic Commission for Europe, in particular </w:t>
      </w:r>
      <w:r w:rsidR="002C1B9F" w:rsidRPr="00306DBF">
        <w:rPr>
          <w:color w:val="000000" w:themeColor="text1"/>
        </w:rPr>
        <w:t>regarding</w:t>
      </w:r>
      <w:r w:rsidR="00B36C94" w:rsidRPr="00306DBF">
        <w:rPr>
          <w:color w:val="000000" w:themeColor="text1"/>
        </w:rPr>
        <w:t xml:space="preserve"> the </w:t>
      </w:r>
      <w:r w:rsidR="00B36C94" w:rsidRPr="00306DBF">
        <w:rPr>
          <w:rFonts w:asciiTheme="majorBidi" w:hAnsiTheme="majorBidi" w:cstheme="majorBidi"/>
          <w:color w:val="000000" w:themeColor="text1"/>
          <w:spacing w:val="-4"/>
        </w:rPr>
        <w:t xml:space="preserve">Convention on </w:t>
      </w:r>
      <w:r w:rsidR="00306DBF">
        <w:rPr>
          <w:rFonts w:asciiTheme="majorBidi" w:hAnsiTheme="majorBidi" w:cstheme="majorBidi"/>
          <w:color w:val="000000" w:themeColor="text1"/>
          <w:spacing w:val="-4"/>
        </w:rPr>
        <w:br/>
      </w:r>
      <w:r w:rsidR="00B36C94" w:rsidRPr="00306DBF">
        <w:rPr>
          <w:rFonts w:asciiTheme="majorBidi" w:hAnsiTheme="majorBidi" w:cstheme="majorBidi"/>
          <w:color w:val="000000" w:themeColor="text1"/>
          <w:spacing w:val="-4"/>
        </w:rPr>
        <w:t>Long-range Transboundary Air Pollution</w:t>
      </w:r>
      <w:r w:rsidR="002C1B9F" w:rsidRPr="00306DBF">
        <w:rPr>
          <w:rFonts w:asciiTheme="majorBidi" w:hAnsiTheme="majorBidi" w:cstheme="majorBidi"/>
          <w:color w:val="000000" w:themeColor="text1"/>
          <w:spacing w:val="-4"/>
        </w:rPr>
        <w:t>,</w:t>
      </w:r>
      <w:r w:rsidR="00B36C94" w:rsidRPr="00306DBF">
        <w:rPr>
          <w:rFonts w:ascii="Open Sans" w:hAnsi="Open Sans"/>
          <w:color w:val="000000" w:themeColor="text1"/>
          <w:spacing w:val="-4"/>
          <w:sz w:val="23"/>
          <w:szCs w:val="23"/>
        </w:rPr>
        <w:t xml:space="preserve"> </w:t>
      </w:r>
      <w:r w:rsidR="008B13C8" w:rsidRPr="00306DBF">
        <w:rPr>
          <w:color w:val="000000" w:themeColor="text1"/>
        </w:rPr>
        <w:t xml:space="preserve">and </w:t>
      </w:r>
      <w:r w:rsidR="002C1B9F" w:rsidRPr="00306DBF">
        <w:rPr>
          <w:color w:val="000000" w:themeColor="text1"/>
        </w:rPr>
        <w:t xml:space="preserve">will participate in </w:t>
      </w:r>
      <w:r w:rsidR="000760B6" w:rsidRPr="00306DBF">
        <w:rPr>
          <w:color w:val="000000" w:themeColor="text1"/>
        </w:rPr>
        <w:t xml:space="preserve">the </w:t>
      </w:r>
      <w:r w:rsidR="00A53B00">
        <w:rPr>
          <w:color w:val="000000" w:themeColor="text1"/>
        </w:rPr>
        <w:t>thirteenth</w:t>
      </w:r>
      <w:r w:rsidR="003E3C7E">
        <w:rPr>
          <w:color w:val="000000" w:themeColor="text1"/>
          <w:vertAlign w:val="superscript"/>
        </w:rPr>
        <w:t xml:space="preserve"> </w:t>
      </w:r>
      <w:r w:rsidR="000760B6" w:rsidRPr="00306DBF">
        <w:rPr>
          <w:color w:val="000000" w:themeColor="text1"/>
        </w:rPr>
        <w:t>International Conference on Mercury as a Global Pollutant</w:t>
      </w:r>
      <w:r w:rsidR="002C1B9F" w:rsidRPr="00306DBF">
        <w:rPr>
          <w:color w:val="000000" w:themeColor="text1"/>
        </w:rPr>
        <w:t>,</w:t>
      </w:r>
      <w:r w:rsidR="00306DBF">
        <w:rPr>
          <w:color w:val="000000" w:themeColor="text1"/>
        </w:rPr>
        <w:t xml:space="preserve"> </w:t>
      </w:r>
      <w:r w:rsidRPr="00306DBF">
        <w:rPr>
          <w:color w:val="000000" w:themeColor="text1"/>
        </w:rPr>
        <w:t xml:space="preserve">to be </w:t>
      </w:r>
      <w:r w:rsidR="000760B6" w:rsidRPr="00306DBF">
        <w:rPr>
          <w:color w:val="000000" w:themeColor="text1"/>
        </w:rPr>
        <w:t xml:space="preserve">held in </w:t>
      </w:r>
      <w:r w:rsidRPr="00306DBF">
        <w:rPr>
          <w:color w:val="000000" w:themeColor="text1"/>
        </w:rPr>
        <w:t xml:space="preserve">Providence, </w:t>
      </w:r>
      <w:r w:rsidR="008B13C8" w:rsidRPr="00306DBF">
        <w:rPr>
          <w:color w:val="000000" w:themeColor="text1"/>
        </w:rPr>
        <w:t>Rhode Island, U</w:t>
      </w:r>
      <w:r w:rsidRPr="00306DBF">
        <w:rPr>
          <w:color w:val="000000" w:themeColor="text1"/>
        </w:rPr>
        <w:t>nited Sta</w:t>
      </w:r>
      <w:r w:rsidR="008B13C8" w:rsidRPr="00306DBF">
        <w:rPr>
          <w:color w:val="000000" w:themeColor="text1"/>
        </w:rPr>
        <w:t>t</w:t>
      </w:r>
      <w:r w:rsidRPr="00306DBF">
        <w:rPr>
          <w:color w:val="000000" w:themeColor="text1"/>
        </w:rPr>
        <w:t>e</w:t>
      </w:r>
      <w:r w:rsidR="008B13C8" w:rsidRPr="00306DBF">
        <w:rPr>
          <w:color w:val="000000" w:themeColor="text1"/>
        </w:rPr>
        <w:t>s of America</w:t>
      </w:r>
      <w:r w:rsidR="000760B6" w:rsidRPr="00306DBF">
        <w:rPr>
          <w:color w:val="000000" w:themeColor="text1"/>
        </w:rPr>
        <w:t xml:space="preserve">, from </w:t>
      </w:r>
      <w:r w:rsidR="008B13C8" w:rsidRPr="00306DBF">
        <w:rPr>
          <w:color w:val="000000" w:themeColor="text1"/>
        </w:rPr>
        <w:t xml:space="preserve">16 to </w:t>
      </w:r>
      <w:r w:rsidR="008B13C8" w:rsidRPr="00E81803">
        <w:t>21</w:t>
      </w:r>
      <w:r w:rsidR="00E81803" w:rsidRPr="00E81803">
        <w:t> </w:t>
      </w:r>
      <w:r w:rsidR="008B13C8" w:rsidRPr="00E81803">
        <w:t xml:space="preserve">July 2017. </w:t>
      </w:r>
    </w:p>
    <w:p w14:paraId="5EF6D3D9" w14:textId="77777777" w:rsidR="000760B6" w:rsidRPr="00E81803" w:rsidRDefault="000760B6" w:rsidP="000760B6">
      <w:pPr>
        <w:pStyle w:val="CH1"/>
      </w:pPr>
      <w:r w:rsidRPr="00E81803">
        <w:tab/>
        <w:t>V.</w:t>
      </w:r>
      <w:r w:rsidRPr="00E81803">
        <w:tab/>
        <w:t>Financing for the work of the interim secretariat</w:t>
      </w:r>
    </w:p>
    <w:p w14:paraId="3E2A1927" w14:textId="500D4CB6" w:rsidR="000760B6" w:rsidRPr="00E81803" w:rsidRDefault="000760B6">
      <w:pPr>
        <w:pStyle w:val="Normalnumber"/>
        <w:numPr>
          <w:ilvl w:val="0"/>
          <w:numId w:val="33"/>
        </w:numPr>
        <w:tabs>
          <w:tab w:val="clear" w:pos="624"/>
          <w:tab w:val="left" w:pos="1247"/>
          <w:tab w:val="left" w:pos="1814"/>
          <w:tab w:val="left" w:pos="2381"/>
          <w:tab w:val="left" w:pos="2948"/>
          <w:tab w:val="left" w:pos="3515"/>
          <w:tab w:val="left" w:pos="4082"/>
        </w:tabs>
      </w:pPr>
      <w:r w:rsidRPr="00E81803">
        <w:t xml:space="preserve">The above-described activities carried out by the interim secretariat would not have been possible without the generous voluntary financial support provided by the Governments of Belgium, Canada, China, </w:t>
      </w:r>
      <w:r w:rsidR="008B13C8" w:rsidRPr="00E81803">
        <w:t xml:space="preserve">Finland, </w:t>
      </w:r>
      <w:r w:rsidRPr="00E81803">
        <w:t>France, Germany, J</w:t>
      </w:r>
      <w:bookmarkStart w:id="4" w:name="_GoBack"/>
      <w:bookmarkEnd w:id="4"/>
      <w:r w:rsidRPr="00E81803">
        <w:t>apan, Norway, Sweden, Switzerland and the United States of America</w:t>
      </w:r>
      <w:r w:rsidR="00296835" w:rsidRPr="00E81803">
        <w:t xml:space="preserve"> and by the European Union</w:t>
      </w:r>
      <w:r w:rsidRPr="00E81803">
        <w:t xml:space="preserve">. </w:t>
      </w:r>
    </w:p>
    <w:p w14:paraId="7013C787" w14:textId="336549FE" w:rsidR="000760B6" w:rsidRPr="00E81803" w:rsidRDefault="000760B6" w:rsidP="008B13C8">
      <w:pPr>
        <w:pStyle w:val="CH1"/>
      </w:pPr>
      <w:r w:rsidRPr="00E81803">
        <w:tab/>
        <w:t>VI.</w:t>
      </w:r>
      <w:r w:rsidRPr="00E81803">
        <w:tab/>
      </w:r>
      <w:r w:rsidR="008B13C8" w:rsidRPr="00E81803">
        <w:t>Suggested action by the Conference of the Parties</w:t>
      </w:r>
    </w:p>
    <w:p w14:paraId="41DA887E" w14:textId="67ED990E" w:rsidR="000760B6" w:rsidRPr="00E81803" w:rsidRDefault="000760B6" w:rsidP="001F4F4A">
      <w:pPr>
        <w:pStyle w:val="Normalnumber"/>
        <w:numPr>
          <w:ilvl w:val="0"/>
          <w:numId w:val="33"/>
        </w:numPr>
        <w:tabs>
          <w:tab w:val="clear" w:pos="1134"/>
        </w:tabs>
      </w:pPr>
      <w:r w:rsidRPr="00E81803">
        <w:t xml:space="preserve">The </w:t>
      </w:r>
      <w:r w:rsidR="00490598" w:rsidRPr="00E81803">
        <w:t xml:space="preserve">Conference of the Parties </w:t>
      </w:r>
      <w:r w:rsidRPr="00E81803">
        <w:t xml:space="preserve">may wish to take note of the activities of the </w:t>
      </w:r>
      <w:r w:rsidR="008B13C8" w:rsidRPr="00E81803">
        <w:t>interim secretariat to date</w:t>
      </w:r>
      <w:r w:rsidR="00910514" w:rsidRPr="00E81803">
        <w:t>,</w:t>
      </w:r>
      <w:r w:rsidR="008B13C8" w:rsidRPr="00E81803">
        <w:t xml:space="preserve"> in particular during </w:t>
      </w:r>
      <w:r w:rsidR="00490598" w:rsidRPr="00E81803">
        <w:t xml:space="preserve">its </w:t>
      </w:r>
      <w:r w:rsidR="008B13C8" w:rsidRPr="00E81803">
        <w:t xml:space="preserve">consideration of the proposed programme of work and budget for the permanent secretariat, taking note of new activities </w:t>
      </w:r>
      <w:r w:rsidR="00490598" w:rsidRPr="00E81803">
        <w:t xml:space="preserve">that may be </w:t>
      </w:r>
      <w:r w:rsidR="008B13C8" w:rsidRPr="00E81803">
        <w:t>required following entry into force of the Convention and the additional resource</w:t>
      </w:r>
      <w:r w:rsidR="00490598" w:rsidRPr="00E81803">
        <w:t>s</w:t>
      </w:r>
      <w:r w:rsidR="008B13C8" w:rsidRPr="00E81803">
        <w:t xml:space="preserve"> </w:t>
      </w:r>
      <w:r w:rsidR="00490598" w:rsidRPr="00E81803">
        <w:t xml:space="preserve">that </w:t>
      </w:r>
      <w:r w:rsidR="008B13C8" w:rsidRPr="00E81803">
        <w:t xml:space="preserve">such activities may </w:t>
      </w:r>
      <w:r w:rsidR="00490598" w:rsidRPr="00E81803">
        <w:t>require</w:t>
      </w:r>
      <w:r w:rsidR="008B13C8" w:rsidRPr="00E81803">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942"/>
        <w:gridCol w:w="1942"/>
        <w:gridCol w:w="1943"/>
        <w:gridCol w:w="1943"/>
      </w:tblGrid>
      <w:tr w:rsidR="009718A3" w:rsidRPr="00E81803" w14:paraId="4ECD1BF0" w14:textId="77777777" w:rsidTr="001F2B6B">
        <w:tc>
          <w:tcPr>
            <w:tcW w:w="1942" w:type="dxa"/>
          </w:tcPr>
          <w:p w14:paraId="77B32CC0" w14:textId="77777777" w:rsidR="009718A3" w:rsidRPr="00E81803" w:rsidRDefault="009718A3" w:rsidP="009718A3">
            <w:pPr>
              <w:pStyle w:val="Normal-pool"/>
              <w:spacing w:before="520"/>
            </w:pPr>
          </w:p>
        </w:tc>
        <w:tc>
          <w:tcPr>
            <w:tcW w:w="1942" w:type="dxa"/>
          </w:tcPr>
          <w:p w14:paraId="2FC8BFEE" w14:textId="77777777" w:rsidR="009718A3" w:rsidRPr="00E81803" w:rsidRDefault="009718A3" w:rsidP="009718A3">
            <w:pPr>
              <w:pStyle w:val="Normal-pool"/>
              <w:spacing w:before="520"/>
            </w:pPr>
          </w:p>
        </w:tc>
        <w:tc>
          <w:tcPr>
            <w:tcW w:w="1942" w:type="dxa"/>
            <w:tcBorders>
              <w:bottom w:val="single" w:sz="4" w:space="0" w:color="auto"/>
            </w:tcBorders>
          </w:tcPr>
          <w:p w14:paraId="4377E2CE" w14:textId="77777777" w:rsidR="009718A3" w:rsidRPr="00E81803" w:rsidRDefault="009718A3" w:rsidP="009718A3">
            <w:pPr>
              <w:pStyle w:val="Normal-pool"/>
              <w:spacing w:before="520"/>
            </w:pPr>
          </w:p>
        </w:tc>
        <w:tc>
          <w:tcPr>
            <w:tcW w:w="1943" w:type="dxa"/>
          </w:tcPr>
          <w:p w14:paraId="6944CE67" w14:textId="77777777" w:rsidR="009718A3" w:rsidRPr="00E81803" w:rsidRDefault="009718A3" w:rsidP="009718A3">
            <w:pPr>
              <w:pStyle w:val="Normal-pool"/>
              <w:spacing w:before="520"/>
            </w:pPr>
          </w:p>
        </w:tc>
        <w:tc>
          <w:tcPr>
            <w:tcW w:w="1943" w:type="dxa"/>
          </w:tcPr>
          <w:p w14:paraId="0FAF2FE5" w14:textId="77777777" w:rsidR="009718A3" w:rsidRPr="00E81803" w:rsidRDefault="009718A3" w:rsidP="009718A3">
            <w:pPr>
              <w:pStyle w:val="Normal-pool"/>
              <w:spacing w:before="520"/>
            </w:pPr>
          </w:p>
        </w:tc>
      </w:tr>
    </w:tbl>
    <w:p w14:paraId="2DB5A56C" w14:textId="77777777" w:rsidR="0025267F" w:rsidRPr="00E81803" w:rsidRDefault="0025267F" w:rsidP="009718A3">
      <w:pPr>
        <w:pStyle w:val="Normal-pool"/>
      </w:pPr>
    </w:p>
    <w:sectPr w:rsidR="0025267F" w:rsidRPr="00E81803" w:rsidSect="00C6062B">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68C37" w14:textId="77777777" w:rsidR="004C64D1" w:rsidRDefault="004C64D1">
      <w:r>
        <w:separator/>
      </w:r>
    </w:p>
  </w:endnote>
  <w:endnote w:type="continuationSeparator" w:id="0">
    <w:p w14:paraId="6F6ABF92" w14:textId="77777777" w:rsidR="004C64D1" w:rsidRDefault="004C6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Open San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A616B" w14:textId="77777777" w:rsidR="004C64D1" w:rsidRDefault="004C64D1">
    <w:pPr>
      <w:pStyle w:val="Footer"/>
    </w:pPr>
    <w:r>
      <w:rPr>
        <w:rStyle w:val="PageNumber"/>
      </w:rPr>
      <w:fldChar w:fldCharType="begin"/>
    </w:r>
    <w:r>
      <w:rPr>
        <w:rStyle w:val="PageNumber"/>
      </w:rPr>
      <w:instrText xml:space="preserve"> PAGE </w:instrText>
    </w:r>
    <w:r>
      <w:rPr>
        <w:rStyle w:val="PageNumber"/>
      </w:rPr>
      <w:fldChar w:fldCharType="separate"/>
    </w:r>
    <w:r w:rsidR="00CA1185">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AEAC5" w14:textId="77777777" w:rsidR="004C64D1" w:rsidRDefault="004C64D1"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CA1185">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E1228" w14:textId="2944B810" w:rsidR="004C64D1" w:rsidRDefault="004C64D1" w:rsidP="00E02303">
    <w:pPr>
      <w:pStyle w:val="Normal-pool"/>
    </w:pPr>
    <w:r>
      <w:t>K1707172</w:t>
    </w:r>
    <w:r>
      <w:tab/>
    </w:r>
    <w:r w:rsidR="00946EE2">
      <w:t>070817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B10BF" w14:textId="77777777" w:rsidR="004C64D1" w:rsidRPr="001F2B6B" w:rsidRDefault="004C64D1" w:rsidP="001F2B6B">
      <w:pPr>
        <w:tabs>
          <w:tab w:val="clear" w:pos="1247"/>
          <w:tab w:val="clear" w:pos="1814"/>
          <w:tab w:val="clear" w:pos="2381"/>
          <w:tab w:val="clear" w:pos="2948"/>
          <w:tab w:val="clear" w:pos="3515"/>
          <w:tab w:val="left" w:pos="624"/>
        </w:tabs>
        <w:spacing w:before="60"/>
        <w:ind w:left="624"/>
        <w:rPr>
          <w:sz w:val="18"/>
          <w:szCs w:val="18"/>
        </w:rPr>
      </w:pPr>
      <w:r w:rsidRPr="001F2B6B">
        <w:rPr>
          <w:sz w:val="18"/>
          <w:szCs w:val="18"/>
        </w:rPr>
        <w:separator/>
      </w:r>
    </w:p>
  </w:footnote>
  <w:footnote w:type="continuationSeparator" w:id="0">
    <w:p w14:paraId="65211984" w14:textId="77777777" w:rsidR="004C64D1" w:rsidRDefault="004C64D1">
      <w:r>
        <w:continuationSeparator/>
      </w:r>
    </w:p>
  </w:footnote>
  <w:footnote w:id="1">
    <w:p w14:paraId="5F33ADC8" w14:textId="77777777" w:rsidR="004C64D1" w:rsidRPr="001176CB" w:rsidRDefault="004C64D1" w:rsidP="009718A3">
      <w:pPr>
        <w:tabs>
          <w:tab w:val="left" w:pos="624"/>
        </w:tabs>
        <w:spacing w:before="20" w:after="40"/>
        <w:ind w:left="1247"/>
        <w:rPr>
          <w:sz w:val="18"/>
          <w:szCs w:val="18"/>
        </w:rPr>
      </w:pPr>
      <w:r w:rsidRPr="001176CB">
        <w:rPr>
          <w:sz w:val="18"/>
          <w:szCs w:val="18"/>
        </w:rPr>
        <w:t>* UNEP/MC/COP.1/1.</w:t>
      </w:r>
    </w:p>
  </w:footnote>
  <w:footnote w:id="2">
    <w:p w14:paraId="5C9EBEE6" w14:textId="77777777" w:rsidR="004C64D1" w:rsidRPr="000760B6" w:rsidRDefault="004C64D1" w:rsidP="001F2B6B">
      <w:pPr>
        <w:pStyle w:val="FootnoteText"/>
        <w:tabs>
          <w:tab w:val="left" w:pos="624"/>
        </w:tabs>
        <w:rPr>
          <w:szCs w:val="18"/>
          <w:lang w:val="en-GB"/>
        </w:rPr>
      </w:pPr>
      <w:r w:rsidRPr="00E87859">
        <w:rPr>
          <w:rStyle w:val="FootnoteReference"/>
          <w:sz w:val="18"/>
        </w:rPr>
        <w:footnoteRef/>
      </w:r>
      <w:r w:rsidRPr="000760B6">
        <w:rPr>
          <w:szCs w:val="18"/>
          <w:lang w:val="en-GB"/>
        </w:rPr>
        <w:t xml:space="preserve"> </w:t>
      </w:r>
      <w:hyperlink r:id="rId1" w:history="1">
        <w:r w:rsidRPr="000760B6">
          <w:rPr>
            <w:rStyle w:val="Hyperlink"/>
            <w:sz w:val="18"/>
            <w:szCs w:val="18"/>
            <w:lang w:val="en-GB"/>
          </w:rPr>
          <w:t>http://mercuryconvention.org/Negotiations/INCBureau/tabid/3827/Default.aspx</w:t>
        </w:r>
      </w:hyperlink>
      <w:r w:rsidRPr="000760B6">
        <w:rPr>
          <w:szCs w:val="18"/>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5A7C9" w14:textId="66D1E730" w:rsidR="004C64D1" w:rsidRPr="00CA5CA9" w:rsidRDefault="004C64D1" w:rsidP="000760B6">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03DF0" w14:textId="1D9EFFCB" w:rsidR="004C64D1" w:rsidRPr="00CA5CA9" w:rsidRDefault="004C64D1" w:rsidP="000760B6">
    <w:pPr>
      <w:pStyle w:val="Header"/>
      <w:jc w:val="right"/>
      <w:rPr>
        <w:szCs w:val="18"/>
      </w:rPr>
    </w:pPr>
    <w:r w:rsidRPr="00312543">
      <w:rPr>
        <w:bCs/>
        <w:szCs w:val="18"/>
      </w:rPr>
      <w:t>UNEP/MC/COP.1/</w:t>
    </w:r>
    <w:r>
      <w:rPr>
        <w:bCs/>
        <w:szCs w:val="18"/>
      </w:rPr>
      <w:t>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8AECC" w14:textId="20FEB77D" w:rsidR="004C64D1" w:rsidRDefault="004C64D1"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8D80F21"/>
    <w:multiLevelType w:val="hybridMultilevel"/>
    <w:tmpl w:val="CAD4CD4E"/>
    <w:lvl w:ilvl="0" w:tplc="04090001">
      <w:start w:val="1"/>
      <w:numFmt w:val="bullet"/>
      <w:lvlText w:val=""/>
      <w:lvlJc w:val="left"/>
      <w:pPr>
        <w:ind w:left="1967" w:hanging="360"/>
      </w:pPr>
      <w:rPr>
        <w:rFonts w:ascii="Symbol" w:hAnsi="Symbol" w:hint="default"/>
      </w:rPr>
    </w:lvl>
    <w:lvl w:ilvl="1" w:tplc="04090003">
      <w:start w:val="1"/>
      <w:numFmt w:val="bullet"/>
      <w:lvlText w:val="o"/>
      <w:lvlJc w:val="left"/>
      <w:pPr>
        <w:ind w:left="2687" w:hanging="360"/>
      </w:pPr>
      <w:rPr>
        <w:rFonts w:ascii="Courier New" w:hAnsi="Courier New" w:cs="Courier New" w:hint="default"/>
      </w:rPr>
    </w:lvl>
    <w:lvl w:ilvl="2" w:tplc="04090005">
      <w:start w:val="1"/>
      <w:numFmt w:val="bullet"/>
      <w:lvlText w:val=""/>
      <w:lvlJc w:val="left"/>
      <w:pPr>
        <w:ind w:left="3407" w:hanging="360"/>
      </w:pPr>
      <w:rPr>
        <w:rFonts w:ascii="Wingdings" w:hAnsi="Wingdings" w:hint="default"/>
      </w:rPr>
    </w:lvl>
    <w:lvl w:ilvl="3" w:tplc="04090001">
      <w:start w:val="1"/>
      <w:numFmt w:val="bullet"/>
      <w:lvlText w:val=""/>
      <w:lvlJc w:val="left"/>
      <w:pPr>
        <w:ind w:left="4127" w:hanging="360"/>
      </w:pPr>
      <w:rPr>
        <w:rFonts w:ascii="Symbol" w:hAnsi="Symbol" w:hint="default"/>
      </w:rPr>
    </w:lvl>
    <w:lvl w:ilvl="4" w:tplc="04090003">
      <w:start w:val="1"/>
      <w:numFmt w:val="bullet"/>
      <w:lvlText w:val="o"/>
      <w:lvlJc w:val="left"/>
      <w:pPr>
        <w:ind w:left="4847" w:hanging="360"/>
      </w:pPr>
      <w:rPr>
        <w:rFonts w:ascii="Courier New" w:hAnsi="Courier New" w:cs="Courier New" w:hint="default"/>
      </w:rPr>
    </w:lvl>
    <w:lvl w:ilvl="5" w:tplc="04090005">
      <w:start w:val="1"/>
      <w:numFmt w:val="bullet"/>
      <w:lvlText w:val=""/>
      <w:lvlJc w:val="left"/>
      <w:pPr>
        <w:ind w:left="5567" w:hanging="360"/>
      </w:pPr>
      <w:rPr>
        <w:rFonts w:ascii="Wingdings" w:hAnsi="Wingdings" w:hint="default"/>
      </w:rPr>
    </w:lvl>
    <w:lvl w:ilvl="6" w:tplc="04090001">
      <w:start w:val="1"/>
      <w:numFmt w:val="bullet"/>
      <w:lvlText w:val=""/>
      <w:lvlJc w:val="left"/>
      <w:pPr>
        <w:ind w:left="6287" w:hanging="360"/>
      </w:pPr>
      <w:rPr>
        <w:rFonts w:ascii="Symbol" w:hAnsi="Symbol" w:hint="default"/>
      </w:rPr>
    </w:lvl>
    <w:lvl w:ilvl="7" w:tplc="04090003">
      <w:start w:val="1"/>
      <w:numFmt w:val="bullet"/>
      <w:lvlText w:val="o"/>
      <w:lvlJc w:val="left"/>
      <w:pPr>
        <w:ind w:left="7007" w:hanging="360"/>
      </w:pPr>
      <w:rPr>
        <w:rFonts w:ascii="Courier New" w:hAnsi="Courier New" w:cs="Courier New" w:hint="default"/>
      </w:rPr>
    </w:lvl>
    <w:lvl w:ilvl="8" w:tplc="04090005">
      <w:start w:val="1"/>
      <w:numFmt w:val="bullet"/>
      <w:lvlText w:val=""/>
      <w:lvlJc w:val="left"/>
      <w:pPr>
        <w:ind w:left="7727" w:hanging="360"/>
      </w:pPr>
      <w:rPr>
        <w:rFonts w:ascii="Wingdings" w:hAnsi="Wingdings" w:hint="default"/>
      </w:rPr>
    </w:lvl>
  </w:abstractNum>
  <w:abstractNum w:abstractNumId="4">
    <w:nsid w:val="331D0BC6"/>
    <w:multiLevelType w:val="hybridMultilevel"/>
    <w:tmpl w:val="AEB274FA"/>
    <w:lvl w:ilvl="0" w:tplc="5EF20144">
      <w:start w:val="1"/>
      <w:numFmt w:val="bullet"/>
      <w:lvlText w:val=""/>
      <w:lvlJc w:val="left"/>
      <w:pPr>
        <w:ind w:left="360" w:hanging="360"/>
      </w:pPr>
      <w:rPr>
        <w:rFonts w:ascii="Symbol" w:hAnsi="Symbol" w:cs="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6">
    <w:nsid w:val="389314FC"/>
    <w:multiLevelType w:val="hybridMultilevel"/>
    <w:tmpl w:val="95A8B198"/>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7">
    <w:nsid w:val="4B361008"/>
    <w:multiLevelType w:val="hybridMultilevel"/>
    <w:tmpl w:val="75329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DA16BB0"/>
    <w:multiLevelType w:val="hybridMultilevel"/>
    <w:tmpl w:val="1878FCE4"/>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9">
    <w:nsid w:val="4FF53DE2"/>
    <w:multiLevelType w:val="hybridMultilevel"/>
    <w:tmpl w:val="86DAFF5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0">
    <w:nsid w:val="52A66A9D"/>
    <w:multiLevelType w:val="multilevel"/>
    <w:tmpl w:val="BBB80F2E"/>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
    <w:nsid w:val="5B423F8B"/>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2">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3">
    <w:nsid w:val="6596715F"/>
    <w:multiLevelType w:val="hybridMultilevel"/>
    <w:tmpl w:val="213A2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6272C05"/>
    <w:multiLevelType w:val="hybridMultilevel"/>
    <w:tmpl w:val="D996F02A"/>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15">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0"/>
  </w:num>
  <w:num w:numId="2">
    <w:abstractNumId w:val="1"/>
  </w:num>
  <w:num w:numId="3">
    <w:abstractNumId w:val="5"/>
  </w:num>
  <w:num w:numId="4">
    <w:abstractNumId w:val="10"/>
  </w:num>
  <w:num w:numId="5">
    <w:abstractNumId w:val="10"/>
    <w:lvlOverride w:ilvl="0">
      <w:lvl w:ilvl="0">
        <w:start w:val="1"/>
        <w:numFmt w:val="decimal"/>
        <w:pStyle w:val="Normalnumber"/>
        <w:lvlText w:val="%1."/>
        <w:lvlJc w:val="left"/>
        <w:pPr>
          <w:ind w:left="1495"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2"/>
  </w:num>
  <w:num w:numId="7">
    <w:abstractNumId w:val="0"/>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6"/>
  </w:num>
  <w:num w:numId="13">
    <w:abstractNumId w:val="10"/>
  </w:num>
  <w:num w:numId="14">
    <w:abstractNumId w:val="10"/>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 w:ilvl="0">
        <w:start w:val="1"/>
        <w:numFmt w:val="decimal"/>
        <w:pStyle w:val="Normalnumber"/>
        <w:lvlText w:val="%1."/>
        <w:lvlJc w:val="left"/>
        <w:pPr>
          <w:ind w:left="1607" w:hanging="36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righ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9"/>
  </w:num>
  <w:num w:numId="19">
    <w:abstractNumId w:val="10"/>
    <w:lvlOverride w:ilvl="1">
      <w:lvl w:ilvl="1">
        <w:start w:val="1"/>
        <w:numFmt w:val="lowerLetter"/>
        <w:lvlText w:val="(%2)"/>
        <w:lvlJc w:val="left"/>
        <w:pPr>
          <w:tabs>
            <w:tab w:val="num" w:pos="1134"/>
          </w:tabs>
          <w:ind w:left="1247" w:firstLine="567"/>
        </w:pPr>
        <w:rPr>
          <w:rFonts w:hint="default"/>
        </w:rPr>
      </w:lvl>
    </w:lvlOverride>
  </w:num>
  <w:num w:numId="20">
    <w:abstractNumId w:val="11"/>
  </w:num>
  <w:num w:numId="21">
    <w:abstractNumId w:val="8"/>
  </w:num>
  <w:num w:numId="22">
    <w:abstractNumId w:val="3"/>
  </w:num>
  <w:num w:numId="23">
    <w:abstractNumId w:val="14"/>
  </w:num>
  <w:num w:numId="24">
    <w:abstractNumId w:val="13"/>
  </w:num>
  <w:num w:numId="25">
    <w:abstractNumId w:val="10"/>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6">
    <w:abstractNumId w:val="6"/>
  </w:num>
  <w:num w:numId="27">
    <w:abstractNumId w:val="10"/>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8">
    <w:abstractNumId w:val="10"/>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9">
    <w:abstractNumId w:val="10"/>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0">
    <w:abstractNumId w:val="7"/>
  </w:num>
  <w:num w:numId="31">
    <w:abstractNumId w:val="10"/>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2">
    <w:abstractNumId w:val="10"/>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3">
    <w:abstractNumId w:val="10"/>
    <w:lvlOverride w:ilvl="0">
      <w:lvl w:ilvl="0">
        <w:start w:val="1"/>
        <w:numFmt w:val="decimal"/>
        <w:pStyle w:val="Normalnumber"/>
        <w:lvlText w:val="%1."/>
        <w:lvlJc w:val="left"/>
        <w:pPr>
          <w:tabs>
            <w:tab w:val="num" w:pos="1134"/>
          </w:tabs>
          <w:ind w:left="1247" w:firstLine="0"/>
        </w:pPr>
        <w:rPr>
          <w:rFonts w:hint="default"/>
          <w:b w:val="0"/>
          <w:bCs w:val="0"/>
        </w:rPr>
      </w:lvl>
    </w:lvlOverride>
    <w:lvlOverride w:ilvl="1">
      <w:lvl w:ilvl="1">
        <w:start w:val="1"/>
        <w:numFmt w:val="lowerLetter"/>
        <w:lvlText w:val="(%2)"/>
        <w:lvlJc w:val="left"/>
        <w:pPr>
          <w:tabs>
            <w:tab w:val="num" w:pos="1134"/>
          </w:tabs>
          <w:ind w:left="1247" w:firstLine="567"/>
        </w:pPr>
        <w:rPr>
          <w:rFonts w:hint="default"/>
        </w:rPr>
      </w:lvl>
    </w:lvlOverride>
  </w:num>
  <w:num w:numId="34">
    <w:abstractNumId w:val="4"/>
  </w:num>
  <w:num w:numId="35">
    <w:abstractNumId w:val="10"/>
    <w:lvlOverride w:ilvl="0">
      <w:lvl w:ilvl="0">
        <w:start w:val="1"/>
        <w:numFmt w:val="decimal"/>
        <w:pStyle w:val="Normalnumber"/>
        <w:lvlText w:val="%1."/>
        <w:lvlJc w:val="left"/>
        <w:pPr>
          <w:ind w:left="1495"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fr-CH" w:vendorID="64" w:dllVersion="0" w:nlCheck="1" w:checkStyle="1"/>
  <w:activeWritingStyle w:appName="MSWord" w:lang="fr-BE" w:vendorID="64" w:dllVersion="0"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8196"/>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1A2"/>
    <w:rsid w:val="00000E4A"/>
    <w:rsid w:val="000016E8"/>
    <w:rsid w:val="000024A3"/>
    <w:rsid w:val="000149E6"/>
    <w:rsid w:val="00023DA9"/>
    <w:rsid w:val="000247B0"/>
    <w:rsid w:val="0002502C"/>
    <w:rsid w:val="00026997"/>
    <w:rsid w:val="00026A08"/>
    <w:rsid w:val="00032E4E"/>
    <w:rsid w:val="00033E0B"/>
    <w:rsid w:val="00035EDE"/>
    <w:rsid w:val="000509B4"/>
    <w:rsid w:val="00051063"/>
    <w:rsid w:val="000553F1"/>
    <w:rsid w:val="0006035B"/>
    <w:rsid w:val="0006096F"/>
    <w:rsid w:val="000649C5"/>
    <w:rsid w:val="00071886"/>
    <w:rsid w:val="000742BC"/>
    <w:rsid w:val="00075D5E"/>
    <w:rsid w:val="000760B6"/>
    <w:rsid w:val="00076CC6"/>
    <w:rsid w:val="00082A0C"/>
    <w:rsid w:val="00082BFB"/>
    <w:rsid w:val="000832C7"/>
    <w:rsid w:val="00083504"/>
    <w:rsid w:val="000849CA"/>
    <w:rsid w:val="00095751"/>
    <w:rsid w:val="0009640C"/>
    <w:rsid w:val="000A035D"/>
    <w:rsid w:val="000A33DF"/>
    <w:rsid w:val="000A5627"/>
    <w:rsid w:val="000B22A2"/>
    <w:rsid w:val="000B3759"/>
    <w:rsid w:val="000B5621"/>
    <w:rsid w:val="000B6C42"/>
    <w:rsid w:val="000B73F9"/>
    <w:rsid w:val="000C2A52"/>
    <w:rsid w:val="000D24D3"/>
    <w:rsid w:val="000D33C0"/>
    <w:rsid w:val="000D4CF6"/>
    <w:rsid w:val="000D6941"/>
    <w:rsid w:val="000E04CD"/>
    <w:rsid w:val="000E671B"/>
    <w:rsid w:val="000F1B80"/>
    <w:rsid w:val="000F4829"/>
    <w:rsid w:val="000F6535"/>
    <w:rsid w:val="00111BA9"/>
    <w:rsid w:val="001143B8"/>
    <w:rsid w:val="001202E3"/>
    <w:rsid w:val="00122A33"/>
    <w:rsid w:val="00123699"/>
    <w:rsid w:val="001241FB"/>
    <w:rsid w:val="00126CBE"/>
    <w:rsid w:val="0012782F"/>
    <w:rsid w:val="0013059D"/>
    <w:rsid w:val="00136187"/>
    <w:rsid w:val="00141A55"/>
    <w:rsid w:val="0014293F"/>
    <w:rsid w:val="0014397D"/>
    <w:rsid w:val="001446A3"/>
    <w:rsid w:val="00152B6B"/>
    <w:rsid w:val="00155395"/>
    <w:rsid w:val="00156B6B"/>
    <w:rsid w:val="00160D74"/>
    <w:rsid w:val="0016251F"/>
    <w:rsid w:val="001646EA"/>
    <w:rsid w:val="00167D02"/>
    <w:rsid w:val="001759D8"/>
    <w:rsid w:val="00177D7F"/>
    <w:rsid w:val="00180C3F"/>
    <w:rsid w:val="00181EC8"/>
    <w:rsid w:val="00184349"/>
    <w:rsid w:val="00187CDE"/>
    <w:rsid w:val="00195F33"/>
    <w:rsid w:val="001A04AA"/>
    <w:rsid w:val="001B1617"/>
    <w:rsid w:val="001B504B"/>
    <w:rsid w:val="001B6273"/>
    <w:rsid w:val="001B6F89"/>
    <w:rsid w:val="001B6F98"/>
    <w:rsid w:val="001C191A"/>
    <w:rsid w:val="001D3874"/>
    <w:rsid w:val="001D7E75"/>
    <w:rsid w:val="001E0D73"/>
    <w:rsid w:val="001E16F2"/>
    <w:rsid w:val="001E4028"/>
    <w:rsid w:val="001E45BD"/>
    <w:rsid w:val="001E54FA"/>
    <w:rsid w:val="001E56D2"/>
    <w:rsid w:val="001E7D56"/>
    <w:rsid w:val="001F0FBB"/>
    <w:rsid w:val="001F2B6B"/>
    <w:rsid w:val="001F4EF3"/>
    <w:rsid w:val="001F4F4A"/>
    <w:rsid w:val="001F52E2"/>
    <w:rsid w:val="001F75DE"/>
    <w:rsid w:val="00200D58"/>
    <w:rsid w:val="002011C1"/>
    <w:rsid w:val="002013BE"/>
    <w:rsid w:val="00201EDC"/>
    <w:rsid w:val="002063A4"/>
    <w:rsid w:val="0021145B"/>
    <w:rsid w:val="00220C23"/>
    <w:rsid w:val="002247F6"/>
    <w:rsid w:val="00225E21"/>
    <w:rsid w:val="002274D8"/>
    <w:rsid w:val="00234E78"/>
    <w:rsid w:val="00243D36"/>
    <w:rsid w:val="00246151"/>
    <w:rsid w:val="0024616E"/>
    <w:rsid w:val="00247707"/>
    <w:rsid w:val="0025267F"/>
    <w:rsid w:val="00255632"/>
    <w:rsid w:val="0026018E"/>
    <w:rsid w:val="002623CD"/>
    <w:rsid w:val="00262818"/>
    <w:rsid w:val="0027116B"/>
    <w:rsid w:val="00274D37"/>
    <w:rsid w:val="00277CE2"/>
    <w:rsid w:val="0028635C"/>
    <w:rsid w:val="00286740"/>
    <w:rsid w:val="00290A47"/>
    <w:rsid w:val="00291EAE"/>
    <w:rsid w:val="002929D8"/>
    <w:rsid w:val="0029570E"/>
    <w:rsid w:val="00296835"/>
    <w:rsid w:val="00297C11"/>
    <w:rsid w:val="002A0509"/>
    <w:rsid w:val="002A237D"/>
    <w:rsid w:val="002A4C53"/>
    <w:rsid w:val="002B0672"/>
    <w:rsid w:val="002B247F"/>
    <w:rsid w:val="002B50D4"/>
    <w:rsid w:val="002C145D"/>
    <w:rsid w:val="002C1945"/>
    <w:rsid w:val="002C1B9F"/>
    <w:rsid w:val="002C2C3E"/>
    <w:rsid w:val="002C533E"/>
    <w:rsid w:val="002D027F"/>
    <w:rsid w:val="002D3E15"/>
    <w:rsid w:val="002D7A85"/>
    <w:rsid w:val="002D7B60"/>
    <w:rsid w:val="002E6C80"/>
    <w:rsid w:val="002F4761"/>
    <w:rsid w:val="002F5BEB"/>
    <w:rsid w:val="002F5C79"/>
    <w:rsid w:val="002F68EE"/>
    <w:rsid w:val="003019E2"/>
    <w:rsid w:val="00304499"/>
    <w:rsid w:val="00306DBF"/>
    <w:rsid w:val="00310B4B"/>
    <w:rsid w:val="00310BEB"/>
    <w:rsid w:val="00312543"/>
    <w:rsid w:val="0031413F"/>
    <w:rsid w:val="00314854"/>
    <w:rsid w:val="003148BB"/>
    <w:rsid w:val="0031559D"/>
    <w:rsid w:val="00317976"/>
    <w:rsid w:val="00320F2F"/>
    <w:rsid w:val="00326E66"/>
    <w:rsid w:val="00332216"/>
    <w:rsid w:val="003338F7"/>
    <w:rsid w:val="00352B35"/>
    <w:rsid w:val="00355EA9"/>
    <w:rsid w:val="003578DE"/>
    <w:rsid w:val="00361688"/>
    <w:rsid w:val="003616AB"/>
    <w:rsid w:val="00361855"/>
    <w:rsid w:val="00365E83"/>
    <w:rsid w:val="00367840"/>
    <w:rsid w:val="00372443"/>
    <w:rsid w:val="00377FD5"/>
    <w:rsid w:val="003877D5"/>
    <w:rsid w:val="00391950"/>
    <w:rsid w:val="003927D8"/>
    <w:rsid w:val="003929B8"/>
    <w:rsid w:val="00396257"/>
    <w:rsid w:val="00397EB8"/>
    <w:rsid w:val="003A4FD0"/>
    <w:rsid w:val="003A69D1"/>
    <w:rsid w:val="003A7705"/>
    <w:rsid w:val="003A77F1"/>
    <w:rsid w:val="003B1545"/>
    <w:rsid w:val="003B3274"/>
    <w:rsid w:val="003C2885"/>
    <w:rsid w:val="003C3219"/>
    <w:rsid w:val="003C34B1"/>
    <w:rsid w:val="003C409D"/>
    <w:rsid w:val="003C5583"/>
    <w:rsid w:val="003C5BA6"/>
    <w:rsid w:val="003C74CF"/>
    <w:rsid w:val="003D2FCB"/>
    <w:rsid w:val="003D3752"/>
    <w:rsid w:val="003D4BAE"/>
    <w:rsid w:val="003E35DA"/>
    <w:rsid w:val="003E3C7E"/>
    <w:rsid w:val="003E3CCD"/>
    <w:rsid w:val="003E455D"/>
    <w:rsid w:val="003F0E85"/>
    <w:rsid w:val="003F10BE"/>
    <w:rsid w:val="003F5F95"/>
    <w:rsid w:val="00410C55"/>
    <w:rsid w:val="00415FE6"/>
    <w:rsid w:val="00416854"/>
    <w:rsid w:val="00417725"/>
    <w:rsid w:val="00420709"/>
    <w:rsid w:val="004375DD"/>
    <w:rsid w:val="00437F26"/>
    <w:rsid w:val="00444097"/>
    <w:rsid w:val="00445487"/>
    <w:rsid w:val="0044713F"/>
    <w:rsid w:val="004479F0"/>
    <w:rsid w:val="00447E0D"/>
    <w:rsid w:val="00453A68"/>
    <w:rsid w:val="00454769"/>
    <w:rsid w:val="00465D27"/>
    <w:rsid w:val="00466991"/>
    <w:rsid w:val="004671EC"/>
    <w:rsid w:val="0047064C"/>
    <w:rsid w:val="004822B7"/>
    <w:rsid w:val="00483E03"/>
    <w:rsid w:val="004844FA"/>
    <w:rsid w:val="00490598"/>
    <w:rsid w:val="0049469E"/>
    <w:rsid w:val="004A2217"/>
    <w:rsid w:val="004A24F9"/>
    <w:rsid w:val="004A42E1"/>
    <w:rsid w:val="004B162C"/>
    <w:rsid w:val="004B2ABE"/>
    <w:rsid w:val="004B6021"/>
    <w:rsid w:val="004C3DBE"/>
    <w:rsid w:val="004C5C96"/>
    <w:rsid w:val="004C64D1"/>
    <w:rsid w:val="004C64F4"/>
    <w:rsid w:val="004D06A4"/>
    <w:rsid w:val="004E01DD"/>
    <w:rsid w:val="004F1A81"/>
    <w:rsid w:val="004F3976"/>
    <w:rsid w:val="005050D2"/>
    <w:rsid w:val="00511D7B"/>
    <w:rsid w:val="0051272E"/>
    <w:rsid w:val="00514C13"/>
    <w:rsid w:val="00516D71"/>
    <w:rsid w:val="005218D9"/>
    <w:rsid w:val="00521EED"/>
    <w:rsid w:val="0052216E"/>
    <w:rsid w:val="005330BE"/>
    <w:rsid w:val="005360CF"/>
    <w:rsid w:val="00536186"/>
    <w:rsid w:val="00544CBB"/>
    <w:rsid w:val="00545499"/>
    <w:rsid w:val="00554DFB"/>
    <w:rsid w:val="005656D7"/>
    <w:rsid w:val="00567280"/>
    <w:rsid w:val="00571C42"/>
    <w:rsid w:val="0057315F"/>
    <w:rsid w:val="005738A4"/>
    <w:rsid w:val="00576104"/>
    <w:rsid w:val="00580923"/>
    <w:rsid w:val="00584860"/>
    <w:rsid w:val="00592B21"/>
    <w:rsid w:val="005B1A45"/>
    <w:rsid w:val="005B3352"/>
    <w:rsid w:val="005B44BF"/>
    <w:rsid w:val="005B66F5"/>
    <w:rsid w:val="005C4DFD"/>
    <w:rsid w:val="005C5BF7"/>
    <w:rsid w:val="005C67C8"/>
    <w:rsid w:val="005D0249"/>
    <w:rsid w:val="005D18FA"/>
    <w:rsid w:val="005D2120"/>
    <w:rsid w:val="005D25CF"/>
    <w:rsid w:val="005D4FD4"/>
    <w:rsid w:val="005D6E8C"/>
    <w:rsid w:val="005D77D2"/>
    <w:rsid w:val="005E05A1"/>
    <w:rsid w:val="005E3004"/>
    <w:rsid w:val="005E3C86"/>
    <w:rsid w:val="005F100C"/>
    <w:rsid w:val="005F68DA"/>
    <w:rsid w:val="00601BC9"/>
    <w:rsid w:val="0060773B"/>
    <w:rsid w:val="00613FD6"/>
    <w:rsid w:val="00614E24"/>
    <w:rsid w:val="006157B5"/>
    <w:rsid w:val="00617224"/>
    <w:rsid w:val="00620222"/>
    <w:rsid w:val="006233C8"/>
    <w:rsid w:val="00624B58"/>
    <w:rsid w:val="00626FC6"/>
    <w:rsid w:val="006303B4"/>
    <w:rsid w:val="00630ADC"/>
    <w:rsid w:val="00633D3D"/>
    <w:rsid w:val="006343C4"/>
    <w:rsid w:val="006368F1"/>
    <w:rsid w:val="00641703"/>
    <w:rsid w:val="006431A6"/>
    <w:rsid w:val="00643B4C"/>
    <w:rsid w:val="00643E3A"/>
    <w:rsid w:val="006459F6"/>
    <w:rsid w:val="006501AD"/>
    <w:rsid w:val="00651BFA"/>
    <w:rsid w:val="006534F9"/>
    <w:rsid w:val="00654475"/>
    <w:rsid w:val="00655560"/>
    <w:rsid w:val="00656DF0"/>
    <w:rsid w:val="00661446"/>
    <w:rsid w:val="00665A4B"/>
    <w:rsid w:val="00665D0D"/>
    <w:rsid w:val="00684BE1"/>
    <w:rsid w:val="00692E2A"/>
    <w:rsid w:val="006A16FF"/>
    <w:rsid w:val="006A4C1D"/>
    <w:rsid w:val="006A76F2"/>
    <w:rsid w:val="006A7DE0"/>
    <w:rsid w:val="006B418D"/>
    <w:rsid w:val="006B6333"/>
    <w:rsid w:val="006D19D4"/>
    <w:rsid w:val="006D7EFB"/>
    <w:rsid w:val="006E5704"/>
    <w:rsid w:val="006E6672"/>
    <w:rsid w:val="006E6722"/>
    <w:rsid w:val="006F0D46"/>
    <w:rsid w:val="006F229F"/>
    <w:rsid w:val="006F4948"/>
    <w:rsid w:val="006F4C39"/>
    <w:rsid w:val="006F7AFF"/>
    <w:rsid w:val="007027B9"/>
    <w:rsid w:val="007066B5"/>
    <w:rsid w:val="007145DA"/>
    <w:rsid w:val="00715E88"/>
    <w:rsid w:val="00721A6D"/>
    <w:rsid w:val="00727DCC"/>
    <w:rsid w:val="007334E8"/>
    <w:rsid w:val="00734CAA"/>
    <w:rsid w:val="00741552"/>
    <w:rsid w:val="00742680"/>
    <w:rsid w:val="007432BD"/>
    <w:rsid w:val="00750E86"/>
    <w:rsid w:val="007551E2"/>
    <w:rsid w:val="0075533C"/>
    <w:rsid w:val="00755A53"/>
    <w:rsid w:val="00757581"/>
    <w:rsid w:val="007602F5"/>
    <w:rsid w:val="00760D36"/>
    <w:rsid w:val="007611A0"/>
    <w:rsid w:val="00773E54"/>
    <w:rsid w:val="00774E34"/>
    <w:rsid w:val="00775D8D"/>
    <w:rsid w:val="0078489D"/>
    <w:rsid w:val="00787240"/>
    <w:rsid w:val="00787688"/>
    <w:rsid w:val="007935E6"/>
    <w:rsid w:val="00796D3F"/>
    <w:rsid w:val="007A1683"/>
    <w:rsid w:val="007A3DC0"/>
    <w:rsid w:val="007A5C12"/>
    <w:rsid w:val="007A7CB0"/>
    <w:rsid w:val="007B4F9C"/>
    <w:rsid w:val="007B68A3"/>
    <w:rsid w:val="007C2541"/>
    <w:rsid w:val="007D66A8"/>
    <w:rsid w:val="007E003F"/>
    <w:rsid w:val="007E5F07"/>
    <w:rsid w:val="007F0CF8"/>
    <w:rsid w:val="007F62CB"/>
    <w:rsid w:val="00805335"/>
    <w:rsid w:val="00805679"/>
    <w:rsid w:val="00813F6E"/>
    <w:rsid w:val="008142EC"/>
    <w:rsid w:val="008164F2"/>
    <w:rsid w:val="00820E2B"/>
    <w:rsid w:val="00821395"/>
    <w:rsid w:val="0082260B"/>
    <w:rsid w:val="00830E26"/>
    <w:rsid w:val="00833D15"/>
    <w:rsid w:val="00843576"/>
    <w:rsid w:val="00843B64"/>
    <w:rsid w:val="008473F4"/>
    <w:rsid w:val="008478FC"/>
    <w:rsid w:val="00851756"/>
    <w:rsid w:val="00851C51"/>
    <w:rsid w:val="00856CDB"/>
    <w:rsid w:val="00867A15"/>
    <w:rsid w:val="00867BFF"/>
    <w:rsid w:val="00871542"/>
    <w:rsid w:val="00871E08"/>
    <w:rsid w:val="00872BF6"/>
    <w:rsid w:val="00873A3D"/>
    <w:rsid w:val="008831FA"/>
    <w:rsid w:val="0088480A"/>
    <w:rsid w:val="00886C30"/>
    <w:rsid w:val="0088757A"/>
    <w:rsid w:val="0089431B"/>
    <w:rsid w:val="00894479"/>
    <w:rsid w:val="00894DA2"/>
    <w:rsid w:val="00895668"/>
    <w:rsid w:val="008957DD"/>
    <w:rsid w:val="00897D98"/>
    <w:rsid w:val="008A2570"/>
    <w:rsid w:val="008A2F23"/>
    <w:rsid w:val="008A6DF2"/>
    <w:rsid w:val="008A7807"/>
    <w:rsid w:val="008B0CED"/>
    <w:rsid w:val="008B13C8"/>
    <w:rsid w:val="008B4CC9"/>
    <w:rsid w:val="008C5FFF"/>
    <w:rsid w:val="008C796D"/>
    <w:rsid w:val="008D4EF1"/>
    <w:rsid w:val="008D75E4"/>
    <w:rsid w:val="008D7C99"/>
    <w:rsid w:val="008E0FCB"/>
    <w:rsid w:val="008F6DFE"/>
    <w:rsid w:val="009008EA"/>
    <w:rsid w:val="00901CF2"/>
    <w:rsid w:val="0090529F"/>
    <w:rsid w:val="00905742"/>
    <w:rsid w:val="009068E3"/>
    <w:rsid w:val="00910514"/>
    <w:rsid w:val="00917EEE"/>
    <w:rsid w:val="0092178C"/>
    <w:rsid w:val="00922BA1"/>
    <w:rsid w:val="0092351E"/>
    <w:rsid w:val="00927821"/>
    <w:rsid w:val="00930B88"/>
    <w:rsid w:val="00934554"/>
    <w:rsid w:val="00936773"/>
    <w:rsid w:val="00940DCC"/>
    <w:rsid w:val="0094179A"/>
    <w:rsid w:val="0094459E"/>
    <w:rsid w:val="00944DBC"/>
    <w:rsid w:val="009456CD"/>
    <w:rsid w:val="00946EE2"/>
    <w:rsid w:val="00950977"/>
    <w:rsid w:val="00951A7B"/>
    <w:rsid w:val="009541FC"/>
    <w:rsid w:val="009564A6"/>
    <w:rsid w:val="00960425"/>
    <w:rsid w:val="009612DC"/>
    <w:rsid w:val="00966124"/>
    <w:rsid w:val="00966A53"/>
    <w:rsid w:val="00967621"/>
    <w:rsid w:val="00967E6A"/>
    <w:rsid w:val="009718A3"/>
    <w:rsid w:val="009848E6"/>
    <w:rsid w:val="009907B9"/>
    <w:rsid w:val="00990918"/>
    <w:rsid w:val="009A3A83"/>
    <w:rsid w:val="009B057D"/>
    <w:rsid w:val="009B0D04"/>
    <w:rsid w:val="009B1C44"/>
    <w:rsid w:val="009B30FD"/>
    <w:rsid w:val="009B4A0F"/>
    <w:rsid w:val="009B697B"/>
    <w:rsid w:val="009C11D2"/>
    <w:rsid w:val="009C3362"/>
    <w:rsid w:val="009C45CB"/>
    <w:rsid w:val="009C6C70"/>
    <w:rsid w:val="009C7B0A"/>
    <w:rsid w:val="009D01B5"/>
    <w:rsid w:val="009D0B63"/>
    <w:rsid w:val="009D32CE"/>
    <w:rsid w:val="009D353F"/>
    <w:rsid w:val="009D54EF"/>
    <w:rsid w:val="009D5CB8"/>
    <w:rsid w:val="009E07B4"/>
    <w:rsid w:val="009E307E"/>
    <w:rsid w:val="009F7611"/>
    <w:rsid w:val="00A018C0"/>
    <w:rsid w:val="00A02EC3"/>
    <w:rsid w:val="00A056B5"/>
    <w:rsid w:val="00A07870"/>
    <w:rsid w:val="00A07C54"/>
    <w:rsid w:val="00A07F19"/>
    <w:rsid w:val="00A1348D"/>
    <w:rsid w:val="00A13C99"/>
    <w:rsid w:val="00A1713B"/>
    <w:rsid w:val="00A22707"/>
    <w:rsid w:val="00A232EE"/>
    <w:rsid w:val="00A243E5"/>
    <w:rsid w:val="00A2589A"/>
    <w:rsid w:val="00A414F6"/>
    <w:rsid w:val="00A4175F"/>
    <w:rsid w:val="00A43A67"/>
    <w:rsid w:val="00A44411"/>
    <w:rsid w:val="00A469FA"/>
    <w:rsid w:val="00A518C4"/>
    <w:rsid w:val="00A53662"/>
    <w:rsid w:val="00A53B00"/>
    <w:rsid w:val="00A55B01"/>
    <w:rsid w:val="00A56158"/>
    <w:rsid w:val="00A56B5B"/>
    <w:rsid w:val="00A603FF"/>
    <w:rsid w:val="00A619B6"/>
    <w:rsid w:val="00A648CA"/>
    <w:rsid w:val="00A657DD"/>
    <w:rsid w:val="00A65D0C"/>
    <w:rsid w:val="00A666A6"/>
    <w:rsid w:val="00A675FD"/>
    <w:rsid w:val="00A72437"/>
    <w:rsid w:val="00A8048B"/>
    <w:rsid w:val="00A80611"/>
    <w:rsid w:val="00A83B47"/>
    <w:rsid w:val="00A91156"/>
    <w:rsid w:val="00A91D38"/>
    <w:rsid w:val="00A92050"/>
    <w:rsid w:val="00AA5BF4"/>
    <w:rsid w:val="00AB5340"/>
    <w:rsid w:val="00AC0A89"/>
    <w:rsid w:val="00AC62F0"/>
    <w:rsid w:val="00AC7252"/>
    <w:rsid w:val="00AC7C96"/>
    <w:rsid w:val="00AD0AC9"/>
    <w:rsid w:val="00AD4326"/>
    <w:rsid w:val="00AE237D"/>
    <w:rsid w:val="00AE38EB"/>
    <w:rsid w:val="00AE502A"/>
    <w:rsid w:val="00AE77D5"/>
    <w:rsid w:val="00AF0010"/>
    <w:rsid w:val="00AF2C1F"/>
    <w:rsid w:val="00AF5E0A"/>
    <w:rsid w:val="00AF5E0F"/>
    <w:rsid w:val="00AF7A9F"/>
    <w:rsid w:val="00AF7C07"/>
    <w:rsid w:val="00B03E98"/>
    <w:rsid w:val="00B041F7"/>
    <w:rsid w:val="00B06C64"/>
    <w:rsid w:val="00B11CAC"/>
    <w:rsid w:val="00B15A29"/>
    <w:rsid w:val="00B17A26"/>
    <w:rsid w:val="00B22C93"/>
    <w:rsid w:val="00B27589"/>
    <w:rsid w:val="00B36C94"/>
    <w:rsid w:val="00B405B7"/>
    <w:rsid w:val="00B45A38"/>
    <w:rsid w:val="00B52222"/>
    <w:rsid w:val="00B52581"/>
    <w:rsid w:val="00B531DA"/>
    <w:rsid w:val="00B53E6C"/>
    <w:rsid w:val="00B54895"/>
    <w:rsid w:val="00B54FE7"/>
    <w:rsid w:val="00B62CB6"/>
    <w:rsid w:val="00B647C6"/>
    <w:rsid w:val="00B655F9"/>
    <w:rsid w:val="00B66901"/>
    <w:rsid w:val="00B70F47"/>
    <w:rsid w:val="00B71151"/>
    <w:rsid w:val="00B71E6D"/>
    <w:rsid w:val="00B72070"/>
    <w:rsid w:val="00B779E1"/>
    <w:rsid w:val="00B77FB3"/>
    <w:rsid w:val="00B81E3A"/>
    <w:rsid w:val="00B8332B"/>
    <w:rsid w:val="00B85CFB"/>
    <w:rsid w:val="00B91EE1"/>
    <w:rsid w:val="00B94602"/>
    <w:rsid w:val="00BA0090"/>
    <w:rsid w:val="00BA1A67"/>
    <w:rsid w:val="00BA6A80"/>
    <w:rsid w:val="00BA6D5D"/>
    <w:rsid w:val="00BB3A5D"/>
    <w:rsid w:val="00BB4ABB"/>
    <w:rsid w:val="00BC041F"/>
    <w:rsid w:val="00BC41A1"/>
    <w:rsid w:val="00BC5810"/>
    <w:rsid w:val="00BD16BA"/>
    <w:rsid w:val="00BD506D"/>
    <w:rsid w:val="00BE5B5F"/>
    <w:rsid w:val="00BE7993"/>
    <w:rsid w:val="00BF5992"/>
    <w:rsid w:val="00C027FF"/>
    <w:rsid w:val="00C107C4"/>
    <w:rsid w:val="00C116AA"/>
    <w:rsid w:val="00C12FD1"/>
    <w:rsid w:val="00C168A7"/>
    <w:rsid w:val="00C172E3"/>
    <w:rsid w:val="00C20A2D"/>
    <w:rsid w:val="00C26F55"/>
    <w:rsid w:val="00C27DCA"/>
    <w:rsid w:val="00C30C63"/>
    <w:rsid w:val="00C30D1F"/>
    <w:rsid w:val="00C30FF3"/>
    <w:rsid w:val="00C36B8B"/>
    <w:rsid w:val="00C415C1"/>
    <w:rsid w:val="00C47DBF"/>
    <w:rsid w:val="00C543FE"/>
    <w:rsid w:val="00C552FF"/>
    <w:rsid w:val="00C558DA"/>
    <w:rsid w:val="00C55AF3"/>
    <w:rsid w:val="00C57E56"/>
    <w:rsid w:val="00C6062B"/>
    <w:rsid w:val="00C724EE"/>
    <w:rsid w:val="00C75781"/>
    <w:rsid w:val="00C771A9"/>
    <w:rsid w:val="00C84759"/>
    <w:rsid w:val="00C854BD"/>
    <w:rsid w:val="00C870D8"/>
    <w:rsid w:val="00C87AAA"/>
    <w:rsid w:val="00C87EEF"/>
    <w:rsid w:val="00CA1185"/>
    <w:rsid w:val="00CA2EA3"/>
    <w:rsid w:val="00CA5CA9"/>
    <w:rsid w:val="00CA6C7F"/>
    <w:rsid w:val="00CB6B35"/>
    <w:rsid w:val="00CC0FC7"/>
    <w:rsid w:val="00CC10A6"/>
    <w:rsid w:val="00CC7F80"/>
    <w:rsid w:val="00CD2011"/>
    <w:rsid w:val="00CD46C5"/>
    <w:rsid w:val="00CD5EB8"/>
    <w:rsid w:val="00CD7044"/>
    <w:rsid w:val="00CE08B9"/>
    <w:rsid w:val="00CE1853"/>
    <w:rsid w:val="00CE524C"/>
    <w:rsid w:val="00CF141F"/>
    <w:rsid w:val="00CF4777"/>
    <w:rsid w:val="00CF65C8"/>
    <w:rsid w:val="00D013F5"/>
    <w:rsid w:val="00D05E3F"/>
    <w:rsid w:val="00D067BB"/>
    <w:rsid w:val="00D1226D"/>
    <w:rsid w:val="00D1352A"/>
    <w:rsid w:val="00D15EC4"/>
    <w:rsid w:val="00D169AF"/>
    <w:rsid w:val="00D25249"/>
    <w:rsid w:val="00D302A4"/>
    <w:rsid w:val="00D37EBA"/>
    <w:rsid w:val="00D411B5"/>
    <w:rsid w:val="00D44172"/>
    <w:rsid w:val="00D47BE3"/>
    <w:rsid w:val="00D54235"/>
    <w:rsid w:val="00D63B8C"/>
    <w:rsid w:val="00D651E4"/>
    <w:rsid w:val="00D739CC"/>
    <w:rsid w:val="00D8093D"/>
    <w:rsid w:val="00D8108C"/>
    <w:rsid w:val="00D842AE"/>
    <w:rsid w:val="00D9211C"/>
    <w:rsid w:val="00D92DE0"/>
    <w:rsid w:val="00D92FEF"/>
    <w:rsid w:val="00D93A0F"/>
    <w:rsid w:val="00D9579D"/>
    <w:rsid w:val="00D95A11"/>
    <w:rsid w:val="00DA1BCA"/>
    <w:rsid w:val="00DA4A45"/>
    <w:rsid w:val="00DA7A79"/>
    <w:rsid w:val="00DB34E0"/>
    <w:rsid w:val="00DB40E1"/>
    <w:rsid w:val="00DB5925"/>
    <w:rsid w:val="00DC46FF"/>
    <w:rsid w:val="00DC5254"/>
    <w:rsid w:val="00DC569D"/>
    <w:rsid w:val="00DC5AB5"/>
    <w:rsid w:val="00DD0B5A"/>
    <w:rsid w:val="00DD1A4F"/>
    <w:rsid w:val="00DD3107"/>
    <w:rsid w:val="00DD7C2C"/>
    <w:rsid w:val="00DE5BDA"/>
    <w:rsid w:val="00DF433C"/>
    <w:rsid w:val="00DF7FC2"/>
    <w:rsid w:val="00E0035A"/>
    <w:rsid w:val="00E02303"/>
    <w:rsid w:val="00E05E61"/>
    <w:rsid w:val="00E06797"/>
    <w:rsid w:val="00E1137A"/>
    <w:rsid w:val="00E1265B"/>
    <w:rsid w:val="00E13B48"/>
    <w:rsid w:val="00E1404F"/>
    <w:rsid w:val="00E16E50"/>
    <w:rsid w:val="00E2042D"/>
    <w:rsid w:val="00E21C83"/>
    <w:rsid w:val="00E24ADA"/>
    <w:rsid w:val="00E32F59"/>
    <w:rsid w:val="00E405EF"/>
    <w:rsid w:val="00E41908"/>
    <w:rsid w:val="00E46D9A"/>
    <w:rsid w:val="00E53A84"/>
    <w:rsid w:val="00E54AC0"/>
    <w:rsid w:val="00E565FF"/>
    <w:rsid w:val="00E65388"/>
    <w:rsid w:val="00E76752"/>
    <w:rsid w:val="00E7741D"/>
    <w:rsid w:val="00E808CD"/>
    <w:rsid w:val="00E81803"/>
    <w:rsid w:val="00E82928"/>
    <w:rsid w:val="00E8348F"/>
    <w:rsid w:val="00E85B7D"/>
    <w:rsid w:val="00E9121B"/>
    <w:rsid w:val="00E9302E"/>
    <w:rsid w:val="00E94F86"/>
    <w:rsid w:val="00E9582E"/>
    <w:rsid w:val="00E96942"/>
    <w:rsid w:val="00E976AB"/>
    <w:rsid w:val="00EA0AE2"/>
    <w:rsid w:val="00EA1159"/>
    <w:rsid w:val="00EA39E5"/>
    <w:rsid w:val="00EA57A3"/>
    <w:rsid w:val="00EC13C2"/>
    <w:rsid w:val="00EC2813"/>
    <w:rsid w:val="00EC4197"/>
    <w:rsid w:val="00EC4AE4"/>
    <w:rsid w:val="00EC5A46"/>
    <w:rsid w:val="00EC63E2"/>
    <w:rsid w:val="00EC7AAA"/>
    <w:rsid w:val="00ED366A"/>
    <w:rsid w:val="00ED6BB7"/>
    <w:rsid w:val="00ED76F4"/>
    <w:rsid w:val="00EE1723"/>
    <w:rsid w:val="00EE6754"/>
    <w:rsid w:val="00EE6E5C"/>
    <w:rsid w:val="00EF22B3"/>
    <w:rsid w:val="00EF3BE7"/>
    <w:rsid w:val="00EF5D53"/>
    <w:rsid w:val="00F03B69"/>
    <w:rsid w:val="00F07A50"/>
    <w:rsid w:val="00F100D2"/>
    <w:rsid w:val="00F113DA"/>
    <w:rsid w:val="00F114B5"/>
    <w:rsid w:val="00F12DA4"/>
    <w:rsid w:val="00F1495C"/>
    <w:rsid w:val="00F24055"/>
    <w:rsid w:val="00F266FC"/>
    <w:rsid w:val="00F3037A"/>
    <w:rsid w:val="00F3465A"/>
    <w:rsid w:val="00F37DC8"/>
    <w:rsid w:val="00F439B3"/>
    <w:rsid w:val="00F5671C"/>
    <w:rsid w:val="00F650C3"/>
    <w:rsid w:val="00F65D85"/>
    <w:rsid w:val="00F6700B"/>
    <w:rsid w:val="00F747D1"/>
    <w:rsid w:val="00F8091E"/>
    <w:rsid w:val="00F83855"/>
    <w:rsid w:val="00F83C2A"/>
    <w:rsid w:val="00F8615C"/>
    <w:rsid w:val="00F8673E"/>
    <w:rsid w:val="00F9530B"/>
    <w:rsid w:val="00F969E5"/>
    <w:rsid w:val="00F96F5C"/>
    <w:rsid w:val="00FA1D9B"/>
    <w:rsid w:val="00FA23C0"/>
    <w:rsid w:val="00FA4972"/>
    <w:rsid w:val="00FA5C24"/>
    <w:rsid w:val="00FA6617"/>
    <w:rsid w:val="00FA6BB0"/>
    <w:rsid w:val="00FB0D87"/>
    <w:rsid w:val="00FB2C8D"/>
    <w:rsid w:val="00FB2DBD"/>
    <w:rsid w:val="00FB53D9"/>
    <w:rsid w:val="00FC6DA0"/>
    <w:rsid w:val="00FD48DF"/>
    <w:rsid w:val="00FD5860"/>
    <w:rsid w:val="00FE352D"/>
    <w:rsid w:val="00FE40EB"/>
    <w:rsid w:val="00FE4D02"/>
    <w:rsid w:val="00FE7D62"/>
    <w:rsid w:val="00FF08D3"/>
    <w:rsid w:val="00FF3559"/>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6"/>
    <o:shapelayout v:ext="edit">
      <o:idmap v:ext="edit" data="1"/>
    </o:shapelayout>
  </w:shapeDefaults>
  <w:decimalSymbol w:val="."/>
  <w:listSeparator w:val=","/>
  <w14:docId w14:val="3F23F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9718A3"/>
    <w:pPr>
      <w:tabs>
        <w:tab w:val="clear" w:pos="4082"/>
      </w:tabs>
      <w:spacing w:before="60" w:after="6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255632"/>
    <w:rPr>
      <w:lang w:eastAsia="en-US"/>
    </w:rPr>
  </w:style>
  <w:style w:type="paragraph" w:customStyle="1" w:styleId="Default">
    <w:name w:val="Default"/>
    <w:rsid w:val="0025267F"/>
    <w:pPr>
      <w:autoSpaceDE w:val="0"/>
      <w:autoSpaceDN w:val="0"/>
      <w:adjustRightInd w:val="0"/>
    </w:pPr>
    <w:rPr>
      <w:color w:val="000000"/>
      <w:sz w:val="24"/>
      <w:szCs w:val="24"/>
    </w:rPr>
  </w:style>
  <w:style w:type="character" w:customStyle="1" w:styleId="Normal-poolChar">
    <w:name w:val="Normal-pool Char"/>
    <w:link w:val="Normal-pool"/>
    <w:uiPriority w:val="99"/>
    <w:rsid w:val="0025267F"/>
    <w:rPr>
      <w:lang w:eastAsia="en-US"/>
    </w:rPr>
  </w:style>
  <w:style w:type="paragraph" w:styleId="NormalWeb">
    <w:name w:val="Normal (Web)"/>
    <w:basedOn w:val="Normal"/>
    <w:uiPriority w:val="99"/>
    <w:unhideWhenUsed/>
    <w:rsid w:val="0025267F"/>
    <w:pPr>
      <w:tabs>
        <w:tab w:val="clear" w:pos="1247"/>
        <w:tab w:val="clear" w:pos="1814"/>
        <w:tab w:val="clear" w:pos="2381"/>
        <w:tab w:val="clear" w:pos="2948"/>
        <w:tab w:val="clear" w:pos="3515"/>
      </w:tabs>
      <w:spacing w:after="240" w:line="225" w:lineRule="atLeast"/>
    </w:pPr>
    <w:rPr>
      <w:sz w:val="24"/>
      <w:szCs w:val="24"/>
      <w:lang w:val="en-US"/>
    </w:rPr>
  </w:style>
  <w:style w:type="character" w:styleId="Strong">
    <w:name w:val="Strong"/>
    <w:uiPriority w:val="22"/>
    <w:qFormat/>
    <w:rsid w:val="000760B6"/>
    <w:rPr>
      <w:b/>
      <w:bCs/>
    </w:rPr>
  </w:style>
  <w:style w:type="character" w:customStyle="1" w:styleId="Inget">
    <w:name w:val="Inget"/>
    <w:rsid w:val="00554D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9718A3"/>
    <w:pPr>
      <w:tabs>
        <w:tab w:val="clear" w:pos="4082"/>
      </w:tabs>
      <w:spacing w:before="60" w:after="6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255632"/>
    <w:rPr>
      <w:lang w:eastAsia="en-US"/>
    </w:rPr>
  </w:style>
  <w:style w:type="paragraph" w:customStyle="1" w:styleId="Default">
    <w:name w:val="Default"/>
    <w:rsid w:val="0025267F"/>
    <w:pPr>
      <w:autoSpaceDE w:val="0"/>
      <w:autoSpaceDN w:val="0"/>
      <w:adjustRightInd w:val="0"/>
    </w:pPr>
    <w:rPr>
      <w:color w:val="000000"/>
      <w:sz w:val="24"/>
      <w:szCs w:val="24"/>
    </w:rPr>
  </w:style>
  <w:style w:type="character" w:customStyle="1" w:styleId="Normal-poolChar">
    <w:name w:val="Normal-pool Char"/>
    <w:link w:val="Normal-pool"/>
    <w:uiPriority w:val="99"/>
    <w:rsid w:val="0025267F"/>
    <w:rPr>
      <w:lang w:eastAsia="en-US"/>
    </w:rPr>
  </w:style>
  <w:style w:type="paragraph" w:styleId="NormalWeb">
    <w:name w:val="Normal (Web)"/>
    <w:basedOn w:val="Normal"/>
    <w:uiPriority w:val="99"/>
    <w:unhideWhenUsed/>
    <w:rsid w:val="0025267F"/>
    <w:pPr>
      <w:tabs>
        <w:tab w:val="clear" w:pos="1247"/>
        <w:tab w:val="clear" w:pos="1814"/>
        <w:tab w:val="clear" w:pos="2381"/>
        <w:tab w:val="clear" w:pos="2948"/>
        <w:tab w:val="clear" w:pos="3515"/>
      </w:tabs>
      <w:spacing w:after="240" w:line="225" w:lineRule="atLeast"/>
    </w:pPr>
    <w:rPr>
      <w:sz w:val="24"/>
      <w:szCs w:val="24"/>
      <w:lang w:val="en-US"/>
    </w:rPr>
  </w:style>
  <w:style w:type="character" w:styleId="Strong">
    <w:name w:val="Strong"/>
    <w:uiPriority w:val="22"/>
    <w:qFormat/>
    <w:rsid w:val="000760B6"/>
    <w:rPr>
      <w:b/>
      <w:bCs/>
    </w:rPr>
  </w:style>
  <w:style w:type="character" w:customStyle="1" w:styleId="Inget">
    <w:name w:val="Inget"/>
    <w:rsid w:val="00554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16092">
      <w:bodyDiv w:val="1"/>
      <w:marLeft w:val="0"/>
      <w:marRight w:val="0"/>
      <w:marTop w:val="0"/>
      <w:marBottom w:val="0"/>
      <w:divBdr>
        <w:top w:val="none" w:sz="0" w:space="0" w:color="auto"/>
        <w:left w:val="none" w:sz="0" w:space="0" w:color="auto"/>
        <w:bottom w:val="none" w:sz="0" w:space="0" w:color="auto"/>
        <w:right w:val="none" w:sz="0" w:space="0" w:color="auto"/>
      </w:divBdr>
      <w:divsChild>
        <w:div w:id="614099125">
          <w:marLeft w:val="0"/>
          <w:marRight w:val="0"/>
          <w:marTop w:val="225"/>
          <w:marBottom w:val="0"/>
          <w:divBdr>
            <w:top w:val="none" w:sz="0" w:space="0" w:color="auto"/>
            <w:left w:val="none" w:sz="0" w:space="0" w:color="auto"/>
            <w:bottom w:val="none" w:sz="0" w:space="0" w:color="auto"/>
            <w:right w:val="none" w:sz="0" w:space="0" w:color="auto"/>
          </w:divBdr>
          <w:divsChild>
            <w:div w:id="1774667909">
              <w:marLeft w:val="0"/>
              <w:marRight w:val="0"/>
              <w:marTop w:val="285"/>
              <w:marBottom w:val="0"/>
              <w:divBdr>
                <w:top w:val="none" w:sz="0" w:space="0" w:color="auto"/>
                <w:left w:val="none" w:sz="0" w:space="0" w:color="auto"/>
                <w:bottom w:val="none" w:sz="0" w:space="0" w:color="auto"/>
                <w:right w:val="none" w:sz="0" w:space="0" w:color="auto"/>
              </w:divBdr>
              <w:divsChild>
                <w:div w:id="1569414997">
                  <w:marLeft w:val="0"/>
                  <w:marRight w:val="0"/>
                  <w:marTop w:val="0"/>
                  <w:marBottom w:val="0"/>
                  <w:divBdr>
                    <w:top w:val="none" w:sz="0" w:space="0" w:color="auto"/>
                    <w:left w:val="none" w:sz="0" w:space="0" w:color="auto"/>
                    <w:bottom w:val="none" w:sz="0" w:space="0" w:color="auto"/>
                    <w:right w:val="none" w:sz="0" w:space="0" w:color="auto"/>
                  </w:divBdr>
                  <w:divsChild>
                    <w:div w:id="1053311423">
                      <w:marLeft w:val="0"/>
                      <w:marRight w:val="0"/>
                      <w:marTop w:val="0"/>
                      <w:marBottom w:val="0"/>
                      <w:divBdr>
                        <w:top w:val="none" w:sz="0" w:space="0" w:color="auto"/>
                        <w:left w:val="none" w:sz="0" w:space="0" w:color="auto"/>
                        <w:bottom w:val="none" w:sz="0" w:space="0" w:color="auto"/>
                        <w:right w:val="none" w:sz="0" w:space="0" w:color="auto"/>
                      </w:divBdr>
                      <w:divsChild>
                        <w:div w:id="246236280">
                          <w:marLeft w:val="0"/>
                          <w:marRight w:val="0"/>
                          <w:marTop w:val="0"/>
                          <w:marBottom w:val="0"/>
                          <w:divBdr>
                            <w:top w:val="none" w:sz="0" w:space="0" w:color="auto"/>
                            <w:left w:val="none" w:sz="0" w:space="0" w:color="auto"/>
                            <w:bottom w:val="none" w:sz="0" w:space="0" w:color="auto"/>
                            <w:right w:val="none" w:sz="0" w:space="0" w:color="auto"/>
                          </w:divBdr>
                          <w:divsChild>
                            <w:div w:id="1604148544">
                              <w:marLeft w:val="0"/>
                              <w:marRight w:val="0"/>
                              <w:marTop w:val="0"/>
                              <w:marBottom w:val="0"/>
                              <w:divBdr>
                                <w:top w:val="none" w:sz="0" w:space="0" w:color="auto"/>
                                <w:left w:val="none" w:sz="0" w:space="0" w:color="auto"/>
                                <w:bottom w:val="none" w:sz="0" w:space="0" w:color="auto"/>
                                <w:right w:val="none" w:sz="0" w:space="0" w:color="auto"/>
                              </w:divBdr>
                              <w:divsChild>
                                <w:div w:id="632566046">
                                  <w:marLeft w:val="0"/>
                                  <w:marRight w:val="0"/>
                                  <w:marTop w:val="0"/>
                                  <w:marBottom w:val="0"/>
                                  <w:divBdr>
                                    <w:top w:val="none" w:sz="0" w:space="0" w:color="auto"/>
                                    <w:left w:val="none" w:sz="0" w:space="0" w:color="auto"/>
                                    <w:bottom w:val="none" w:sz="0" w:space="0" w:color="auto"/>
                                    <w:right w:val="none" w:sz="0" w:space="0" w:color="auto"/>
                                  </w:divBdr>
                                  <w:divsChild>
                                    <w:div w:id="115764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49657252">
      <w:bodyDiv w:val="1"/>
      <w:marLeft w:val="0"/>
      <w:marRight w:val="0"/>
      <w:marTop w:val="0"/>
      <w:marBottom w:val="0"/>
      <w:divBdr>
        <w:top w:val="none" w:sz="0" w:space="0" w:color="auto"/>
        <w:left w:val="none" w:sz="0" w:space="0" w:color="auto"/>
        <w:bottom w:val="none" w:sz="0" w:space="0" w:color="auto"/>
        <w:right w:val="none" w:sz="0" w:space="0" w:color="auto"/>
      </w:divBdr>
    </w:div>
    <w:div w:id="1126005969">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 w:id="1637444503">
      <w:bodyDiv w:val="1"/>
      <w:marLeft w:val="0"/>
      <w:marRight w:val="0"/>
      <w:marTop w:val="0"/>
      <w:marBottom w:val="0"/>
      <w:divBdr>
        <w:top w:val="none" w:sz="0" w:space="0" w:color="auto"/>
        <w:left w:val="none" w:sz="0" w:space="0" w:color="auto"/>
        <w:bottom w:val="none" w:sz="0" w:space="0" w:color="auto"/>
        <w:right w:val="none" w:sz="0" w:space="0" w:color="auto"/>
      </w:divBdr>
    </w:div>
    <w:div w:id="1690982450">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
    <w:div w:id="198615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rcuryconvention.org/AwarenessRaising/Workshops/tabid/3800/Default.asp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mercuryconvention.org/Negotiations/INCBureau/tabid/3827/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85BCE-BA46-4392-B807-F32C8ABE5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2990</Words>
  <Characters>17205</Characters>
  <Application>Microsoft Office Word</Application>
  <DocSecurity>0</DocSecurity>
  <Lines>143</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20155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Veronica Gathu</cp:lastModifiedBy>
  <cp:revision>11</cp:revision>
  <cp:lastPrinted>2017-04-03T09:04:00Z</cp:lastPrinted>
  <dcterms:created xsi:type="dcterms:W3CDTF">2017-08-01T11:30:00Z</dcterms:created>
  <dcterms:modified xsi:type="dcterms:W3CDTF">2017-08-07T06:34:00Z</dcterms:modified>
</cp:coreProperties>
</file>