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D25175" w14:paraId="4B9F0F9B" w14:textId="77777777" w:rsidTr="00CB007D">
        <w:trPr>
          <w:cantSplit/>
          <w:trHeight w:val="850"/>
          <w:jc w:val="right"/>
        </w:trPr>
        <w:tc>
          <w:tcPr>
            <w:tcW w:w="1550" w:type="dxa"/>
          </w:tcPr>
          <w:p w14:paraId="2A9B9F9D" w14:textId="77777777" w:rsidR="00032E4E" w:rsidRPr="00D25175" w:rsidRDefault="00032E4E" w:rsidP="00023DA9">
            <w:pPr>
              <w:rPr>
                <w:rFonts w:ascii="Univers" w:hAnsi="Univers"/>
                <w:b/>
                <w:noProof/>
                <w:sz w:val="27"/>
                <w:szCs w:val="27"/>
              </w:rPr>
            </w:pPr>
            <w:r w:rsidRPr="00D25175">
              <w:rPr>
                <w:rFonts w:ascii="Arial" w:hAnsi="Arial" w:cs="Arial"/>
                <w:b/>
                <w:noProof/>
                <w:sz w:val="27"/>
                <w:szCs w:val="27"/>
              </w:rPr>
              <w:t>UNITED</w:t>
            </w:r>
            <w:r w:rsidRPr="00D25175">
              <w:rPr>
                <w:rFonts w:ascii="Arial" w:hAnsi="Arial" w:cs="Arial"/>
                <w:b/>
                <w:noProof/>
                <w:sz w:val="27"/>
                <w:szCs w:val="27"/>
              </w:rPr>
              <w:br/>
              <w:t>NATIONS</w:t>
            </w:r>
          </w:p>
        </w:tc>
        <w:tc>
          <w:tcPr>
            <w:tcW w:w="4751" w:type="dxa"/>
          </w:tcPr>
          <w:p w14:paraId="2F47229A" w14:textId="4DFEF57C" w:rsidR="00032E4E" w:rsidRPr="00D25175" w:rsidRDefault="00032E4E" w:rsidP="00A807D4">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284F17F3" w:rsidR="00032E4E" w:rsidRPr="00D25175" w:rsidRDefault="00032E4E" w:rsidP="00787688">
            <w:pPr>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COP.1</w:t>
            </w:r>
            <w:r w:rsidRPr="00D25175">
              <w:t>/</w:t>
            </w:r>
            <w:r w:rsidR="00D013F5" w:rsidRPr="00D25175">
              <w:t>1</w:t>
            </w:r>
            <w:r w:rsidR="008A26DF">
              <w:t>9</w:t>
            </w:r>
          </w:p>
        </w:tc>
      </w:tr>
      <w:bookmarkStart w:id="2" w:name="_MON_1021710510"/>
      <w:bookmarkStart w:id="3" w:name="_MON_1021710482"/>
      <w:bookmarkEnd w:id="2"/>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1.3pt" o:ole="" fillcolor="window">
                  <v:imagedata r:id="rId9" o:title=""/>
                </v:shape>
                <o:OLEObject Type="Embed" ProgID="Word.Picture.8" ShapeID="_x0000_i1025" DrawAspect="Content" ObjectID="_1560172431" r:id="rId10"/>
              </w:object>
            </w:r>
            <w:r w:rsidR="00011A16" w:rsidRPr="00D25175">
              <w:rPr>
                <w:noProof/>
                <w:lang w:val="en-US"/>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77777777"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Pr="00D25175">
              <w:rPr>
                <w:rFonts w:ascii="Arial" w:hAnsi="Arial" w:cs="Arial"/>
                <w:b/>
                <w:sz w:val="32"/>
                <w:szCs w:val="32"/>
              </w:rPr>
              <w:br w:type="textWrapping" w:clear="all"/>
              <w:t>Environment</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7C09B743" w:rsidR="00032E4E" w:rsidRPr="00D25175" w:rsidRDefault="00032E4E" w:rsidP="00787688">
            <w:pPr>
              <w:spacing w:before="120"/>
            </w:pPr>
            <w:r w:rsidRPr="00D25175">
              <w:t>Distr.: General</w:t>
            </w:r>
            <w:r w:rsidRPr="00D25175">
              <w:br w:type="textWrapping" w:clear="all"/>
            </w:r>
            <w:r w:rsidR="008A26DF">
              <w:t>15 May</w:t>
            </w:r>
            <w:r w:rsidR="00957EF8" w:rsidRPr="00D25175">
              <w:t xml:space="preserve"> </w:t>
            </w:r>
            <w:r w:rsidR="0042266F" w:rsidRPr="00D25175">
              <w:t>2017</w:t>
            </w:r>
          </w:p>
          <w:p w14:paraId="1A75CF9D" w14:textId="77777777" w:rsidR="00032E4E" w:rsidRPr="00D25175" w:rsidRDefault="00032E4E" w:rsidP="00023DA9">
            <w:pPr>
              <w:spacing w:before="240"/>
            </w:pPr>
            <w:r w:rsidRPr="00D25175">
              <w:t>Original: English</w:t>
            </w:r>
          </w:p>
        </w:tc>
      </w:tr>
    </w:tbl>
    <w:p w14:paraId="26A6CAA0" w14:textId="2E6A340C" w:rsidR="00E976AB" w:rsidRPr="008A26DF" w:rsidRDefault="00CB007D" w:rsidP="00E976AB">
      <w:pPr>
        <w:pStyle w:val="AATitle"/>
        <w:keepNext w:val="0"/>
        <w:keepLines w:val="0"/>
      </w:pPr>
      <w:r w:rsidRPr="008A26DF">
        <w:t>Conference of the Parties to the</w:t>
      </w:r>
      <w:r w:rsidR="008A26DF" w:rsidRPr="008A26DF">
        <w:br/>
      </w:r>
      <w:r w:rsidR="00787688" w:rsidRPr="008A26DF">
        <w:t>Minamata Convention on Mercury</w:t>
      </w:r>
      <w:r w:rsidR="008A26DF" w:rsidRPr="008A26DF">
        <w:br/>
      </w:r>
      <w:r w:rsidR="00787688" w:rsidRPr="008A26DF">
        <w:t>First meeting</w:t>
      </w:r>
    </w:p>
    <w:p w14:paraId="67B82F12" w14:textId="36780F78" w:rsidR="00787688" w:rsidRPr="008A26DF" w:rsidRDefault="00787688" w:rsidP="00787688">
      <w:pPr>
        <w:pStyle w:val="AATitle"/>
      </w:pPr>
      <w:r w:rsidRPr="008A26DF">
        <w:rPr>
          <w:b w:val="0"/>
        </w:rPr>
        <w:t>Geneva</w:t>
      </w:r>
      <w:r w:rsidR="00E976AB" w:rsidRPr="008A26DF">
        <w:rPr>
          <w:b w:val="0"/>
        </w:rPr>
        <w:t xml:space="preserve">, </w:t>
      </w:r>
      <w:r w:rsidR="00325D38" w:rsidRPr="008A26DF">
        <w:rPr>
          <w:b w:val="0"/>
        </w:rPr>
        <w:t xml:space="preserve">24–29 September </w:t>
      </w:r>
      <w:r w:rsidRPr="008A26DF">
        <w:rPr>
          <w:b w:val="0"/>
        </w:rPr>
        <w:t>2017</w:t>
      </w:r>
    </w:p>
    <w:p w14:paraId="481CF77D" w14:textId="7EB74531" w:rsidR="008A26DF" w:rsidRPr="008A26DF" w:rsidRDefault="008A26DF" w:rsidP="008A26DF">
      <w:pPr>
        <w:pStyle w:val="AATitle"/>
        <w:keepNext w:val="0"/>
        <w:keepLines w:val="0"/>
        <w:rPr>
          <w:b w:val="0"/>
          <w:lang w:val="en-US"/>
        </w:rPr>
      </w:pPr>
      <w:r w:rsidRPr="008A26DF">
        <w:rPr>
          <w:b w:val="0"/>
        </w:rPr>
        <w:t>Item</w:t>
      </w:r>
      <w:r w:rsidRPr="008A26DF">
        <w:rPr>
          <w:b w:val="0"/>
          <w:lang w:val="en-US"/>
        </w:rPr>
        <w:t xml:space="preserve"> 5</w:t>
      </w:r>
      <w:r w:rsidR="001E7DFC">
        <w:rPr>
          <w:b w:val="0"/>
          <w:lang w:val="en-US"/>
        </w:rPr>
        <w:t xml:space="preserve"> </w:t>
      </w:r>
      <w:r w:rsidRPr="008A26DF">
        <w:rPr>
          <w:b w:val="0"/>
          <w:lang w:val="en-US"/>
        </w:rPr>
        <w:t>(c)</w:t>
      </w:r>
      <w:r w:rsidR="001E7DFC">
        <w:rPr>
          <w:b w:val="0"/>
          <w:lang w:val="en-US"/>
        </w:rPr>
        <w:t xml:space="preserve"> </w:t>
      </w:r>
      <w:r w:rsidRPr="008A26DF">
        <w:rPr>
          <w:b w:val="0"/>
          <w:lang w:val="en-US"/>
        </w:rPr>
        <w:t>(</w:t>
      </w:r>
      <w:proofErr w:type="gramStart"/>
      <w:r w:rsidRPr="008A26DF">
        <w:rPr>
          <w:b w:val="0"/>
          <w:lang w:val="en-US"/>
        </w:rPr>
        <w:t>iv</w:t>
      </w:r>
      <w:proofErr w:type="gramEnd"/>
      <w:r w:rsidRPr="008A26DF">
        <w:rPr>
          <w:b w:val="0"/>
          <w:lang w:val="en-US"/>
        </w:rPr>
        <w:t>) of the provisional agenda</w:t>
      </w:r>
      <w:r w:rsidRPr="008A26DF">
        <w:rPr>
          <w:b w:val="0"/>
          <w:lang w:val="en-US"/>
        </w:rPr>
        <w:footnoteReference w:customMarkFollows="1" w:id="1"/>
        <w:t>*</w:t>
      </w:r>
    </w:p>
    <w:p w14:paraId="1A4F5965" w14:textId="700750C7" w:rsidR="008A26DF" w:rsidRPr="008A26DF" w:rsidRDefault="008A26DF" w:rsidP="008A26DF">
      <w:pPr>
        <w:pStyle w:val="AATitle2"/>
        <w:spacing w:before="60"/>
      </w:pPr>
      <w:r w:rsidRPr="008A26DF">
        <w:t xml:space="preserve">Matters for action by the Conference of the Parties at its first meeting: </w:t>
      </w:r>
      <w:r w:rsidR="00BA4933">
        <w:t>m</w:t>
      </w:r>
      <w:r w:rsidR="00BA4933" w:rsidRPr="008A26DF">
        <w:t xml:space="preserve">atters </w:t>
      </w:r>
      <w:r w:rsidRPr="008A26DF">
        <w:t xml:space="preserve">recommended by the intergovernmental negotiating committee: </w:t>
      </w:r>
      <w:r w:rsidR="00BA4933">
        <w:t>c</w:t>
      </w:r>
      <w:r w:rsidR="00BA4933" w:rsidRPr="008A26DF">
        <w:t xml:space="preserve">onsideration </w:t>
      </w:r>
      <w:r w:rsidRPr="008A26DF">
        <w:t>of the report on open burning</w:t>
      </w:r>
    </w:p>
    <w:p w14:paraId="71252924" w14:textId="77777777" w:rsidR="008A26DF" w:rsidRPr="00043A14" w:rsidRDefault="008A26DF" w:rsidP="00043A14">
      <w:pPr>
        <w:pStyle w:val="BBTitle"/>
      </w:pPr>
      <w:r w:rsidRPr="006369C5">
        <w:t xml:space="preserve">Consideration of </w:t>
      </w:r>
      <w:r w:rsidRPr="003C117C">
        <w:t>the r</w:t>
      </w:r>
      <w:r w:rsidRPr="00083A46">
        <w:t>eport on mercury emissions related to the open burning of waste</w:t>
      </w:r>
    </w:p>
    <w:p w14:paraId="39A845C9" w14:textId="3C8500A2" w:rsidR="008A26DF" w:rsidRPr="00EA47D1" w:rsidRDefault="008A26DF" w:rsidP="008A26DF">
      <w:pPr>
        <w:pStyle w:val="CH2"/>
      </w:pPr>
      <w:r>
        <w:tab/>
      </w:r>
      <w:r>
        <w:tab/>
      </w:r>
      <w:r w:rsidRPr="00EA47D1">
        <w:t xml:space="preserve">Note by the </w:t>
      </w:r>
      <w:r>
        <w:t>s</w:t>
      </w:r>
      <w:r w:rsidRPr="00EA47D1">
        <w:t>ecretariat</w:t>
      </w:r>
    </w:p>
    <w:p w14:paraId="078A05AB" w14:textId="22927A92" w:rsidR="008A26DF" w:rsidRPr="00235A32" w:rsidRDefault="008A26DF" w:rsidP="00043A14">
      <w:pPr>
        <w:pStyle w:val="Normalnumber"/>
        <w:numPr>
          <w:ilvl w:val="0"/>
          <w:numId w:val="23"/>
        </w:numPr>
        <w:tabs>
          <w:tab w:val="clear" w:pos="1247"/>
          <w:tab w:val="clear" w:pos="1814"/>
          <w:tab w:val="clear" w:pos="2381"/>
          <w:tab w:val="clear" w:pos="2948"/>
          <w:tab w:val="clear" w:pos="3515"/>
          <w:tab w:val="clear" w:pos="4082"/>
          <w:tab w:val="left" w:pos="624"/>
        </w:tabs>
        <w:ind w:left="1247"/>
      </w:pPr>
      <w:r>
        <w:t xml:space="preserve">At its fifth session, the intergovernmental negotiating committee to prepare a global legally binding instrument </w:t>
      </w:r>
      <w:r w:rsidR="00A97FFE">
        <w:t xml:space="preserve">on mercury </w:t>
      </w:r>
      <w:r>
        <w:t xml:space="preserve">noted that open burning of waste was a potential source of emissions in some countries. The inclusion of open burning in the list of emission sources covered under the Minamata Convention on Mercury was not supported by some countries </w:t>
      </w:r>
      <w:r w:rsidR="006A5C27">
        <w:t xml:space="preserve">owing </w:t>
      </w:r>
      <w:r>
        <w:t xml:space="preserve">to the lack of sufficient scientific information. The secretariat was requested </w:t>
      </w:r>
      <w:r w:rsidRPr="00EC562D">
        <w:rPr>
          <w:bCs/>
        </w:rPr>
        <w:t xml:space="preserve">to gather sufficient information to support </w:t>
      </w:r>
      <w:r w:rsidR="009B0D84" w:rsidRPr="00EC562D">
        <w:rPr>
          <w:bCs/>
        </w:rPr>
        <w:t>decision</w:t>
      </w:r>
      <w:r w:rsidR="009B0D84">
        <w:rPr>
          <w:bCs/>
        </w:rPr>
        <w:t>-</w:t>
      </w:r>
      <w:r w:rsidRPr="00EC562D">
        <w:rPr>
          <w:bCs/>
        </w:rPr>
        <w:t xml:space="preserve">making on the issue and to report on its efforts in that regard to the Conference of </w:t>
      </w:r>
      <w:r w:rsidRPr="00235A32">
        <w:t>the Parties</w:t>
      </w:r>
      <w:r w:rsidR="00667C5D" w:rsidRPr="00235A32">
        <w:t xml:space="preserve"> </w:t>
      </w:r>
      <w:r w:rsidR="00AC2885" w:rsidRPr="00235A32">
        <w:t>to the Min</w:t>
      </w:r>
      <w:r w:rsidR="00C27483">
        <w:t>a</w:t>
      </w:r>
      <w:r w:rsidR="00AC2885" w:rsidRPr="00235A32">
        <w:t xml:space="preserve">mata Convention </w:t>
      </w:r>
      <w:r w:rsidRPr="00235A32">
        <w:t>at its first meeting or as soon as possible.</w:t>
      </w:r>
    </w:p>
    <w:p w14:paraId="550815D6" w14:textId="2CE294F6" w:rsidR="008A26DF" w:rsidRPr="00DB5BB0" w:rsidRDefault="008A26DF" w:rsidP="00043A14">
      <w:pPr>
        <w:pStyle w:val="Normalnumber"/>
        <w:numPr>
          <w:ilvl w:val="0"/>
          <w:numId w:val="22"/>
        </w:numPr>
        <w:tabs>
          <w:tab w:val="clear" w:pos="1247"/>
          <w:tab w:val="clear" w:pos="1814"/>
          <w:tab w:val="clear" w:pos="2381"/>
          <w:tab w:val="clear" w:pos="2948"/>
          <w:tab w:val="clear" w:pos="3515"/>
          <w:tab w:val="clear" w:pos="4082"/>
          <w:tab w:val="left" w:pos="624"/>
        </w:tabs>
        <w:ind w:left="1247"/>
      </w:pPr>
      <w:r>
        <w:t xml:space="preserve">Following the seventh session of </w:t>
      </w:r>
      <w:r w:rsidRPr="00B77362">
        <w:t>the committee</w:t>
      </w:r>
      <w:r>
        <w:t xml:space="preserve">, the secretariat called for </w:t>
      </w:r>
      <w:r w:rsidR="009B0D84">
        <w:t xml:space="preserve">Governments </w:t>
      </w:r>
      <w:r w:rsidRPr="001710A8">
        <w:t xml:space="preserve">and others to provide input </w:t>
      </w:r>
      <w:r w:rsidR="00A97FFE" w:rsidRPr="001710A8">
        <w:t>for</w:t>
      </w:r>
      <w:r>
        <w:t xml:space="preserve"> a report on open burning. In the period since the seventh session, submissions </w:t>
      </w:r>
      <w:r w:rsidR="00DB5BB0">
        <w:t xml:space="preserve">have been received </w:t>
      </w:r>
      <w:r>
        <w:t xml:space="preserve">from </w:t>
      </w:r>
      <w:r w:rsidR="009B0D84">
        <w:t xml:space="preserve">11 Governments </w:t>
      </w:r>
      <w:r>
        <w:t>and a number of non-governmental sources. The secretariat has also gathered information from a range of other sources, including publications by the United Nations Environment Programme</w:t>
      </w:r>
      <w:r w:rsidR="00735F78">
        <w:t xml:space="preserve"> and </w:t>
      </w:r>
      <w:r>
        <w:t xml:space="preserve">the World Bank, and from a number of civil society organizations. The assessment of the submissions and </w:t>
      </w:r>
      <w:r w:rsidRPr="00DB5BB0">
        <w:t xml:space="preserve">information </w:t>
      </w:r>
      <w:r w:rsidR="00A97FFE" w:rsidRPr="00DB5BB0">
        <w:t xml:space="preserve">gathered </w:t>
      </w:r>
      <w:r w:rsidRPr="00DB5BB0">
        <w:t xml:space="preserve">is provided </w:t>
      </w:r>
      <w:r w:rsidR="000A27AC" w:rsidRPr="00DB5BB0">
        <w:t xml:space="preserve">in the annex </w:t>
      </w:r>
      <w:r w:rsidRPr="00DB5BB0">
        <w:t>to th</w:t>
      </w:r>
      <w:r w:rsidR="001E7DFC" w:rsidRPr="00DB5BB0">
        <w:t>e present</w:t>
      </w:r>
      <w:r w:rsidRPr="00DB5BB0">
        <w:t xml:space="preserve"> note. </w:t>
      </w:r>
    </w:p>
    <w:p w14:paraId="323A8CBB" w14:textId="6649282F" w:rsidR="008A26DF" w:rsidRPr="00B77362" w:rsidRDefault="008A26DF" w:rsidP="00043A14">
      <w:pPr>
        <w:pStyle w:val="Normalnumber"/>
        <w:numPr>
          <w:ilvl w:val="0"/>
          <w:numId w:val="22"/>
        </w:numPr>
        <w:tabs>
          <w:tab w:val="clear" w:pos="1247"/>
          <w:tab w:val="clear" w:pos="1814"/>
          <w:tab w:val="clear" w:pos="2381"/>
          <w:tab w:val="clear" w:pos="2948"/>
          <w:tab w:val="clear" w:pos="3515"/>
          <w:tab w:val="clear" w:pos="4082"/>
          <w:tab w:val="left" w:pos="624"/>
        </w:tabs>
        <w:ind w:left="1247"/>
      </w:pPr>
      <w:r w:rsidRPr="00DB5BB0">
        <w:t xml:space="preserve">At </w:t>
      </w:r>
      <w:r w:rsidR="002D3E52" w:rsidRPr="00DB5BB0">
        <w:t xml:space="preserve">the current </w:t>
      </w:r>
      <w:r w:rsidRPr="00DB5BB0">
        <w:t xml:space="preserve">stage, </w:t>
      </w:r>
      <w:r w:rsidR="002D3E52" w:rsidRPr="00DB5BB0">
        <w:t xml:space="preserve">a </w:t>
      </w:r>
      <w:r w:rsidRPr="00DB5BB0">
        <w:t xml:space="preserve">limited </w:t>
      </w:r>
      <w:r w:rsidR="008B6368" w:rsidRPr="00DB5BB0">
        <w:t xml:space="preserve">amount of </w:t>
      </w:r>
      <w:r w:rsidRPr="00DB5BB0">
        <w:t>quantified information is available. Some sources recommend actions to reduce</w:t>
      </w:r>
      <w:r>
        <w:t xml:space="preserve"> or eliminate open burning altogether as part of sustainable development activities, noting the contribution </w:t>
      </w:r>
      <w:r w:rsidR="00A072C4">
        <w:t xml:space="preserve">that </w:t>
      </w:r>
      <w:r w:rsidR="00CF695F">
        <w:t xml:space="preserve">such actions </w:t>
      </w:r>
      <w:r>
        <w:t xml:space="preserve">would make to </w:t>
      </w:r>
      <w:proofErr w:type="gramStart"/>
      <w:r>
        <w:t>achieving</w:t>
      </w:r>
      <w:proofErr w:type="gramEnd"/>
      <w:r>
        <w:t xml:space="preserve"> the 2030 </w:t>
      </w:r>
      <w:r w:rsidR="008B6368" w:rsidRPr="008B6368">
        <w:t xml:space="preserve">Agenda for Sustainable Development </w:t>
      </w:r>
      <w:r w:rsidR="008B6368">
        <w:t xml:space="preserve">and </w:t>
      </w:r>
      <w:r w:rsidR="000741D7">
        <w:t xml:space="preserve">the </w:t>
      </w:r>
      <w:r w:rsidR="008B6368">
        <w:t xml:space="preserve">Sustainable </w:t>
      </w:r>
      <w:r w:rsidR="008B6368" w:rsidRPr="00720462">
        <w:t>Development Goals</w:t>
      </w:r>
      <w:r w:rsidRPr="00720462">
        <w:t xml:space="preserve">. It should be noted that additional information on the quantities of mercury emitted </w:t>
      </w:r>
      <w:r w:rsidR="00720462">
        <w:t xml:space="preserve">as a result of </w:t>
      </w:r>
      <w:r w:rsidRPr="00720462">
        <w:t xml:space="preserve">open burning is likely to be gathered by countries during </w:t>
      </w:r>
      <w:r w:rsidR="006C3DB7" w:rsidRPr="00720462">
        <w:t xml:space="preserve">the </w:t>
      </w:r>
      <w:r w:rsidRPr="00720462">
        <w:t xml:space="preserve">preparation of mercury inventories </w:t>
      </w:r>
      <w:r w:rsidR="00D91A66" w:rsidRPr="00720462">
        <w:t xml:space="preserve">that </w:t>
      </w:r>
      <w:r w:rsidR="00B93972" w:rsidRPr="00720462">
        <w:t xml:space="preserve">will </w:t>
      </w:r>
      <w:r w:rsidR="00D91A66" w:rsidRPr="00720462">
        <w:t>form</w:t>
      </w:r>
      <w:r w:rsidR="00D91A66">
        <w:t xml:space="preserve"> </w:t>
      </w:r>
      <w:r>
        <w:t xml:space="preserve">part of their initial assessments and preparations for implementation and ratification of the </w:t>
      </w:r>
      <w:r w:rsidR="00C9545A">
        <w:t>Min</w:t>
      </w:r>
      <w:r w:rsidR="00AA0384">
        <w:t>a</w:t>
      </w:r>
      <w:r w:rsidR="00C9545A">
        <w:t xml:space="preserve">mata </w:t>
      </w:r>
      <w:r>
        <w:t xml:space="preserve">Convention. </w:t>
      </w:r>
    </w:p>
    <w:p w14:paraId="0B35C18C" w14:textId="72072813" w:rsidR="008A26DF" w:rsidRDefault="008A26DF" w:rsidP="00160554">
      <w:pPr>
        <w:pStyle w:val="CH2"/>
      </w:pPr>
      <w:r>
        <w:lastRenderedPageBreak/>
        <w:tab/>
      </w:r>
      <w:r>
        <w:tab/>
      </w:r>
      <w:r w:rsidRPr="00312543">
        <w:t>Suggested action by the Conference of the Parties</w:t>
      </w:r>
    </w:p>
    <w:p w14:paraId="284EC2A5" w14:textId="0BC1B403" w:rsidR="008A26DF" w:rsidRPr="00A072C4" w:rsidRDefault="008A26DF" w:rsidP="00160554">
      <w:pPr>
        <w:pStyle w:val="Normalnumber"/>
        <w:keepNext/>
        <w:keepLines/>
        <w:numPr>
          <w:ilvl w:val="0"/>
          <w:numId w:val="22"/>
        </w:numPr>
        <w:tabs>
          <w:tab w:val="clear" w:pos="1247"/>
          <w:tab w:val="clear" w:pos="1814"/>
          <w:tab w:val="clear" w:pos="2381"/>
          <w:tab w:val="clear" w:pos="2948"/>
          <w:tab w:val="clear" w:pos="3515"/>
          <w:tab w:val="clear" w:pos="4082"/>
          <w:tab w:val="left" w:pos="624"/>
        </w:tabs>
        <w:ind w:left="1247"/>
        <w:rPr>
          <w:b/>
          <w:bCs/>
        </w:rPr>
      </w:pPr>
      <w:r>
        <w:t xml:space="preserve">The </w:t>
      </w:r>
      <w:r w:rsidR="00333D11" w:rsidRPr="00720462">
        <w:t>Conference</w:t>
      </w:r>
      <w:r w:rsidR="00CF695F">
        <w:t xml:space="preserve"> of the Parties</w:t>
      </w:r>
      <w:r w:rsidR="00333D11" w:rsidRPr="00720462">
        <w:t xml:space="preserve"> </w:t>
      </w:r>
      <w:r w:rsidRPr="00720462">
        <w:t xml:space="preserve">may wish to consider the report </w:t>
      </w:r>
      <w:r w:rsidR="00A072C4" w:rsidRPr="00720462">
        <w:t xml:space="preserve">on mercury emissions related to the </w:t>
      </w:r>
      <w:r w:rsidRPr="00720462">
        <w:t>open burning</w:t>
      </w:r>
      <w:r w:rsidR="00A072C4">
        <w:t xml:space="preserve"> of waste (see annex)</w:t>
      </w:r>
      <w:r>
        <w:t xml:space="preserve"> and </w:t>
      </w:r>
      <w:r w:rsidR="00A072C4">
        <w:t xml:space="preserve">may also wish to </w:t>
      </w:r>
      <w:r>
        <w:t xml:space="preserve">consider requesting the secretariat to continue to compile information on emissions </w:t>
      </w:r>
      <w:r w:rsidRPr="00D3373A">
        <w:t>from</w:t>
      </w:r>
      <w:r>
        <w:t xml:space="preserve"> </w:t>
      </w:r>
      <w:r w:rsidR="00333D11">
        <w:t>open burning</w:t>
      </w:r>
      <w:r>
        <w:t xml:space="preserve"> as part of </w:t>
      </w:r>
      <w:r w:rsidR="00796984">
        <w:t xml:space="preserve">its </w:t>
      </w:r>
      <w:r>
        <w:t xml:space="preserve">overall </w:t>
      </w:r>
      <w:r w:rsidR="00956AAF">
        <w:t xml:space="preserve">consideration of </w:t>
      </w:r>
      <w:r>
        <w:t xml:space="preserve">the inventories submitted by countries. The </w:t>
      </w:r>
      <w:r w:rsidR="00BD552C">
        <w:t xml:space="preserve">Conference </w:t>
      </w:r>
      <w:r w:rsidR="0014281C">
        <w:t xml:space="preserve">of the Parties </w:t>
      </w:r>
      <w:r>
        <w:t xml:space="preserve">may further </w:t>
      </w:r>
      <w:r w:rsidR="00BD552C">
        <w:t xml:space="preserve">wish to </w:t>
      </w:r>
      <w:r>
        <w:t xml:space="preserve">consider </w:t>
      </w:r>
      <w:r w:rsidR="00BD552C">
        <w:t xml:space="preserve">requesting </w:t>
      </w:r>
      <w:r>
        <w:t xml:space="preserve">the secretariat to make </w:t>
      </w:r>
      <w:r w:rsidR="00BD552C">
        <w:t xml:space="preserve">that </w:t>
      </w:r>
      <w:r>
        <w:t xml:space="preserve">information available as background information at future meetings of the Conference.  </w:t>
      </w:r>
    </w:p>
    <w:p w14:paraId="708E02EA" w14:textId="1BD01473" w:rsidR="008A26DF" w:rsidRPr="008A26DF" w:rsidRDefault="008A26DF" w:rsidP="008A26DF">
      <w:pPr>
        <w:pStyle w:val="ZZAnxheader"/>
      </w:pPr>
      <w:r>
        <w:rPr>
          <w:b w:val="0"/>
          <w:bCs w:val="0"/>
        </w:rPr>
        <w:br w:type="page"/>
      </w:r>
      <w:r w:rsidRPr="008A26DF">
        <w:lastRenderedPageBreak/>
        <w:t>Annex</w:t>
      </w:r>
    </w:p>
    <w:p w14:paraId="1312B615" w14:textId="77777777" w:rsidR="008A26DF" w:rsidRPr="00043A14" w:rsidRDefault="008A26DF" w:rsidP="008A26DF">
      <w:pPr>
        <w:pStyle w:val="ZZAnxtitle"/>
      </w:pPr>
      <w:r w:rsidRPr="00043A14">
        <w:t>Report on mercury emissions related to the open burning of waste</w:t>
      </w:r>
    </w:p>
    <w:p w14:paraId="4FE00CD5" w14:textId="5A21ED0D" w:rsidR="008A26DF" w:rsidRPr="00124EA9" w:rsidRDefault="008A26DF" w:rsidP="00124EA9">
      <w:pPr>
        <w:pStyle w:val="CH2"/>
      </w:pPr>
      <w:r w:rsidRPr="00124EA9">
        <w:tab/>
      </w:r>
      <w:r w:rsidR="00124EA9">
        <w:t>A.</w:t>
      </w:r>
      <w:r w:rsidRPr="00124EA9">
        <w:tab/>
        <w:t>Introduction</w:t>
      </w:r>
    </w:p>
    <w:p w14:paraId="615932F9" w14:textId="02741E06" w:rsidR="008A26DF" w:rsidRPr="00094521"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094521">
        <w:rPr>
          <w:b w:val="0"/>
          <w:bCs w:val="0"/>
          <w:sz w:val="20"/>
          <w:szCs w:val="20"/>
        </w:rPr>
        <w:t xml:space="preserve">Waste management is a key issue </w:t>
      </w:r>
      <w:r w:rsidR="00C9545A">
        <w:rPr>
          <w:b w:val="0"/>
          <w:bCs w:val="0"/>
          <w:sz w:val="20"/>
          <w:szCs w:val="20"/>
        </w:rPr>
        <w:t xml:space="preserve">that poses </w:t>
      </w:r>
      <w:r w:rsidRPr="00094521">
        <w:rPr>
          <w:b w:val="0"/>
          <w:bCs w:val="0"/>
          <w:sz w:val="20"/>
          <w:szCs w:val="20"/>
        </w:rPr>
        <w:t xml:space="preserve">a challenge </w:t>
      </w:r>
      <w:r w:rsidRPr="006375A9">
        <w:rPr>
          <w:b w:val="0"/>
          <w:bCs w:val="0"/>
          <w:sz w:val="20"/>
          <w:szCs w:val="20"/>
        </w:rPr>
        <w:t>for</w:t>
      </w:r>
      <w:r w:rsidRPr="00094521">
        <w:rPr>
          <w:b w:val="0"/>
          <w:bCs w:val="0"/>
          <w:sz w:val="20"/>
          <w:szCs w:val="20"/>
        </w:rPr>
        <w:t xml:space="preserve"> all countries, but particularly for developing countries and countries with economies in transition</w:t>
      </w:r>
      <w:r w:rsidR="00431D71">
        <w:rPr>
          <w:b w:val="0"/>
          <w:bCs w:val="0"/>
          <w:sz w:val="20"/>
          <w:szCs w:val="20"/>
        </w:rPr>
        <w:t>,</w:t>
      </w:r>
      <w:r w:rsidRPr="00094521">
        <w:rPr>
          <w:b w:val="0"/>
          <w:bCs w:val="0"/>
          <w:sz w:val="20"/>
          <w:szCs w:val="20"/>
        </w:rPr>
        <w:t xml:space="preserve"> where resources to manage </w:t>
      </w:r>
      <w:r w:rsidR="003C00D1">
        <w:rPr>
          <w:b w:val="0"/>
          <w:bCs w:val="0"/>
          <w:sz w:val="20"/>
          <w:szCs w:val="20"/>
        </w:rPr>
        <w:t>waste</w:t>
      </w:r>
      <w:r w:rsidRPr="00094521">
        <w:rPr>
          <w:b w:val="0"/>
          <w:bCs w:val="0"/>
          <w:sz w:val="20"/>
          <w:szCs w:val="20"/>
        </w:rPr>
        <w:t xml:space="preserve"> are limited. The emission</w:t>
      </w:r>
      <w:r w:rsidR="008279F4">
        <w:rPr>
          <w:b w:val="0"/>
          <w:bCs w:val="0"/>
          <w:sz w:val="20"/>
          <w:szCs w:val="20"/>
        </w:rPr>
        <w:t>s</w:t>
      </w:r>
      <w:r w:rsidRPr="00094521">
        <w:rPr>
          <w:b w:val="0"/>
          <w:bCs w:val="0"/>
          <w:sz w:val="20"/>
          <w:szCs w:val="20"/>
        </w:rPr>
        <w:t xml:space="preserve"> and release</w:t>
      </w:r>
      <w:r w:rsidR="008279F4">
        <w:rPr>
          <w:b w:val="0"/>
          <w:bCs w:val="0"/>
          <w:sz w:val="20"/>
          <w:szCs w:val="20"/>
        </w:rPr>
        <w:t>s</w:t>
      </w:r>
      <w:r w:rsidRPr="00094521">
        <w:rPr>
          <w:b w:val="0"/>
          <w:bCs w:val="0"/>
          <w:sz w:val="20"/>
          <w:szCs w:val="20"/>
        </w:rPr>
        <w:t xml:space="preserve"> </w:t>
      </w:r>
      <w:r w:rsidR="00363258">
        <w:rPr>
          <w:b w:val="0"/>
          <w:bCs w:val="0"/>
          <w:sz w:val="20"/>
          <w:szCs w:val="20"/>
        </w:rPr>
        <w:t xml:space="preserve">resulting </w:t>
      </w:r>
      <w:r w:rsidRPr="00094521">
        <w:rPr>
          <w:b w:val="0"/>
          <w:bCs w:val="0"/>
          <w:sz w:val="20"/>
          <w:szCs w:val="20"/>
        </w:rPr>
        <w:t xml:space="preserve">from waste management </w:t>
      </w:r>
      <w:r w:rsidR="008279F4">
        <w:rPr>
          <w:b w:val="0"/>
          <w:bCs w:val="0"/>
          <w:sz w:val="20"/>
          <w:szCs w:val="20"/>
        </w:rPr>
        <w:t xml:space="preserve">activities </w:t>
      </w:r>
      <w:r w:rsidRPr="00094521">
        <w:rPr>
          <w:b w:val="0"/>
          <w:bCs w:val="0"/>
          <w:sz w:val="20"/>
          <w:szCs w:val="20"/>
        </w:rPr>
        <w:t xml:space="preserve">pose a threat to </w:t>
      </w:r>
      <w:r w:rsidR="008279F4">
        <w:rPr>
          <w:b w:val="0"/>
          <w:bCs w:val="0"/>
          <w:sz w:val="20"/>
          <w:szCs w:val="20"/>
        </w:rPr>
        <w:t xml:space="preserve">public </w:t>
      </w:r>
      <w:r w:rsidRPr="00094521">
        <w:rPr>
          <w:b w:val="0"/>
          <w:bCs w:val="0"/>
          <w:sz w:val="20"/>
          <w:szCs w:val="20"/>
        </w:rPr>
        <w:t xml:space="preserve">health and </w:t>
      </w:r>
      <w:r w:rsidR="008279F4">
        <w:rPr>
          <w:b w:val="0"/>
          <w:bCs w:val="0"/>
          <w:sz w:val="20"/>
          <w:szCs w:val="20"/>
        </w:rPr>
        <w:t xml:space="preserve">the </w:t>
      </w:r>
      <w:r w:rsidRPr="00094521">
        <w:rPr>
          <w:b w:val="0"/>
          <w:bCs w:val="0"/>
          <w:sz w:val="20"/>
          <w:szCs w:val="20"/>
        </w:rPr>
        <w:t xml:space="preserve">environment in </w:t>
      </w:r>
      <w:r w:rsidR="008279F4" w:rsidRPr="00094521">
        <w:rPr>
          <w:b w:val="0"/>
          <w:bCs w:val="0"/>
          <w:sz w:val="20"/>
          <w:szCs w:val="20"/>
        </w:rPr>
        <w:t>th</w:t>
      </w:r>
      <w:r w:rsidR="008279F4">
        <w:rPr>
          <w:b w:val="0"/>
          <w:bCs w:val="0"/>
          <w:sz w:val="20"/>
          <w:szCs w:val="20"/>
        </w:rPr>
        <w:t>ose</w:t>
      </w:r>
      <w:r w:rsidR="008279F4" w:rsidRPr="00094521">
        <w:rPr>
          <w:b w:val="0"/>
          <w:bCs w:val="0"/>
          <w:sz w:val="20"/>
          <w:szCs w:val="20"/>
        </w:rPr>
        <w:t xml:space="preserve"> </w:t>
      </w:r>
      <w:r w:rsidRPr="00094521">
        <w:rPr>
          <w:b w:val="0"/>
          <w:bCs w:val="0"/>
          <w:sz w:val="20"/>
          <w:szCs w:val="20"/>
        </w:rPr>
        <w:t>countries, with certain pollutants posing a global threat</w:t>
      </w:r>
      <w:r w:rsidR="00363258">
        <w:rPr>
          <w:b w:val="0"/>
          <w:bCs w:val="0"/>
          <w:sz w:val="20"/>
          <w:szCs w:val="20"/>
        </w:rPr>
        <w:t>,</w:t>
      </w:r>
      <w:r w:rsidRPr="00094521">
        <w:rPr>
          <w:b w:val="0"/>
          <w:bCs w:val="0"/>
          <w:sz w:val="20"/>
          <w:szCs w:val="20"/>
        </w:rPr>
        <w:t xml:space="preserve"> </w:t>
      </w:r>
      <w:r w:rsidR="008279F4">
        <w:rPr>
          <w:b w:val="0"/>
          <w:bCs w:val="0"/>
          <w:sz w:val="20"/>
          <w:szCs w:val="20"/>
        </w:rPr>
        <w:t xml:space="preserve">owing </w:t>
      </w:r>
      <w:r w:rsidRPr="00094521">
        <w:rPr>
          <w:b w:val="0"/>
          <w:bCs w:val="0"/>
          <w:sz w:val="20"/>
          <w:szCs w:val="20"/>
        </w:rPr>
        <w:t xml:space="preserve">to their transboundary movement. </w:t>
      </w:r>
    </w:p>
    <w:p w14:paraId="3605745E" w14:textId="2FC50686" w:rsidR="008A26DF" w:rsidRPr="00094521" w:rsidRDefault="008A26DF" w:rsidP="00720462">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094521">
        <w:rPr>
          <w:b w:val="0"/>
          <w:bCs w:val="0"/>
          <w:sz w:val="20"/>
          <w:szCs w:val="20"/>
        </w:rPr>
        <w:t xml:space="preserve">Mercury </w:t>
      </w:r>
      <w:r w:rsidR="007D04A5">
        <w:rPr>
          <w:b w:val="0"/>
          <w:bCs w:val="0"/>
          <w:sz w:val="20"/>
          <w:szCs w:val="20"/>
        </w:rPr>
        <w:t xml:space="preserve">may </w:t>
      </w:r>
      <w:r w:rsidRPr="00094521">
        <w:rPr>
          <w:b w:val="0"/>
          <w:bCs w:val="0"/>
          <w:sz w:val="20"/>
          <w:szCs w:val="20"/>
        </w:rPr>
        <w:t xml:space="preserve">be </w:t>
      </w:r>
      <w:r w:rsidR="007D04A5">
        <w:rPr>
          <w:b w:val="0"/>
          <w:bCs w:val="0"/>
          <w:sz w:val="20"/>
          <w:szCs w:val="20"/>
        </w:rPr>
        <w:t xml:space="preserve">found </w:t>
      </w:r>
      <w:r w:rsidRPr="00094521">
        <w:rPr>
          <w:b w:val="0"/>
          <w:bCs w:val="0"/>
          <w:sz w:val="20"/>
          <w:szCs w:val="20"/>
        </w:rPr>
        <w:t xml:space="preserve">in a wide variety of waste streams, </w:t>
      </w:r>
      <w:r w:rsidR="007D04A5">
        <w:rPr>
          <w:b w:val="0"/>
          <w:bCs w:val="0"/>
          <w:sz w:val="20"/>
          <w:szCs w:val="20"/>
        </w:rPr>
        <w:t xml:space="preserve">and is </w:t>
      </w:r>
      <w:r w:rsidRPr="00094521">
        <w:rPr>
          <w:b w:val="0"/>
          <w:bCs w:val="0"/>
          <w:sz w:val="20"/>
          <w:szCs w:val="20"/>
        </w:rPr>
        <w:t xml:space="preserve">not limited to those recognized as being hazardous </w:t>
      </w:r>
      <w:r w:rsidR="00E52C98">
        <w:rPr>
          <w:b w:val="0"/>
          <w:bCs w:val="0"/>
          <w:sz w:val="20"/>
          <w:szCs w:val="20"/>
        </w:rPr>
        <w:t>on the basis of</w:t>
      </w:r>
      <w:r w:rsidR="00C9545A">
        <w:rPr>
          <w:b w:val="0"/>
          <w:bCs w:val="0"/>
          <w:sz w:val="20"/>
          <w:szCs w:val="20"/>
        </w:rPr>
        <w:t xml:space="preserve"> </w:t>
      </w:r>
      <w:r w:rsidRPr="00094521">
        <w:rPr>
          <w:b w:val="0"/>
          <w:bCs w:val="0"/>
          <w:sz w:val="20"/>
          <w:szCs w:val="20"/>
        </w:rPr>
        <w:t xml:space="preserve">the </w:t>
      </w:r>
      <w:r w:rsidR="00D92363">
        <w:rPr>
          <w:b w:val="0"/>
          <w:bCs w:val="0"/>
          <w:sz w:val="20"/>
          <w:szCs w:val="20"/>
        </w:rPr>
        <w:t>confirmed</w:t>
      </w:r>
      <w:r w:rsidR="00D92363" w:rsidRPr="00094521">
        <w:rPr>
          <w:b w:val="0"/>
          <w:bCs w:val="0"/>
          <w:sz w:val="20"/>
          <w:szCs w:val="20"/>
        </w:rPr>
        <w:t xml:space="preserve"> </w:t>
      </w:r>
      <w:r w:rsidRPr="00094521">
        <w:rPr>
          <w:b w:val="0"/>
          <w:bCs w:val="0"/>
          <w:sz w:val="20"/>
          <w:szCs w:val="20"/>
        </w:rPr>
        <w:t xml:space="preserve">presence of mercury (such as </w:t>
      </w:r>
      <w:r w:rsidRPr="00720462">
        <w:rPr>
          <w:b w:val="0"/>
          <w:bCs w:val="0"/>
          <w:sz w:val="20"/>
          <w:szCs w:val="20"/>
        </w:rPr>
        <w:t>waste mercury-added products or wastes contaminated with mercury</w:t>
      </w:r>
      <w:r w:rsidRPr="00094521">
        <w:rPr>
          <w:b w:val="0"/>
          <w:bCs w:val="0"/>
          <w:sz w:val="20"/>
          <w:szCs w:val="20"/>
        </w:rPr>
        <w:t xml:space="preserve">). The Minamata Convention provides, in </w:t>
      </w:r>
      <w:r w:rsidR="00927471">
        <w:rPr>
          <w:b w:val="0"/>
          <w:bCs w:val="0"/>
          <w:sz w:val="20"/>
          <w:szCs w:val="20"/>
        </w:rPr>
        <w:t>its a</w:t>
      </w:r>
      <w:r w:rsidR="00927471" w:rsidRPr="00094521">
        <w:rPr>
          <w:b w:val="0"/>
          <w:bCs w:val="0"/>
          <w:sz w:val="20"/>
          <w:szCs w:val="20"/>
        </w:rPr>
        <w:t xml:space="preserve">rticle </w:t>
      </w:r>
      <w:r w:rsidRPr="00094521">
        <w:rPr>
          <w:b w:val="0"/>
          <w:bCs w:val="0"/>
          <w:sz w:val="20"/>
          <w:szCs w:val="20"/>
        </w:rPr>
        <w:t xml:space="preserve">11, that mercury wastes are to be </w:t>
      </w:r>
      <w:r w:rsidR="006375A9">
        <w:rPr>
          <w:b w:val="0"/>
          <w:bCs w:val="0"/>
          <w:sz w:val="20"/>
          <w:szCs w:val="20"/>
        </w:rPr>
        <w:t>managed</w:t>
      </w:r>
      <w:r w:rsidR="004A3BAE">
        <w:rPr>
          <w:b w:val="0"/>
          <w:bCs w:val="0"/>
          <w:sz w:val="20"/>
          <w:szCs w:val="20"/>
        </w:rPr>
        <w:t xml:space="preserve"> </w:t>
      </w:r>
      <w:r w:rsidRPr="00094521">
        <w:rPr>
          <w:b w:val="0"/>
          <w:bCs w:val="0"/>
          <w:sz w:val="20"/>
          <w:szCs w:val="20"/>
        </w:rPr>
        <w:t xml:space="preserve">in an environmentally sound manner, taking into account the technical guidelines developed under the </w:t>
      </w:r>
      <w:r w:rsidR="00A97FFE">
        <w:rPr>
          <w:b w:val="0"/>
          <w:bCs w:val="0"/>
          <w:sz w:val="20"/>
          <w:szCs w:val="20"/>
        </w:rPr>
        <w:t xml:space="preserve">Basel </w:t>
      </w:r>
      <w:r w:rsidR="000E40C1" w:rsidRPr="005213E1">
        <w:rPr>
          <w:b w:val="0"/>
          <w:bCs w:val="0"/>
          <w:sz w:val="20"/>
          <w:szCs w:val="20"/>
        </w:rPr>
        <w:t>Convention on the Control of Transboundary Movements of Hazardous Wastes and Their Disposal</w:t>
      </w:r>
      <w:r w:rsidRPr="00094521">
        <w:rPr>
          <w:b w:val="0"/>
          <w:bCs w:val="0"/>
          <w:sz w:val="20"/>
          <w:szCs w:val="20"/>
        </w:rPr>
        <w:t xml:space="preserve">. </w:t>
      </w:r>
    </w:p>
    <w:p w14:paraId="0A4E01EF" w14:textId="05D308B8" w:rsidR="008A26DF" w:rsidRPr="00094521" w:rsidRDefault="00E52C98"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Pr>
          <w:b w:val="0"/>
          <w:bCs w:val="0"/>
          <w:sz w:val="20"/>
          <w:szCs w:val="20"/>
        </w:rPr>
        <w:t xml:space="preserve">Recognition of </w:t>
      </w:r>
      <w:r w:rsidR="00BF04B3">
        <w:rPr>
          <w:b w:val="0"/>
          <w:bCs w:val="0"/>
          <w:sz w:val="20"/>
          <w:szCs w:val="20"/>
        </w:rPr>
        <w:t>t</w:t>
      </w:r>
      <w:r w:rsidR="00BF04B3" w:rsidRPr="00094521">
        <w:rPr>
          <w:b w:val="0"/>
          <w:bCs w:val="0"/>
          <w:sz w:val="20"/>
          <w:szCs w:val="20"/>
        </w:rPr>
        <w:t xml:space="preserve">he </w:t>
      </w:r>
      <w:r w:rsidR="008A26DF" w:rsidRPr="00094521">
        <w:rPr>
          <w:b w:val="0"/>
          <w:bCs w:val="0"/>
          <w:sz w:val="20"/>
          <w:szCs w:val="20"/>
        </w:rPr>
        <w:t xml:space="preserve">presence of </w:t>
      </w:r>
      <w:r w:rsidR="008A26DF" w:rsidRPr="00EB41F2">
        <w:rPr>
          <w:b w:val="0"/>
          <w:bCs w:val="0"/>
          <w:sz w:val="20"/>
          <w:szCs w:val="20"/>
        </w:rPr>
        <w:t>mercury in general waste led to the inclusion of waste incineration facilities in the list of emissions sources (</w:t>
      </w:r>
      <w:r w:rsidR="0071548E" w:rsidRPr="00EB41F2">
        <w:rPr>
          <w:b w:val="0"/>
          <w:bCs w:val="0"/>
          <w:sz w:val="20"/>
          <w:szCs w:val="20"/>
        </w:rPr>
        <w:t xml:space="preserve">see </w:t>
      </w:r>
      <w:r w:rsidR="008A2768" w:rsidRPr="00EB41F2">
        <w:rPr>
          <w:b w:val="0"/>
          <w:bCs w:val="0"/>
          <w:sz w:val="20"/>
          <w:szCs w:val="20"/>
        </w:rPr>
        <w:t xml:space="preserve">annex </w:t>
      </w:r>
      <w:r w:rsidR="008A26DF" w:rsidRPr="00EB41F2">
        <w:rPr>
          <w:b w:val="0"/>
          <w:bCs w:val="0"/>
          <w:sz w:val="20"/>
          <w:szCs w:val="20"/>
        </w:rPr>
        <w:t xml:space="preserve">D of the </w:t>
      </w:r>
      <w:r w:rsidR="0071548E" w:rsidRPr="00EB41F2">
        <w:rPr>
          <w:b w:val="0"/>
          <w:bCs w:val="0"/>
          <w:sz w:val="20"/>
          <w:szCs w:val="20"/>
        </w:rPr>
        <w:t>Min</w:t>
      </w:r>
      <w:r w:rsidR="00CE66F8">
        <w:rPr>
          <w:b w:val="0"/>
          <w:bCs w:val="0"/>
          <w:sz w:val="20"/>
          <w:szCs w:val="20"/>
        </w:rPr>
        <w:t>a</w:t>
      </w:r>
      <w:r w:rsidR="0071548E" w:rsidRPr="00EB41F2">
        <w:rPr>
          <w:b w:val="0"/>
          <w:bCs w:val="0"/>
          <w:sz w:val="20"/>
          <w:szCs w:val="20"/>
        </w:rPr>
        <w:t xml:space="preserve">mata </w:t>
      </w:r>
      <w:r w:rsidR="008A26DF" w:rsidRPr="00EB41F2">
        <w:rPr>
          <w:b w:val="0"/>
          <w:bCs w:val="0"/>
          <w:sz w:val="20"/>
          <w:szCs w:val="20"/>
        </w:rPr>
        <w:t xml:space="preserve">Convention) controlled under </w:t>
      </w:r>
      <w:r w:rsidR="008A2768" w:rsidRPr="00EB41F2">
        <w:rPr>
          <w:b w:val="0"/>
          <w:bCs w:val="0"/>
          <w:sz w:val="20"/>
          <w:szCs w:val="20"/>
        </w:rPr>
        <w:t xml:space="preserve">article </w:t>
      </w:r>
      <w:r w:rsidR="008A26DF" w:rsidRPr="00EB41F2">
        <w:rPr>
          <w:b w:val="0"/>
          <w:bCs w:val="0"/>
          <w:sz w:val="20"/>
          <w:szCs w:val="20"/>
        </w:rPr>
        <w:t>8 of</w:t>
      </w:r>
      <w:r w:rsidR="008A26DF" w:rsidRPr="00094521">
        <w:rPr>
          <w:b w:val="0"/>
          <w:bCs w:val="0"/>
          <w:sz w:val="20"/>
          <w:szCs w:val="20"/>
        </w:rPr>
        <w:t xml:space="preserve"> the </w:t>
      </w:r>
      <w:r w:rsidR="0071548E">
        <w:rPr>
          <w:b w:val="0"/>
          <w:bCs w:val="0"/>
          <w:sz w:val="20"/>
          <w:szCs w:val="20"/>
        </w:rPr>
        <w:t>Min</w:t>
      </w:r>
      <w:r w:rsidR="003D2C1C">
        <w:rPr>
          <w:b w:val="0"/>
          <w:bCs w:val="0"/>
          <w:sz w:val="20"/>
          <w:szCs w:val="20"/>
        </w:rPr>
        <w:t>a</w:t>
      </w:r>
      <w:r w:rsidR="0071548E">
        <w:rPr>
          <w:b w:val="0"/>
          <w:bCs w:val="0"/>
          <w:sz w:val="20"/>
          <w:szCs w:val="20"/>
        </w:rPr>
        <w:t xml:space="preserve">mata </w:t>
      </w:r>
      <w:r w:rsidR="008A26DF" w:rsidRPr="00094521">
        <w:rPr>
          <w:b w:val="0"/>
          <w:bCs w:val="0"/>
          <w:sz w:val="20"/>
          <w:szCs w:val="20"/>
        </w:rPr>
        <w:t>Convention</w:t>
      </w:r>
      <w:r w:rsidR="008A2768">
        <w:rPr>
          <w:b w:val="0"/>
          <w:bCs w:val="0"/>
          <w:sz w:val="20"/>
          <w:szCs w:val="20"/>
        </w:rPr>
        <w:t>,</w:t>
      </w:r>
      <w:r w:rsidR="008A26DF" w:rsidRPr="00094521">
        <w:rPr>
          <w:b w:val="0"/>
          <w:bCs w:val="0"/>
          <w:sz w:val="20"/>
          <w:szCs w:val="20"/>
        </w:rPr>
        <w:t xml:space="preserve"> on emissions. Guidance on the control and reduction of mercury emissions from waste incineration facilities </w:t>
      </w:r>
      <w:r w:rsidR="00134DB6" w:rsidRPr="00EB41F2">
        <w:rPr>
          <w:b w:val="0"/>
          <w:bCs w:val="0"/>
          <w:sz w:val="20"/>
          <w:szCs w:val="20"/>
        </w:rPr>
        <w:t>was</w:t>
      </w:r>
      <w:r w:rsidR="008A26DF" w:rsidRPr="00094521">
        <w:rPr>
          <w:b w:val="0"/>
          <w:bCs w:val="0"/>
          <w:sz w:val="20"/>
          <w:szCs w:val="20"/>
        </w:rPr>
        <w:t xml:space="preserve"> adopted, on a provisional basis, by the intergovernmental negotiating committee to prepare a global legally binding instrument on mercury</w:t>
      </w:r>
      <w:r w:rsidR="00E67F20">
        <w:rPr>
          <w:b w:val="0"/>
          <w:bCs w:val="0"/>
          <w:sz w:val="20"/>
          <w:szCs w:val="20"/>
        </w:rPr>
        <w:t>,</w:t>
      </w:r>
      <w:r w:rsidR="00134DB6" w:rsidRPr="00134DB6">
        <w:rPr>
          <w:b w:val="0"/>
          <w:bCs w:val="0"/>
          <w:sz w:val="20"/>
          <w:szCs w:val="20"/>
        </w:rPr>
        <w:t xml:space="preserve"> </w:t>
      </w:r>
      <w:r w:rsidR="00134DB6">
        <w:rPr>
          <w:b w:val="0"/>
          <w:bCs w:val="0"/>
          <w:sz w:val="20"/>
          <w:szCs w:val="20"/>
        </w:rPr>
        <w:t>at its</w:t>
      </w:r>
      <w:r w:rsidR="00134DB6" w:rsidRPr="00094521">
        <w:rPr>
          <w:b w:val="0"/>
          <w:bCs w:val="0"/>
          <w:sz w:val="20"/>
          <w:szCs w:val="20"/>
        </w:rPr>
        <w:t xml:space="preserve"> seventh session</w:t>
      </w:r>
      <w:r w:rsidR="008A26DF" w:rsidRPr="00094521">
        <w:rPr>
          <w:b w:val="0"/>
          <w:bCs w:val="0"/>
          <w:sz w:val="20"/>
          <w:szCs w:val="20"/>
        </w:rPr>
        <w:t xml:space="preserve">, in the overall guidance on best available techniques and best environmental practices. </w:t>
      </w:r>
    </w:p>
    <w:p w14:paraId="6DACE1BF" w14:textId="69000170" w:rsidR="008A26DF" w:rsidRPr="00094521"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094521">
        <w:rPr>
          <w:b w:val="0"/>
          <w:bCs w:val="0"/>
          <w:sz w:val="20"/>
          <w:szCs w:val="20"/>
        </w:rPr>
        <w:t>It is recognized</w:t>
      </w:r>
      <w:bookmarkStart w:id="4" w:name="_GoBack"/>
      <w:bookmarkEnd w:id="4"/>
      <w:r w:rsidRPr="00094521">
        <w:rPr>
          <w:b w:val="0"/>
          <w:bCs w:val="0"/>
          <w:sz w:val="20"/>
          <w:szCs w:val="20"/>
        </w:rPr>
        <w:t xml:space="preserve">, however, that in many countries, only a fraction of </w:t>
      </w:r>
      <w:r w:rsidR="00C74AAB">
        <w:rPr>
          <w:b w:val="0"/>
          <w:bCs w:val="0"/>
          <w:sz w:val="20"/>
          <w:szCs w:val="20"/>
        </w:rPr>
        <w:t xml:space="preserve">the </w:t>
      </w:r>
      <w:r w:rsidRPr="00094521">
        <w:rPr>
          <w:b w:val="0"/>
          <w:bCs w:val="0"/>
          <w:sz w:val="20"/>
          <w:szCs w:val="20"/>
        </w:rPr>
        <w:t xml:space="preserve">waste disposed of through incineration is </w:t>
      </w:r>
      <w:r w:rsidR="00C74AAB" w:rsidRPr="00094521">
        <w:rPr>
          <w:b w:val="0"/>
          <w:bCs w:val="0"/>
          <w:sz w:val="20"/>
          <w:szCs w:val="20"/>
        </w:rPr>
        <w:t>burn</w:t>
      </w:r>
      <w:r w:rsidR="00C74AAB">
        <w:rPr>
          <w:b w:val="0"/>
          <w:bCs w:val="0"/>
          <w:sz w:val="20"/>
          <w:szCs w:val="20"/>
        </w:rPr>
        <w:t>ed</w:t>
      </w:r>
      <w:r w:rsidR="00C74AAB" w:rsidRPr="00094521">
        <w:rPr>
          <w:b w:val="0"/>
          <w:bCs w:val="0"/>
          <w:sz w:val="20"/>
          <w:szCs w:val="20"/>
        </w:rPr>
        <w:t xml:space="preserve"> </w:t>
      </w:r>
      <w:r w:rsidRPr="00094521">
        <w:rPr>
          <w:b w:val="0"/>
          <w:bCs w:val="0"/>
          <w:sz w:val="20"/>
          <w:szCs w:val="20"/>
        </w:rPr>
        <w:t xml:space="preserve">in established waste management facilities, </w:t>
      </w:r>
      <w:r w:rsidR="004F36B0">
        <w:rPr>
          <w:b w:val="0"/>
          <w:bCs w:val="0"/>
          <w:sz w:val="20"/>
          <w:szCs w:val="20"/>
        </w:rPr>
        <w:t>whereas</w:t>
      </w:r>
      <w:r w:rsidR="004F36B0" w:rsidRPr="00094521">
        <w:rPr>
          <w:b w:val="0"/>
          <w:bCs w:val="0"/>
          <w:sz w:val="20"/>
          <w:szCs w:val="20"/>
        </w:rPr>
        <w:t xml:space="preserve"> </w:t>
      </w:r>
      <w:r w:rsidRPr="00094521">
        <w:rPr>
          <w:b w:val="0"/>
          <w:bCs w:val="0"/>
          <w:sz w:val="20"/>
          <w:szCs w:val="20"/>
        </w:rPr>
        <w:t xml:space="preserve">much of </w:t>
      </w:r>
      <w:r w:rsidR="004F36B0">
        <w:rPr>
          <w:b w:val="0"/>
          <w:bCs w:val="0"/>
          <w:sz w:val="20"/>
          <w:szCs w:val="20"/>
        </w:rPr>
        <w:t xml:space="preserve">it is </w:t>
      </w:r>
      <w:r w:rsidRPr="00094521">
        <w:rPr>
          <w:b w:val="0"/>
          <w:bCs w:val="0"/>
          <w:sz w:val="20"/>
          <w:szCs w:val="20"/>
        </w:rPr>
        <w:t xml:space="preserve">burned informally </w:t>
      </w:r>
      <w:r w:rsidR="004F36B0">
        <w:rPr>
          <w:b w:val="0"/>
          <w:bCs w:val="0"/>
          <w:sz w:val="20"/>
          <w:szCs w:val="20"/>
        </w:rPr>
        <w:t xml:space="preserve">through </w:t>
      </w:r>
      <w:r w:rsidRPr="00094521">
        <w:rPr>
          <w:b w:val="0"/>
          <w:bCs w:val="0"/>
          <w:sz w:val="20"/>
          <w:szCs w:val="20"/>
        </w:rPr>
        <w:t xml:space="preserve">practices loosely termed </w:t>
      </w:r>
      <w:r w:rsidR="004F36B0">
        <w:rPr>
          <w:b w:val="0"/>
          <w:bCs w:val="0"/>
          <w:sz w:val="20"/>
          <w:szCs w:val="20"/>
        </w:rPr>
        <w:t>“</w:t>
      </w:r>
      <w:r w:rsidRPr="00094521">
        <w:rPr>
          <w:b w:val="0"/>
          <w:bCs w:val="0"/>
          <w:sz w:val="20"/>
          <w:szCs w:val="20"/>
        </w:rPr>
        <w:t>open burning</w:t>
      </w:r>
      <w:r w:rsidR="004F36B0">
        <w:rPr>
          <w:b w:val="0"/>
          <w:bCs w:val="0"/>
          <w:sz w:val="20"/>
          <w:szCs w:val="20"/>
        </w:rPr>
        <w:t>”</w:t>
      </w:r>
      <w:r w:rsidRPr="00094521">
        <w:rPr>
          <w:b w:val="0"/>
          <w:bCs w:val="0"/>
          <w:sz w:val="20"/>
          <w:szCs w:val="20"/>
        </w:rPr>
        <w:t xml:space="preserve">. The practice of open burning </w:t>
      </w:r>
      <w:r w:rsidRPr="00EB41F2">
        <w:rPr>
          <w:b w:val="0"/>
          <w:bCs w:val="0"/>
          <w:sz w:val="20"/>
          <w:szCs w:val="20"/>
        </w:rPr>
        <w:t xml:space="preserve">results in uncontrolled emissions </w:t>
      </w:r>
      <w:r w:rsidR="000A02EC" w:rsidRPr="00EB41F2">
        <w:rPr>
          <w:b w:val="0"/>
          <w:bCs w:val="0"/>
          <w:sz w:val="20"/>
          <w:szCs w:val="20"/>
        </w:rPr>
        <w:t xml:space="preserve">to the environment </w:t>
      </w:r>
      <w:r w:rsidRPr="00EB41F2">
        <w:rPr>
          <w:b w:val="0"/>
          <w:bCs w:val="0"/>
          <w:sz w:val="20"/>
          <w:szCs w:val="20"/>
        </w:rPr>
        <w:t>of a range of pollutants</w:t>
      </w:r>
      <w:r w:rsidR="00815DE2" w:rsidRPr="00EB41F2">
        <w:rPr>
          <w:b w:val="0"/>
          <w:bCs w:val="0"/>
          <w:sz w:val="20"/>
          <w:szCs w:val="20"/>
        </w:rPr>
        <w:t>.</w:t>
      </w:r>
      <w:r w:rsidRPr="00EB41F2">
        <w:rPr>
          <w:b w:val="0"/>
          <w:bCs w:val="0"/>
          <w:sz w:val="20"/>
          <w:szCs w:val="20"/>
        </w:rPr>
        <w:t xml:space="preserve"> </w:t>
      </w:r>
      <w:r w:rsidR="00815DE2" w:rsidRPr="00160554">
        <w:rPr>
          <w:b w:val="0"/>
          <w:bCs w:val="0"/>
          <w:sz w:val="20"/>
          <w:szCs w:val="20"/>
        </w:rPr>
        <w:t>From a public health perspective, o</w:t>
      </w:r>
      <w:r w:rsidRPr="00EB41F2">
        <w:rPr>
          <w:b w:val="0"/>
          <w:bCs w:val="0"/>
          <w:sz w:val="20"/>
          <w:szCs w:val="20"/>
        </w:rPr>
        <w:t>pen</w:t>
      </w:r>
      <w:r w:rsidR="00815DE2" w:rsidRPr="00160554">
        <w:rPr>
          <w:b w:val="0"/>
          <w:bCs w:val="0"/>
          <w:sz w:val="20"/>
          <w:szCs w:val="20"/>
        </w:rPr>
        <w:t>-</w:t>
      </w:r>
      <w:r w:rsidRPr="00EB41F2">
        <w:rPr>
          <w:b w:val="0"/>
          <w:bCs w:val="0"/>
          <w:sz w:val="20"/>
          <w:szCs w:val="20"/>
        </w:rPr>
        <w:t>burning emissions are high</w:t>
      </w:r>
      <w:r w:rsidR="003228BE" w:rsidRPr="00EB41F2">
        <w:rPr>
          <w:b w:val="0"/>
          <w:bCs w:val="0"/>
          <w:sz w:val="20"/>
          <w:szCs w:val="20"/>
        </w:rPr>
        <w:t>-</w:t>
      </w:r>
      <w:r w:rsidRPr="00EB41F2">
        <w:rPr>
          <w:b w:val="0"/>
          <w:bCs w:val="0"/>
          <w:sz w:val="20"/>
          <w:szCs w:val="20"/>
        </w:rPr>
        <w:t xml:space="preserve">risk for a number of reasons. The emissions generally </w:t>
      </w:r>
      <w:r w:rsidR="00290CFA" w:rsidRPr="00EB41F2">
        <w:rPr>
          <w:b w:val="0"/>
          <w:bCs w:val="0"/>
          <w:sz w:val="20"/>
          <w:szCs w:val="20"/>
        </w:rPr>
        <w:t xml:space="preserve">take the form of </w:t>
      </w:r>
      <w:r w:rsidR="000A02EC" w:rsidRPr="00EB41F2">
        <w:rPr>
          <w:b w:val="0"/>
          <w:bCs w:val="0"/>
          <w:sz w:val="20"/>
          <w:szCs w:val="20"/>
        </w:rPr>
        <w:t>ground-</w:t>
      </w:r>
      <w:r w:rsidRPr="00EB41F2">
        <w:rPr>
          <w:b w:val="0"/>
          <w:bCs w:val="0"/>
          <w:sz w:val="20"/>
          <w:szCs w:val="20"/>
        </w:rPr>
        <w:t>level releases</w:t>
      </w:r>
      <w:r w:rsidRPr="00094521">
        <w:rPr>
          <w:b w:val="0"/>
          <w:bCs w:val="0"/>
          <w:sz w:val="20"/>
          <w:szCs w:val="20"/>
        </w:rPr>
        <w:t>, resulting in greater local exposure</w:t>
      </w:r>
      <w:r w:rsidR="000A02EC">
        <w:rPr>
          <w:b w:val="0"/>
          <w:bCs w:val="0"/>
          <w:sz w:val="20"/>
          <w:szCs w:val="20"/>
        </w:rPr>
        <w:t>,</w:t>
      </w:r>
      <w:r w:rsidRPr="00094521">
        <w:rPr>
          <w:b w:val="0"/>
          <w:bCs w:val="0"/>
          <w:sz w:val="20"/>
          <w:szCs w:val="20"/>
        </w:rPr>
        <w:t xml:space="preserve"> and the mixed nature of </w:t>
      </w:r>
      <w:r w:rsidR="000A02EC">
        <w:rPr>
          <w:b w:val="0"/>
          <w:bCs w:val="0"/>
          <w:sz w:val="20"/>
          <w:szCs w:val="20"/>
        </w:rPr>
        <w:t xml:space="preserve">the </w:t>
      </w:r>
      <w:r w:rsidRPr="00094521">
        <w:rPr>
          <w:b w:val="0"/>
          <w:bCs w:val="0"/>
          <w:sz w:val="20"/>
          <w:szCs w:val="20"/>
        </w:rPr>
        <w:t xml:space="preserve">waste results </w:t>
      </w:r>
      <w:r w:rsidR="00AD6DEE">
        <w:rPr>
          <w:b w:val="0"/>
          <w:bCs w:val="0"/>
          <w:sz w:val="20"/>
          <w:szCs w:val="20"/>
        </w:rPr>
        <w:t xml:space="preserve">in the release of </w:t>
      </w:r>
      <w:r w:rsidRPr="00094521">
        <w:rPr>
          <w:b w:val="0"/>
          <w:bCs w:val="0"/>
          <w:sz w:val="20"/>
          <w:szCs w:val="20"/>
        </w:rPr>
        <w:t xml:space="preserve">a range of pollutants with a variety of health effects. Controls on open burning are </w:t>
      </w:r>
      <w:r w:rsidR="00D052EE">
        <w:rPr>
          <w:b w:val="0"/>
          <w:bCs w:val="0"/>
          <w:sz w:val="20"/>
          <w:szCs w:val="20"/>
        </w:rPr>
        <w:t xml:space="preserve">a </w:t>
      </w:r>
      <w:r w:rsidRPr="00094521">
        <w:rPr>
          <w:b w:val="0"/>
          <w:bCs w:val="0"/>
          <w:sz w:val="20"/>
          <w:szCs w:val="20"/>
        </w:rPr>
        <w:t>challeng</w:t>
      </w:r>
      <w:r w:rsidR="00D052EE">
        <w:rPr>
          <w:b w:val="0"/>
          <w:bCs w:val="0"/>
          <w:sz w:val="20"/>
          <w:szCs w:val="20"/>
        </w:rPr>
        <w:t>e</w:t>
      </w:r>
      <w:r w:rsidRPr="00094521">
        <w:rPr>
          <w:b w:val="0"/>
          <w:bCs w:val="0"/>
          <w:sz w:val="20"/>
          <w:szCs w:val="20"/>
        </w:rPr>
        <w:t xml:space="preserve"> to enforce, as </w:t>
      </w:r>
      <w:r w:rsidR="00D052EE">
        <w:rPr>
          <w:b w:val="0"/>
          <w:bCs w:val="0"/>
          <w:sz w:val="20"/>
          <w:szCs w:val="20"/>
        </w:rPr>
        <w:t xml:space="preserve">burning </w:t>
      </w:r>
      <w:r w:rsidRPr="00094521">
        <w:rPr>
          <w:b w:val="0"/>
          <w:bCs w:val="0"/>
          <w:sz w:val="20"/>
          <w:szCs w:val="20"/>
        </w:rPr>
        <w:t>sites are frequently scattered and burning may be intermittent. A range of health effects, including cardiovascular and respiratory effects</w:t>
      </w:r>
      <w:r w:rsidR="003B4C9E">
        <w:rPr>
          <w:b w:val="0"/>
          <w:bCs w:val="0"/>
          <w:sz w:val="20"/>
          <w:szCs w:val="20"/>
        </w:rPr>
        <w:t>,</w:t>
      </w:r>
      <w:r w:rsidRPr="00094521">
        <w:rPr>
          <w:b w:val="0"/>
          <w:bCs w:val="0"/>
          <w:sz w:val="20"/>
          <w:szCs w:val="20"/>
        </w:rPr>
        <w:t xml:space="preserve"> have been associated with exposure to smoke </w:t>
      </w:r>
      <w:r w:rsidR="009E17CD">
        <w:rPr>
          <w:b w:val="0"/>
          <w:bCs w:val="0"/>
          <w:sz w:val="20"/>
          <w:szCs w:val="20"/>
        </w:rPr>
        <w:t xml:space="preserve">emitted </w:t>
      </w:r>
      <w:r w:rsidRPr="00094521">
        <w:rPr>
          <w:b w:val="0"/>
          <w:bCs w:val="0"/>
          <w:sz w:val="20"/>
          <w:szCs w:val="20"/>
        </w:rPr>
        <w:t>from open burning</w:t>
      </w:r>
      <w:r w:rsidR="007C4999">
        <w:rPr>
          <w:b w:val="0"/>
          <w:bCs w:val="0"/>
          <w:sz w:val="20"/>
          <w:szCs w:val="20"/>
        </w:rPr>
        <w:t xml:space="preserve"> (</w:t>
      </w:r>
      <w:proofErr w:type="spellStart"/>
      <w:r w:rsidR="007C4999">
        <w:rPr>
          <w:b w:val="0"/>
          <w:bCs w:val="0"/>
          <w:sz w:val="20"/>
          <w:szCs w:val="20"/>
        </w:rPr>
        <w:t>Mavropoulos</w:t>
      </w:r>
      <w:proofErr w:type="spellEnd"/>
      <w:r w:rsidR="007C4999">
        <w:rPr>
          <w:b w:val="0"/>
          <w:bCs w:val="0"/>
          <w:sz w:val="20"/>
          <w:szCs w:val="20"/>
        </w:rPr>
        <w:t>, 2015)</w:t>
      </w:r>
      <w:r w:rsidR="00CC2F78">
        <w:rPr>
          <w:b w:val="0"/>
          <w:bCs w:val="0"/>
          <w:sz w:val="20"/>
          <w:szCs w:val="20"/>
        </w:rPr>
        <w:t>.</w:t>
      </w:r>
    </w:p>
    <w:p w14:paraId="1C5D57DF" w14:textId="5ABDA8D6" w:rsidR="008A26DF" w:rsidRPr="00094521"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094521">
        <w:rPr>
          <w:b w:val="0"/>
          <w:bCs w:val="0"/>
          <w:sz w:val="20"/>
          <w:szCs w:val="20"/>
        </w:rPr>
        <w:t xml:space="preserve">The elimination of open burning </w:t>
      </w:r>
      <w:r>
        <w:rPr>
          <w:b w:val="0"/>
          <w:bCs w:val="0"/>
          <w:sz w:val="20"/>
          <w:szCs w:val="20"/>
        </w:rPr>
        <w:t>has</w:t>
      </w:r>
      <w:r w:rsidRPr="00094521">
        <w:rPr>
          <w:b w:val="0"/>
          <w:bCs w:val="0"/>
          <w:sz w:val="20"/>
          <w:szCs w:val="20"/>
        </w:rPr>
        <w:t xml:space="preserve"> links to the </w:t>
      </w:r>
      <w:r w:rsidR="0000330B">
        <w:rPr>
          <w:b w:val="0"/>
          <w:bCs w:val="0"/>
          <w:sz w:val="20"/>
          <w:szCs w:val="20"/>
        </w:rPr>
        <w:t>S</w:t>
      </w:r>
      <w:r w:rsidR="0000330B" w:rsidRPr="00094521">
        <w:rPr>
          <w:b w:val="0"/>
          <w:bCs w:val="0"/>
          <w:sz w:val="20"/>
          <w:szCs w:val="20"/>
        </w:rPr>
        <w:t xml:space="preserve">ustainable </w:t>
      </w:r>
      <w:r w:rsidR="0000330B">
        <w:rPr>
          <w:b w:val="0"/>
          <w:bCs w:val="0"/>
          <w:sz w:val="20"/>
          <w:szCs w:val="20"/>
        </w:rPr>
        <w:t>D</w:t>
      </w:r>
      <w:r w:rsidR="0000330B" w:rsidRPr="00094521">
        <w:rPr>
          <w:b w:val="0"/>
          <w:bCs w:val="0"/>
          <w:sz w:val="20"/>
          <w:szCs w:val="20"/>
        </w:rPr>
        <w:t xml:space="preserve">evelopment </w:t>
      </w:r>
      <w:r w:rsidR="0000330B">
        <w:rPr>
          <w:b w:val="0"/>
          <w:bCs w:val="0"/>
          <w:sz w:val="20"/>
          <w:szCs w:val="20"/>
        </w:rPr>
        <w:t>G</w:t>
      </w:r>
      <w:r w:rsidR="0000330B" w:rsidRPr="00094521">
        <w:rPr>
          <w:b w:val="0"/>
          <w:bCs w:val="0"/>
          <w:sz w:val="20"/>
          <w:szCs w:val="20"/>
        </w:rPr>
        <w:t>oals</w:t>
      </w:r>
      <w:r w:rsidRPr="00094521">
        <w:rPr>
          <w:b w:val="0"/>
          <w:bCs w:val="0"/>
          <w:sz w:val="20"/>
          <w:szCs w:val="20"/>
        </w:rPr>
        <w:t xml:space="preserve">. The </w:t>
      </w:r>
      <w:r w:rsidR="00E73C23">
        <w:rPr>
          <w:b w:val="0"/>
          <w:bCs w:val="0"/>
          <w:sz w:val="20"/>
          <w:szCs w:val="20"/>
        </w:rPr>
        <w:t>g</w:t>
      </w:r>
      <w:r w:rsidR="00E73C23" w:rsidRPr="00094521">
        <w:rPr>
          <w:b w:val="0"/>
          <w:bCs w:val="0"/>
          <w:sz w:val="20"/>
          <w:szCs w:val="20"/>
        </w:rPr>
        <w:t xml:space="preserve">lobal </w:t>
      </w:r>
      <w:r w:rsidR="00E73C23">
        <w:rPr>
          <w:b w:val="0"/>
          <w:bCs w:val="0"/>
          <w:sz w:val="20"/>
          <w:szCs w:val="20"/>
        </w:rPr>
        <w:t>w</w:t>
      </w:r>
      <w:r w:rsidR="00E73C23" w:rsidRPr="00094521">
        <w:rPr>
          <w:b w:val="0"/>
          <w:bCs w:val="0"/>
          <w:sz w:val="20"/>
          <w:szCs w:val="20"/>
        </w:rPr>
        <w:t xml:space="preserve">aste </w:t>
      </w:r>
      <w:r w:rsidR="00E73C23">
        <w:rPr>
          <w:b w:val="0"/>
          <w:bCs w:val="0"/>
          <w:sz w:val="20"/>
          <w:szCs w:val="20"/>
        </w:rPr>
        <w:t>m</w:t>
      </w:r>
      <w:r w:rsidR="00E73C23" w:rsidRPr="00094521">
        <w:rPr>
          <w:b w:val="0"/>
          <w:bCs w:val="0"/>
          <w:sz w:val="20"/>
          <w:szCs w:val="20"/>
        </w:rPr>
        <w:t xml:space="preserve">anagement </w:t>
      </w:r>
      <w:r w:rsidR="00E73C23">
        <w:rPr>
          <w:b w:val="0"/>
          <w:bCs w:val="0"/>
          <w:sz w:val="20"/>
          <w:szCs w:val="20"/>
        </w:rPr>
        <w:t>g</w:t>
      </w:r>
      <w:r w:rsidR="00E73C23" w:rsidRPr="00094521">
        <w:rPr>
          <w:b w:val="0"/>
          <w:bCs w:val="0"/>
          <w:sz w:val="20"/>
          <w:szCs w:val="20"/>
        </w:rPr>
        <w:t xml:space="preserve">oals </w:t>
      </w:r>
      <w:r w:rsidR="00E73C23">
        <w:rPr>
          <w:b w:val="0"/>
          <w:bCs w:val="0"/>
          <w:sz w:val="20"/>
          <w:szCs w:val="20"/>
        </w:rPr>
        <w:t xml:space="preserve">embedded in the 2030 Agenda for Sustainable Development </w:t>
      </w:r>
      <w:r w:rsidRPr="00094521">
        <w:rPr>
          <w:b w:val="0"/>
          <w:bCs w:val="0"/>
          <w:sz w:val="20"/>
          <w:szCs w:val="20"/>
        </w:rPr>
        <w:t xml:space="preserve">include the elimination of open burning by 2020, contributing to the achievement of a number of the </w:t>
      </w:r>
      <w:r w:rsidR="00E33F2F">
        <w:rPr>
          <w:b w:val="0"/>
          <w:bCs w:val="0"/>
          <w:sz w:val="20"/>
          <w:szCs w:val="20"/>
        </w:rPr>
        <w:t>Goals</w:t>
      </w:r>
      <w:r w:rsidRPr="00094521">
        <w:rPr>
          <w:b w:val="0"/>
          <w:bCs w:val="0"/>
          <w:sz w:val="20"/>
          <w:szCs w:val="20"/>
        </w:rPr>
        <w:t>.</w:t>
      </w:r>
    </w:p>
    <w:p w14:paraId="4400C6AD" w14:textId="628FEF3A" w:rsidR="008A26DF" w:rsidRPr="00124EA9" w:rsidRDefault="008A26DF" w:rsidP="00124EA9">
      <w:pPr>
        <w:pStyle w:val="CH2"/>
      </w:pPr>
      <w:r w:rsidRPr="00124EA9">
        <w:tab/>
      </w:r>
      <w:r w:rsidR="00124EA9">
        <w:t>B.</w:t>
      </w:r>
      <w:r w:rsidRPr="00124EA9">
        <w:tab/>
        <w:t xml:space="preserve">Estimates of </w:t>
      </w:r>
      <w:r w:rsidR="00BF6D63" w:rsidRPr="00124EA9">
        <w:t xml:space="preserve">the scope of </w:t>
      </w:r>
      <w:r w:rsidRPr="00124EA9">
        <w:t>open burning</w:t>
      </w:r>
    </w:p>
    <w:p w14:paraId="6CD2AB51" w14:textId="2C9550BB" w:rsidR="008A26DF" w:rsidRPr="00983DD7"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983DD7">
        <w:rPr>
          <w:b w:val="0"/>
          <w:bCs w:val="0"/>
          <w:sz w:val="20"/>
          <w:szCs w:val="20"/>
        </w:rPr>
        <w:t xml:space="preserve">In the </w:t>
      </w:r>
      <w:r w:rsidRPr="00043A14">
        <w:rPr>
          <w:b w:val="0"/>
          <w:bCs w:val="0"/>
          <w:i/>
          <w:sz w:val="20"/>
          <w:szCs w:val="20"/>
        </w:rPr>
        <w:t>Global Waste Management Outlook</w:t>
      </w:r>
      <w:r w:rsidRPr="00983DD7">
        <w:rPr>
          <w:b w:val="0"/>
          <w:bCs w:val="0"/>
          <w:sz w:val="20"/>
          <w:szCs w:val="20"/>
        </w:rPr>
        <w:t xml:space="preserve">, published by </w:t>
      </w:r>
      <w:r w:rsidR="00E304A7">
        <w:rPr>
          <w:b w:val="0"/>
          <w:bCs w:val="0"/>
          <w:sz w:val="20"/>
          <w:szCs w:val="20"/>
        </w:rPr>
        <w:t>the United Nations Environment Programme (</w:t>
      </w:r>
      <w:r w:rsidRPr="00983DD7">
        <w:rPr>
          <w:b w:val="0"/>
          <w:bCs w:val="0"/>
          <w:sz w:val="20"/>
          <w:szCs w:val="20"/>
        </w:rPr>
        <w:t>UNEP</w:t>
      </w:r>
      <w:r w:rsidR="00E304A7">
        <w:rPr>
          <w:b w:val="0"/>
          <w:bCs w:val="0"/>
          <w:sz w:val="20"/>
          <w:szCs w:val="20"/>
        </w:rPr>
        <w:t>)</w:t>
      </w:r>
      <w:r w:rsidRPr="00983DD7">
        <w:rPr>
          <w:b w:val="0"/>
          <w:bCs w:val="0"/>
          <w:sz w:val="20"/>
          <w:szCs w:val="20"/>
        </w:rPr>
        <w:t xml:space="preserve"> in 2015, it </w:t>
      </w:r>
      <w:r w:rsidR="006063DF">
        <w:rPr>
          <w:b w:val="0"/>
          <w:bCs w:val="0"/>
          <w:sz w:val="20"/>
          <w:szCs w:val="20"/>
        </w:rPr>
        <w:t>is</w:t>
      </w:r>
      <w:r w:rsidR="006063DF" w:rsidRPr="00983DD7">
        <w:rPr>
          <w:b w:val="0"/>
          <w:bCs w:val="0"/>
          <w:sz w:val="20"/>
          <w:szCs w:val="20"/>
        </w:rPr>
        <w:t xml:space="preserve"> </w:t>
      </w:r>
      <w:r w:rsidRPr="00983DD7">
        <w:rPr>
          <w:b w:val="0"/>
          <w:bCs w:val="0"/>
          <w:sz w:val="20"/>
          <w:szCs w:val="20"/>
        </w:rPr>
        <w:t xml:space="preserve">estimated that uncontrolled disposal of waste </w:t>
      </w:r>
      <w:r w:rsidR="006063DF" w:rsidRPr="00983DD7">
        <w:rPr>
          <w:b w:val="0"/>
          <w:bCs w:val="0"/>
          <w:sz w:val="20"/>
          <w:szCs w:val="20"/>
        </w:rPr>
        <w:t>affect</w:t>
      </w:r>
      <w:r w:rsidR="006063DF">
        <w:rPr>
          <w:b w:val="0"/>
          <w:bCs w:val="0"/>
          <w:sz w:val="20"/>
          <w:szCs w:val="20"/>
        </w:rPr>
        <w:t>s</w:t>
      </w:r>
      <w:r w:rsidR="006063DF" w:rsidRPr="00983DD7">
        <w:rPr>
          <w:b w:val="0"/>
          <w:bCs w:val="0"/>
          <w:sz w:val="20"/>
          <w:szCs w:val="20"/>
        </w:rPr>
        <w:t xml:space="preserve"> </w:t>
      </w:r>
      <w:r w:rsidRPr="00983DD7">
        <w:rPr>
          <w:b w:val="0"/>
          <w:bCs w:val="0"/>
          <w:sz w:val="20"/>
          <w:szCs w:val="20"/>
        </w:rPr>
        <w:t>more than 50</w:t>
      </w:r>
      <w:r w:rsidR="000F4946">
        <w:rPr>
          <w:b w:val="0"/>
          <w:bCs w:val="0"/>
          <w:sz w:val="20"/>
          <w:szCs w:val="20"/>
        </w:rPr>
        <w:t> </w:t>
      </w:r>
      <w:r w:rsidR="00BF6D63">
        <w:rPr>
          <w:b w:val="0"/>
          <w:bCs w:val="0"/>
          <w:sz w:val="20"/>
          <w:szCs w:val="20"/>
        </w:rPr>
        <w:t>per cent</w:t>
      </w:r>
      <w:r w:rsidR="00BF6D63" w:rsidRPr="00983DD7">
        <w:rPr>
          <w:b w:val="0"/>
          <w:bCs w:val="0"/>
          <w:sz w:val="20"/>
          <w:szCs w:val="20"/>
        </w:rPr>
        <w:t xml:space="preserve"> </w:t>
      </w:r>
      <w:r w:rsidRPr="00983DD7">
        <w:rPr>
          <w:b w:val="0"/>
          <w:bCs w:val="0"/>
          <w:sz w:val="20"/>
          <w:szCs w:val="20"/>
        </w:rPr>
        <w:t>of the population in low-income countries, with the rate rising to almost 100</w:t>
      </w:r>
      <w:r w:rsidR="00BF6D63">
        <w:rPr>
          <w:b w:val="0"/>
          <w:bCs w:val="0"/>
          <w:sz w:val="20"/>
          <w:szCs w:val="20"/>
        </w:rPr>
        <w:t xml:space="preserve"> per cent</w:t>
      </w:r>
      <w:r w:rsidR="00BF6D63" w:rsidRPr="00983DD7">
        <w:rPr>
          <w:b w:val="0"/>
          <w:bCs w:val="0"/>
          <w:sz w:val="20"/>
          <w:szCs w:val="20"/>
        </w:rPr>
        <w:t xml:space="preserve"> </w:t>
      </w:r>
      <w:r w:rsidRPr="00983DD7">
        <w:rPr>
          <w:b w:val="0"/>
          <w:bCs w:val="0"/>
          <w:sz w:val="20"/>
          <w:szCs w:val="20"/>
        </w:rPr>
        <w:t xml:space="preserve">in rural areas in </w:t>
      </w:r>
      <w:r w:rsidR="00BF6D63" w:rsidRPr="00983DD7">
        <w:rPr>
          <w:b w:val="0"/>
          <w:bCs w:val="0"/>
          <w:sz w:val="20"/>
          <w:szCs w:val="20"/>
        </w:rPr>
        <w:t>th</w:t>
      </w:r>
      <w:r w:rsidR="00BF6D63">
        <w:rPr>
          <w:b w:val="0"/>
          <w:bCs w:val="0"/>
          <w:sz w:val="20"/>
          <w:szCs w:val="20"/>
        </w:rPr>
        <w:t>o</w:t>
      </w:r>
      <w:r w:rsidR="00BF6D63" w:rsidRPr="00983DD7">
        <w:rPr>
          <w:b w:val="0"/>
          <w:bCs w:val="0"/>
          <w:sz w:val="20"/>
          <w:szCs w:val="20"/>
        </w:rPr>
        <w:t xml:space="preserve">se </w:t>
      </w:r>
      <w:r w:rsidRPr="00983DD7">
        <w:rPr>
          <w:b w:val="0"/>
          <w:bCs w:val="0"/>
          <w:sz w:val="20"/>
          <w:szCs w:val="20"/>
        </w:rPr>
        <w:t>countries. The report estimate</w:t>
      </w:r>
      <w:r w:rsidR="006063DF">
        <w:rPr>
          <w:b w:val="0"/>
          <w:bCs w:val="0"/>
          <w:sz w:val="20"/>
          <w:szCs w:val="20"/>
        </w:rPr>
        <w:t>s</w:t>
      </w:r>
      <w:r w:rsidRPr="00983DD7">
        <w:rPr>
          <w:b w:val="0"/>
          <w:bCs w:val="0"/>
          <w:sz w:val="20"/>
          <w:szCs w:val="20"/>
        </w:rPr>
        <w:t xml:space="preserve"> that at least 3 billion people worldwide still lack access to controlled waste disposal facilities, with much of the waste disposal being </w:t>
      </w:r>
      <w:r w:rsidR="004E5A2B">
        <w:rPr>
          <w:b w:val="0"/>
          <w:bCs w:val="0"/>
          <w:sz w:val="20"/>
          <w:szCs w:val="20"/>
        </w:rPr>
        <w:t xml:space="preserve">carried out in </w:t>
      </w:r>
      <w:r w:rsidRPr="00983DD7">
        <w:rPr>
          <w:b w:val="0"/>
          <w:bCs w:val="0"/>
          <w:sz w:val="20"/>
          <w:szCs w:val="20"/>
        </w:rPr>
        <w:t xml:space="preserve">uncontrolled dumpsites </w:t>
      </w:r>
      <w:r w:rsidR="004E5A2B">
        <w:rPr>
          <w:b w:val="0"/>
          <w:bCs w:val="0"/>
          <w:sz w:val="20"/>
          <w:szCs w:val="20"/>
        </w:rPr>
        <w:t xml:space="preserve">by means of </w:t>
      </w:r>
      <w:r w:rsidRPr="00983DD7">
        <w:rPr>
          <w:b w:val="0"/>
          <w:bCs w:val="0"/>
          <w:sz w:val="20"/>
          <w:szCs w:val="20"/>
        </w:rPr>
        <w:t>open burning.</w:t>
      </w:r>
    </w:p>
    <w:p w14:paraId="690345C6" w14:textId="46D9664D" w:rsidR="008A26DF" w:rsidRPr="00124EA9" w:rsidRDefault="008A26DF" w:rsidP="00124EA9">
      <w:pPr>
        <w:pStyle w:val="CH2"/>
      </w:pPr>
      <w:r w:rsidRPr="00124EA9">
        <w:tab/>
      </w:r>
      <w:r w:rsidR="00124EA9">
        <w:t>C.</w:t>
      </w:r>
      <w:r w:rsidRPr="00124EA9">
        <w:tab/>
        <w:t>Estimates of mercury emissions from open burning of waste</w:t>
      </w:r>
    </w:p>
    <w:p w14:paraId="3D98A6CE" w14:textId="42E7FF67" w:rsidR="008A26DF" w:rsidRPr="00094521"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094521">
        <w:rPr>
          <w:b w:val="0"/>
          <w:bCs w:val="0"/>
          <w:sz w:val="20"/>
          <w:szCs w:val="20"/>
        </w:rPr>
        <w:t xml:space="preserve">The </w:t>
      </w:r>
      <w:r w:rsidR="00AD5D6B">
        <w:rPr>
          <w:b w:val="0"/>
          <w:bCs w:val="0"/>
          <w:sz w:val="20"/>
          <w:szCs w:val="20"/>
        </w:rPr>
        <w:t xml:space="preserve">UNEP </w:t>
      </w:r>
      <w:r w:rsidRPr="00043A14">
        <w:rPr>
          <w:b w:val="0"/>
          <w:bCs w:val="0"/>
          <w:i/>
          <w:sz w:val="20"/>
          <w:szCs w:val="20"/>
        </w:rPr>
        <w:t>Global Mercury Assessment 2013</w:t>
      </w:r>
      <w:r w:rsidRPr="00094521">
        <w:rPr>
          <w:b w:val="0"/>
          <w:bCs w:val="0"/>
          <w:sz w:val="20"/>
          <w:szCs w:val="20"/>
        </w:rPr>
        <w:t xml:space="preserve"> note</w:t>
      </w:r>
      <w:r w:rsidR="006063DF">
        <w:rPr>
          <w:b w:val="0"/>
          <w:bCs w:val="0"/>
          <w:sz w:val="20"/>
          <w:szCs w:val="20"/>
        </w:rPr>
        <w:t>s</w:t>
      </w:r>
      <w:r w:rsidRPr="00094521">
        <w:rPr>
          <w:b w:val="0"/>
          <w:bCs w:val="0"/>
          <w:sz w:val="20"/>
          <w:szCs w:val="20"/>
        </w:rPr>
        <w:t xml:space="preserve"> that the share of </w:t>
      </w:r>
      <w:r>
        <w:rPr>
          <w:b w:val="0"/>
          <w:bCs w:val="0"/>
          <w:sz w:val="20"/>
          <w:szCs w:val="20"/>
        </w:rPr>
        <w:t>mercury</w:t>
      </w:r>
      <w:r w:rsidRPr="00094521">
        <w:rPr>
          <w:b w:val="0"/>
          <w:bCs w:val="0"/>
          <w:sz w:val="20"/>
          <w:szCs w:val="20"/>
        </w:rPr>
        <w:t xml:space="preserve"> in products entering the waste stream </w:t>
      </w:r>
      <w:r w:rsidR="006063DF">
        <w:rPr>
          <w:b w:val="0"/>
          <w:bCs w:val="0"/>
          <w:sz w:val="20"/>
          <w:szCs w:val="20"/>
        </w:rPr>
        <w:t>is</w:t>
      </w:r>
      <w:r w:rsidR="006063DF" w:rsidRPr="00094521">
        <w:rPr>
          <w:b w:val="0"/>
          <w:bCs w:val="0"/>
          <w:sz w:val="20"/>
          <w:szCs w:val="20"/>
        </w:rPr>
        <w:t xml:space="preserve"> </w:t>
      </w:r>
      <w:r w:rsidRPr="00094521">
        <w:rPr>
          <w:b w:val="0"/>
          <w:bCs w:val="0"/>
          <w:sz w:val="20"/>
          <w:szCs w:val="20"/>
        </w:rPr>
        <w:t xml:space="preserve">distributed among recycling, incineration and landfill </w:t>
      </w:r>
      <w:r w:rsidR="00BC419C">
        <w:rPr>
          <w:b w:val="0"/>
          <w:bCs w:val="0"/>
          <w:sz w:val="20"/>
          <w:szCs w:val="20"/>
        </w:rPr>
        <w:t xml:space="preserve">activities </w:t>
      </w:r>
      <w:r w:rsidRPr="00094521">
        <w:rPr>
          <w:b w:val="0"/>
          <w:bCs w:val="0"/>
          <w:sz w:val="20"/>
          <w:szCs w:val="20"/>
        </w:rPr>
        <w:t>(</w:t>
      </w:r>
      <w:r w:rsidR="001E4347">
        <w:rPr>
          <w:b w:val="0"/>
          <w:bCs w:val="0"/>
          <w:sz w:val="20"/>
          <w:szCs w:val="20"/>
        </w:rPr>
        <w:t>the</w:t>
      </w:r>
      <w:r w:rsidR="00160554">
        <w:rPr>
          <w:b w:val="0"/>
          <w:bCs w:val="0"/>
          <w:sz w:val="20"/>
          <w:szCs w:val="20"/>
        </w:rPr>
        <w:t> </w:t>
      </w:r>
      <w:r w:rsidR="001E4347">
        <w:rPr>
          <w:b w:val="0"/>
          <w:bCs w:val="0"/>
          <w:sz w:val="20"/>
          <w:szCs w:val="20"/>
        </w:rPr>
        <w:t xml:space="preserve">latter of </w:t>
      </w:r>
      <w:r w:rsidRPr="00094521">
        <w:rPr>
          <w:b w:val="0"/>
          <w:bCs w:val="0"/>
          <w:sz w:val="20"/>
          <w:szCs w:val="20"/>
        </w:rPr>
        <w:t xml:space="preserve">which may result in </w:t>
      </w:r>
      <w:r w:rsidR="006B33F3">
        <w:rPr>
          <w:b w:val="0"/>
          <w:bCs w:val="0"/>
          <w:sz w:val="20"/>
          <w:szCs w:val="20"/>
        </w:rPr>
        <w:t>subsequent</w:t>
      </w:r>
      <w:r w:rsidR="006B33F3" w:rsidRPr="00094521">
        <w:rPr>
          <w:b w:val="0"/>
          <w:bCs w:val="0"/>
          <w:sz w:val="20"/>
          <w:szCs w:val="20"/>
        </w:rPr>
        <w:t xml:space="preserve"> </w:t>
      </w:r>
      <w:r w:rsidRPr="00094521">
        <w:rPr>
          <w:b w:val="0"/>
          <w:bCs w:val="0"/>
          <w:sz w:val="20"/>
          <w:szCs w:val="20"/>
        </w:rPr>
        <w:t xml:space="preserve">releases of mercury, depending on the controls </w:t>
      </w:r>
      <w:r w:rsidR="00A61199">
        <w:rPr>
          <w:b w:val="0"/>
          <w:bCs w:val="0"/>
          <w:sz w:val="20"/>
          <w:szCs w:val="20"/>
        </w:rPr>
        <w:t xml:space="preserve">in place at </w:t>
      </w:r>
      <w:r w:rsidRPr="00094521">
        <w:rPr>
          <w:b w:val="0"/>
          <w:bCs w:val="0"/>
          <w:sz w:val="20"/>
          <w:szCs w:val="20"/>
        </w:rPr>
        <w:t>the relevant landfill</w:t>
      </w:r>
      <w:r w:rsidR="006B33F3">
        <w:rPr>
          <w:b w:val="0"/>
          <w:bCs w:val="0"/>
          <w:sz w:val="20"/>
          <w:szCs w:val="20"/>
        </w:rPr>
        <w:t>)</w:t>
      </w:r>
      <w:r w:rsidRPr="00094521">
        <w:rPr>
          <w:b w:val="0"/>
          <w:bCs w:val="0"/>
          <w:sz w:val="20"/>
          <w:szCs w:val="20"/>
        </w:rPr>
        <w:t xml:space="preserve">. The waste </w:t>
      </w:r>
      <w:r w:rsidR="005B7F60">
        <w:rPr>
          <w:b w:val="0"/>
          <w:bCs w:val="0"/>
          <w:sz w:val="20"/>
          <w:szCs w:val="20"/>
        </w:rPr>
        <w:t>could</w:t>
      </w:r>
      <w:r w:rsidR="005B7F60" w:rsidRPr="00094521">
        <w:rPr>
          <w:b w:val="0"/>
          <w:bCs w:val="0"/>
          <w:sz w:val="20"/>
          <w:szCs w:val="20"/>
        </w:rPr>
        <w:t xml:space="preserve"> </w:t>
      </w:r>
      <w:r w:rsidRPr="00094521">
        <w:rPr>
          <w:b w:val="0"/>
          <w:bCs w:val="0"/>
          <w:sz w:val="20"/>
          <w:szCs w:val="20"/>
        </w:rPr>
        <w:t>be further divided into controlled and uncontrolled waste</w:t>
      </w:r>
      <w:r w:rsidR="00416DCF">
        <w:rPr>
          <w:b w:val="0"/>
          <w:bCs w:val="0"/>
          <w:sz w:val="20"/>
          <w:szCs w:val="20"/>
        </w:rPr>
        <w:t>,</w:t>
      </w:r>
      <w:r w:rsidRPr="00094521">
        <w:rPr>
          <w:b w:val="0"/>
          <w:bCs w:val="0"/>
          <w:sz w:val="20"/>
          <w:szCs w:val="20"/>
        </w:rPr>
        <w:t xml:space="preserve"> </w:t>
      </w:r>
      <w:r w:rsidR="00416DCF">
        <w:rPr>
          <w:b w:val="0"/>
          <w:bCs w:val="0"/>
          <w:sz w:val="20"/>
          <w:szCs w:val="20"/>
        </w:rPr>
        <w:t>in the case of</w:t>
      </w:r>
      <w:r w:rsidR="00416DCF" w:rsidRPr="00094521">
        <w:rPr>
          <w:b w:val="0"/>
          <w:bCs w:val="0"/>
          <w:sz w:val="20"/>
          <w:szCs w:val="20"/>
        </w:rPr>
        <w:t xml:space="preserve"> </w:t>
      </w:r>
      <w:r w:rsidRPr="00094521">
        <w:rPr>
          <w:b w:val="0"/>
          <w:bCs w:val="0"/>
          <w:sz w:val="20"/>
          <w:szCs w:val="20"/>
        </w:rPr>
        <w:t>both incineration and landfill</w:t>
      </w:r>
      <w:r w:rsidR="00416DCF">
        <w:rPr>
          <w:b w:val="0"/>
          <w:bCs w:val="0"/>
          <w:sz w:val="20"/>
          <w:szCs w:val="20"/>
        </w:rPr>
        <w:t xml:space="preserve"> activities</w:t>
      </w:r>
      <w:r w:rsidRPr="00094521">
        <w:rPr>
          <w:b w:val="0"/>
          <w:bCs w:val="0"/>
          <w:sz w:val="20"/>
          <w:szCs w:val="20"/>
        </w:rPr>
        <w:t xml:space="preserve">. In the assessment, modelling was done to estimate the </w:t>
      </w:r>
      <w:r w:rsidRPr="00F97E99">
        <w:rPr>
          <w:b w:val="0"/>
          <w:bCs w:val="0"/>
          <w:sz w:val="20"/>
          <w:szCs w:val="20"/>
        </w:rPr>
        <w:t xml:space="preserve">mercury emissions </w:t>
      </w:r>
      <w:r w:rsidR="00900007" w:rsidRPr="00160554">
        <w:rPr>
          <w:b w:val="0"/>
          <w:bCs w:val="0"/>
          <w:sz w:val="20"/>
          <w:szCs w:val="20"/>
        </w:rPr>
        <w:t xml:space="preserve">resulting </w:t>
      </w:r>
      <w:r w:rsidRPr="00F97E99">
        <w:rPr>
          <w:b w:val="0"/>
          <w:bCs w:val="0"/>
          <w:sz w:val="20"/>
          <w:szCs w:val="20"/>
        </w:rPr>
        <w:t>from</w:t>
      </w:r>
      <w:r w:rsidRPr="00094521">
        <w:rPr>
          <w:b w:val="0"/>
          <w:bCs w:val="0"/>
          <w:sz w:val="20"/>
          <w:szCs w:val="20"/>
        </w:rPr>
        <w:t xml:space="preserve"> different waste management practices in different countries, based on estimate</w:t>
      </w:r>
      <w:r w:rsidR="00E80AA2">
        <w:rPr>
          <w:b w:val="0"/>
          <w:bCs w:val="0"/>
          <w:sz w:val="20"/>
          <w:szCs w:val="20"/>
        </w:rPr>
        <w:t>s</w:t>
      </w:r>
      <w:r w:rsidRPr="00094521">
        <w:rPr>
          <w:b w:val="0"/>
          <w:bCs w:val="0"/>
          <w:sz w:val="20"/>
          <w:szCs w:val="20"/>
        </w:rPr>
        <w:t xml:space="preserve"> of the level of development. </w:t>
      </w:r>
      <w:r w:rsidR="00AD5EDF" w:rsidRPr="00094521">
        <w:rPr>
          <w:b w:val="0"/>
          <w:bCs w:val="0"/>
          <w:sz w:val="20"/>
          <w:szCs w:val="20"/>
        </w:rPr>
        <w:t>Th</w:t>
      </w:r>
      <w:r w:rsidR="00AD5EDF">
        <w:rPr>
          <w:b w:val="0"/>
          <w:bCs w:val="0"/>
          <w:sz w:val="20"/>
          <w:szCs w:val="20"/>
        </w:rPr>
        <w:t>e</w:t>
      </w:r>
      <w:r w:rsidR="00AD5EDF" w:rsidRPr="00094521">
        <w:rPr>
          <w:b w:val="0"/>
          <w:bCs w:val="0"/>
          <w:sz w:val="20"/>
          <w:szCs w:val="20"/>
        </w:rPr>
        <w:t xml:space="preserve"> </w:t>
      </w:r>
      <w:r w:rsidR="00E80AA2">
        <w:rPr>
          <w:b w:val="0"/>
          <w:bCs w:val="0"/>
          <w:sz w:val="20"/>
          <w:szCs w:val="20"/>
        </w:rPr>
        <w:t xml:space="preserve">assessment </w:t>
      </w:r>
      <w:r w:rsidRPr="00094521">
        <w:rPr>
          <w:b w:val="0"/>
          <w:bCs w:val="0"/>
          <w:sz w:val="20"/>
          <w:szCs w:val="20"/>
        </w:rPr>
        <w:t xml:space="preserve">methodology </w:t>
      </w:r>
      <w:r w:rsidR="00AD5EDF">
        <w:rPr>
          <w:b w:val="0"/>
          <w:bCs w:val="0"/>
          <w:sz w:val="20"/>
          <w:szCs w:val="20"/>
        </w:rPr>
        <w:t>include</w:t>
      </w:r>
      <w:r w:rsidR="006063DF">
        <w:rPr>
          <w:b w:val="0"/>
          <w:bCs w:val="0"/>
          <w:sz w:val="20"/>
          <w:szCs w:val="20"/>
        </w:rPr>
        <w:t>s</w:t>
      </w:r>
      <w:r w:rsidR="00AD5EDF">
        <w:rPr>
          <w:b w:val="0"/>
          <w:bCs w:val="0"/>
          <w:sz w:val="20"/>
          <w:szCs w:val="20"/>
        </w:rPr>
        <w:t xml:space="preserve"> </w:t>
      </w:r>
      <w:r w:rsidRPr="00094521">
        <w:rPr>
          <w:b w:val="0"/>
          <w:bCs w:val="0"/>
          <w:sz w:val="20"/>
          <w:szCs w:val="20"/>
        </w:rPr>
        <w:t>some assumptions about the waste management practices</w:t>
      </w:r>
      <w:r w:rsidR="00F3314C">
        <w:rPr>
          <w:b w:val="0"/>
          <w:bCs w:val="0"/>
          <w:sz w:val="20"/>
          <w:szCs w:val="20"/>
        </w:rPr>
        <w:t xml:space="preserve">, </w:t>
      </w:r>
      <w:r w:rsidRPr="00094521">
        <w:rPr>
          <w:b w:val="0"/>
          <w:bCs w:val="0"/>
          <w:sz w:val="20"/>
          <w:szCs w:val="20"/>
        </w:rPr>
        <w:t xml:space="preserve">and the accuracy of </w:t>
      </w:r>
      <w:r w:rsidR="00AD5EDF">
        <w:rPr>
          <w:b w:val="0"/>
          <w:bCs w:val="0"/>
          <w:sz w:val="20"/>
          <w:szCs w:val="20"/>
        </w:rPr>
        <w:t xml:space="preserve">the </w:t>
      </w:r>
      <w:r w:rsidRPr="00094521">
        <w:rPr>
          <w:b w:val="0"/>
          <w:bCs w:val="0"/>
          <w:sz w:val="20"/>
          <w:szCs w:val="20"/>
        </w:rPr>
        <w:t xml:space="preserve">estimates </w:t>
      </w:r>
      <w:r w:rsidR="00AD5EDF">
        <w:rPr>
          <w:b w:val="0"/>
          <w:bCs w:val="0"/>
          <w:sz w:val="20"/>
          <w:szCs w:val="20"/>
        </w:rPr>
        <w:t xml:space="preserve">is expected </w:t>
      </w:r>
      <w:r w:rsidRPr="00094521">
        <w:rPr>
          <w:b w:val="0"/>
          <w:bCs w:val="0"/>
          <w:sz w:val="20"/>
          <w:szCs w:val="20"/>
        </w:rPr>
        <w:t xml:space="preserve">to improve with </w:t>
      </w:r>
      <w:r w:rsidR="004547AA">
        <w:rPr>
          <w:b w:val="0"/>
          <w:bCs w:val="0"/>
          <w:sz w:val="20"/>
          <w:szCs w:val="20"/>
        </w:rPr>
        <w:t xml:space="preserve">the collection of </w:t>
      </w:r>
      <w:r w:rsidRPr="00094521">
        <w:rPr>
          <w:b w:val="0"/>
          <w:bCs w:val="0"/>
          <w:sz w:val="20"/>
          <w:szCs w:val="20"/>
        </w:rPr>
        <w:t>additional data.</w:t>
      </w:r>
    </w:p>
    <w:p w14:paraId="2443F991" w14:textId="28BF1A84" w:rsidR="008A26DF" w:rsidRPr="00983DD7" w:rsidRDefault="001F5A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Pr>
          <w:b w:val="0"/>
          <w:bCs w:val="0"/>
          <w:sz w:val="20"/>
          <w:szCs w:val="20"/>
        </w:rPr>
        <w:t>A</w:t>
      </w:r>
      <w:r w:rsidRPr="00983DD7">
        <w:rPr>
          <w:b w:val="0"/>
          <w:bCs w:val="0"/>
          <w:sz w:val="20"/>
          <w:szCs w:val="20"/>
        </w:rPr>
        <w:t xml:space="preserve"> similar methodology</w:t>
      </w:r>
      <w:r>
        <w:rPr>
          <w:b w:val="0"/>
          <w:bCs w:val="0"/>
          <w:sz w:val="20"/>
          <w:szCs w:val="20"/>
        </w:rPr>
        <w:t>,</w:t>
      </w:r>
      <w:r w:rsidRPr="00983DD7">
        <w:rPr>
          <w:b w:val="0"/>
          <w:bCs w:val="0"/>
          <w:sz w:val="20"/>
          <w:szCs w:val="20"/>
        </w:rPr>
        <w:t xml:space="preserve"> </w:t>
      </w:r>
      <w:r>
        <w:rPr>
          <w:b w:val="0"/>
          <w:bCs w:val="0"/>
          <w:sz w:val="20"/>
          <w:szCs w:val="20"/>
        </w:rPr>
        <w:t xml:space="preserve">presented in </w:t>
      </w:r>
      <w:r w:rsidR="008A26DF" w:rsidRPr="00983DD7">
        <w:rPr>
          <w:b w:val="0"/>
          <w:bCs w:val="0"/>
          <w:sz w:val="20"/>
          <w:szCs w:val="20"/>
        </w:rPr>
        <w:t xml:space="preserve">the UNEP </w:t>
      </w:r>
      <w:r w:rsidR="009C5C08" w:rsidRPr="009C5C08">
        <w:rPr>
          <w:b w:val="0"/>
          <w:bCs w:val="0"/>
          <w:sz w:val="20"/>
          <w:szCs w:val="20"/>
        </w:rPr>
        <w:t xml:space="preserve">Toolkit for </w:t>
      </w:r>
      <w:r w:rsidR="009C5C08">
        <w:rPr>
          <w:b w:val="0"/>
          <w:bCs w:val="0"/>
          <w:sz w:val="20"/>
          <w:szCs w:val="20"/>
        </w:rPr>
        <w:t>I</w:t>
      </w:r>
      <w:r w:rsidR="009C5C08" w:rsidRPr="009C5C08">
        <w:rPr>
          <w:b w:val="0"/>
          <w:bCs w:val="0"/>
          <w:sz w:val="20"/>
          <w:szCs w:val="20"/>
        </w:rPr>
        <w:t xml:space="preserve">dentification and </w:t>
      </w:r>
      <w:r w:rsidR="009C5C08">
        <w:rPr>
          <w:b w:val="0"/>
          <w:bCs w:val="0"/>
          <w:sz w:val="20"/>
          <w:szCs w:val="20"/>
        </w:rPr>
        <w:t>Q</w:t>
      </w:r>
      <w:r w:rsidR="009C5C08" w:rsidRPr="009C5C08">
        <w:rPr>
          <w:b w:val="0"/>
          <w:bCs w:val="0"/>
          <w:sz w:val="20"/>
          <w:szCs w:val="20"/>
        </w:rPr>
        <w:t xml:space="preserve">uantification of </w:t>
      </w:r>
      <w:r w:rsidR="009C5C08">
        <w:rPr>
          <w:b w:val="0"/>
          <w:bCs w:val="0"/>
          <w:sz w:val="20"/>
          <w:szCs w:val="20"/>
        </w:rPr>
        <w:t>M</w:t>
      </w:r>
      <w:r w:rsidR="009C5C08" w:rsidRPr="009C5C08">
        <w:rPr>
          <w:b w:val="0"/>
          <w:bCs w:val="0"/>
          <w:sz w:val="20"/>
          <w:szCs w:val="20"/>
        </w:rPr>
        <w:t xml:space="preserve">ercury </w:t>
      </w:r>
      <w:r w:rsidR="009C5C08">
        <w:rPr>
          <w:b w:val="0"/>
          <w:bCs w:val="0"/>
          <w:sz w:val="20"/>
          <w:szCs w:val="20"/>
        </w:rPr>
        <w:t>R</w:t>
      </w:r>
      <w:r w:rsidR="009C5C08" w:rsidRPr="009C5C08">
        <w:rPr>
          <w:b w:val="0"/>
          <w:bCs w:val="0"/>
          <w:sz w:val="20"/>
          <w:szCs w:val="20"/>
        </w:rPr>
        <w:t>eleases</w:t>
      </w:r>
      <w:r>
        <w:rPr>
          <w:b w:val="0"/>
          <w:bCs w:val="0"/>
          <w:sz w:val="20"/>
          <w:szCs w:val="20"/>
        </w:rPr>
        <w:t>,</w:t>
      </w:r>
      <w:r w:rsidR="008A26DF" w:rsidRPr="00983DD7">
        <w:rPr>
          <w:b w:val="0"/>
          <w:bCs w:val="0"/>
          <w:sz w:val="20"/>
          <w:szCs w:val="20"/>
        </w:rPr>
        <w:t xml:space="preserve"> can be used to estimate the amount of mercury emitted from </w:t>
      </w:r>
      <w:r w:rsidR="000A11E0">
        <w:rPr>
          <w:b w:val="0"/>
          <w:bCs w:val="0"/>
          <w:sz w:val="20"/>
          <w:szCs w:val="20"/>
        </w:rPr>
        <w:t>the</w:t>
      </w:r>
      <w:r w:rsidR="000A11E0" w:rsidRPr="00983DD7">
        <w:rPr>
          <w:b w:val="0"/>
          <w:bCs w:val="0"/>
          <w:sz w:val="20"/>
          <w:szCs w:val="20"/>
        </w:rPr>
        <w:t xml:space="preserve"> </w:t>
      </w:r>
      <w:r w:rsidR="008A26DF" w:rsidRPr="00983DD7">
        <w:rPr>
          <w:b w:val="0"/>
          <w:bCs w:val="0"/>
          <w:sz w:val="20"/>
          <w:szCs w:val="20"/>
        </w:rPr>
        <w:t xml:space="preserve">burning of waste, with factors used to estimate the amount of controlled versus uncontrolled burning at the national level. The </w:t>
      </w:r>
      <w:r w:rsidR="000D28B0">
        <w:rPr>
          <w:b w:val="0"/>
          <w:bCs w:val="0"/>
          <w:sz w:val="20"/>
          <w:szCs w:val="20"/>
        </w:rPr>
        <w:t xml:space="preserve">resulting </w:t>
      </w:r>
      <w:r w:rsidR="008A26DF" w:rsidRPr="00983DD7">
        <w:rPr>
          <w:b w:val="0"/>
          <w:bCs w:val="0"/>
          <w:sz w:val="20"/>
          <w:szCs w:val="20"/>
        </w:rPr>
        <w:t xml:space="preserve">estimates </w:t>
      </w:r>
      <w:r w:rsidR="00041A09">
        <w:rPr>
          <w:b w:val="0"/>
          <w:bCs w:val="0"/>
          <w:sz w:val="20"/>
          <w:szCs w:val="20"/>
        </w:rPr>
        <w:t>may</w:t>
      </w:r>
      <w:r w:rsidR="000D28B0">
        <w:rPr>
          <w:b w:val="0"/>
          <w:bCs w:val="0"/>
          <w:sz w:val="20"/>
          <w:szCs w:val="20"/>
        </w:rPr>
        <w:t xml:space="preserve"> </w:t>
      </w:r>
      <w:r w:rsidR="008A26DF" w:rsidRPr="00983DD7">
        <w:rPr>
          <w:b w:val="0"/>
          <w:bCs w:val="0"/>
          <w:sz w:val="20"/>
          <w:szCs w:val="20"/>
        </w:rPr>
        <w:t xml:space="preserve">be further refined by </w:t>
      </w:r>
      <w:r w:rsidR="000D28B0">
        <w:rPr>
          <w:b w:val="0"/>
          <w:bCs w:val="0"/>
          <w:sz w:val="20"/>
          <w:szCs w:val="20"/>
        </w:rPr>
        <w:t xml:space="preserve">factoring in </w:t>
      </w:r>
      <w:r w:rsidR="008A26DF" w:rsidRPr="00F97E99">
        <w:rPr>
          <w:b w:val="0"/>
          <w:bCs w:val="0"/>
          <w:sz w:val="20"/>
          <w:szCs w:val="20"/>
        </w:rPr>
        <w:t>additional national</w:t>
      </w:r>
      <w:r w:rsidR="008A26DF" w:rsidRPr="00983DD7">
        <w:rPr>
          <w:b w:val="0"/>
          <w:bCs w:val="0"/>
          <w:sz w:val="20"/>
          <w:szCs w:val="20"/>
        </w:rPr>
        <w:t xml:space="preserve"> information. As countries develop inventories of mercury emissions and releases as part of their implementation of the </w:t>
      </w:r>
      <w:r w:rsidR="00EE0943">
        <w:rPr>
          <w:b w:val="0"/>
          <w:bCs w:val="0"/>
          <w:sz w:val="20"/>
          <w:szCs w:val="20"/>
        </w:rPr>
        <w:t>Min</w:t>
      </w:r>
      <w:r w:rsidR="008110CF">
        <w:rPr>
          <w:b w:val="0"/>
          <w:bCs w:val="0"/>
          <w:sz w:val="20"/>
          <w:szCs w:val="20"/>
        </w:rPr>
        <w:t>a</w:t>
      </w:r>
      <w:r w:rsidR="00EE0943">
        <w:rPr>
          <w:b w:val="0"/>
          <w:bCs w:val="0"/>
          <w:sz w:val="20"/>
          <w:szCs w:val="20"/>
        </w:rPr>
        <w:t xml:space="preserve">mata </w:t>
      </w:r>
      <w:r w:rsidR="008A26DF" w:rsidRPr="00983DD7">
        <w:rPr>
          <w:b w:val="0"/>
          <w:bCs w:val="0"/>
          <w:sz w:val="20"/>
          <w:szCs w:val="20"/>
        </w:rPr>
        <w:t xml:space="preserve">Convention, </w:t>
      </w:r>
      <w:r w:rsidR="00EA71B4">
        <w:rPr>
          <w:b w:val="0"/>
          <w:bCs w:val="0"/>
          <w:sz w:val="20"/>
          <w:szCs w:val="20"/>
        </w:rPr>
        <w:t xml:space="preserve">it will be possible to </w:t>
      </w:r>
      <w:r w:rsidR="008A26DF" w:rsidRPr="00983DD7">
        <w:rPr>
          <w:b w:val="0"/>
          <w:bCs w:val="0"/>
          <w:sz w:val="20"/>
          <w:szCs w:val="20"/>
        </w:rPr>
        <w:t>collect</w:t>
      </w:r>
      <w:r w:rsidR="00EA71B4">
        <w:rPr>
          <w:b w:val="0"/>
          <w:bCs w:val="0"/>
          <w:sz w:val="20"/>
          <w:szCs w:val="20"/>
        </w:rPr>
        <w:t xml:space="preserve"> more information,</w:t>
      </w:r>
      <w:r w:rsidR="008A26DF" w:rsidRPr="00983DD7">
        <w:rPr>
          <w:b w:val="0"/>
          <w:bCs w:val="0"/>
          <w:sz w:val="20"/>
          <w:szCs w:val="20"/>
        </w:rPr>
        <w:t xml:space="preserve"> and a more accurate picture of the extent of mercury emissions will be feasible. </w:t>
      </w:r>
    </w:p>
    <w:p w14:paraId="5EC9E326" w14:textId="1D3676D6" w:rsidR="008A26DF" w:rsidRPr="00124EA9" w:rsidRDefault="008A26DF" w:rsidP="00124EA9">
      <w:pPr>
        <w:pStyle w:val="CH2"/>
      </w:pPr>
      <w:r w:rsidRPr="00124EA9">
        <w:tab/>
      </w:r>
      <w:r w:rsidR="00124EA9">
        <w:t>D.</w:t>
      </w:r>
      <w:r w:rsidRPr="00124EA9">
        <w:tab/>
        <w:t>Information compiled from submissions from countries on open burning of waste</w:t>
      </w:r>
    </w:p>
    <w:p w14:paraId="47B739A8" w14:textId="69B40E43" w:rsidR="008110CF" w:rsidRPr="00094521" w:rsidRDefault="008A26DF" w:rsidP="0016055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094521">
        <w:rPr>
          <w:b w:val="0"/>
          <w:bCs w:val="0"/>
          <w:sz w:val="20"/>
          <w:szCs w:val="20"/>
        </w:rPr>
        <w:t xml:space="preserve">A </w:t>
      </w:r>
      <w:r w:rsidRPr="00113B90">
        <w:rPr>
          <w:b w:val="0"/>
          <w:bCs w:val="0"/>
          <w:sz w:val="20"/>
          <w:szCs w:val="20"/>
        </w:rPr>
        <w:t>number of countries indicated</w:t>
      </w:r>
      <w:r w:rsidRPr="00094521">
        <w:rPr>
          <w:b w:val="0"/>
          <w:bCs w:val="0"/>
          <w:sz w:val="20"/>
          <w:szCs w:val="20"/>
        </w:rPr>
        <w:t xml:space="preserve"> that open burning of waste was not allowed at the national level. Other treatment methods for waste included recycling, thermal treatment in an </w:t>
      </w:r>
      <w:r w:rsidR="00BD2A8F" w:rsidRPr="00094521">
        <w:rPr>
          <w:b w:val="0"/>
          <w:bCs w:val="0"/>
          <w:sz w:val="20"/>
          <w:szCs w:val="20"/>
        </w:rPr>
        <w:t>authori</w:t>
      </w:r>
      <w:r w:rsidR="00BD2A8F">
        <w:rPr>
          <w:b w:val="0"/>
          <w:bCs w:val="0"/>
          <w:sz w:val="20"/>
          <w:szCs w:val="20"/>
        </w:rPr>
        <w:t>z</w:t>
      </w:r>
      <w:r w:rsidR="00BD2A8F" w:rsidRPr="00094521">
        <w:rPr>
          <w:b w:val="0"/>
          <w:bCs w:val="0"/>
          <w:sz w:val="20"/>
          <w:szCs w:val="20"/>
        </w:rPr>
        <w:t xml:space="preserve">ed </w:t>
      </w:r>
      <w:r w:rsidRPr="00094521">
        <w:rPr>
          <w:b w:val="0"/>
          <w:bCs w:val="0"/>
          <w:sz w:val="20"/>
          <w:szCs w:val="20"/>
        </w:rPr>
        <w:t xml:space="preserve">facility or controlled landfilling. Some countries have established practices to </w:t>
      </w:r>
      <w:r w:rsidR="00BD2A8F" w:rsidRPr="00094521">
        <w:rPr>
          <w:b w:val="0"/>
          <w:bCs w:val="0"/>
          <w:sz w:val="20"/>
          <w:szCs w:val="20"/>
        </w:rPr>
        <w:t>utili</w:t>
      </w:r>
      <w:r w:rsidR="00BD2A8F">
        <w:rPr>
          <w:b w:val="0"/>
          <w:bCs w:val="0"/>
          <w:sz w:val="20"/>
          <w:szCs w:val="20"/>
        </w:rPr>
        <w:t>z</w:t>
      </w:r>
      <w:r w:rsidR="00BD2A8F" w:rsidRPr="00094521">
        <w:rPr>
          <w:b w:val="0"/>
          <w:bCs w:val="0"/>
          <w:sz w:val="20"/>
          <w:szCs w:val="20"/>
        </w:rPr>
        <w:t xml:space="preserve">e </w:t>
      </w:r>
      <w:r w:rsidRPr="00094521">
        <w:rPr>
          <w:b w:val="0"/>
          <w:bCs w:val="0"/>
          <w:sz w:val="20"/>
          <w:szCs w:val="20"/>
        </w:rPr>
        <w:t xml:space="preserve">the heat generated from waste incineration for the generation of electricity or the heating of buildings. One country indicated that religious and cultural events </w:t>
      </w:r>
      <w:r w:rsidR="004302AF">
        <w:rPr>
          <w:b w:val="0"/>
          <w:bCs w:val="0"/>
          <w:sz w:val="20"/>
          <w:szCs w:val="20"/>
        </w:rPr>
        <w:t>in its territory</w:t>
      </w:r>
      <w:r w:rsidR="00F97E99">
        <w:rPr>
          <w:b w:val="0"/>
          <w:bCs w:val="0"/>
          <w:sz w:val="20"/>
          <w:szCs w:val="20"/>
        </w:rPr>
        <w:t xml:space="preserve"> </w:t>
      </w:r>
      <w:r w:rsidR="001654AE">
        <w:rPr>
          <w:b w:val="0"/>
          <w:bCs w:val="0"/>
          <w:sz w:val="20"/>
          <w:szCs w:val="20"/>
        </w:rPr>
        <w:t>involved the burning of</w:t>
      </w:r>
      <w:r w:rsidRPr="00094521">
        <w:rPr>
          <w:b w:val="0"/>
          <w:bCs w:val="0"/>
          <w:sz w:val="20"/>
          <w:szCs w:val="20"/>
        </w:rPr>
        <w:t xml:space="preserve"> a certain </w:t>
      </w:r>
      <w:r w:rsidRPr="00F97E99">
        <w:rPr>
          <w:b w:val="0"/>
          <w:bCs w:val="0"/>
          <w:sz w:val="20"/>
          <w:szCs w:val="20"/>
        </w:rPr>
        <w:t xml:space="preserve">amount of waste, </w:t>
      </w:r>
      <w:r w:rsidR="001654AE" w:rsidRPr="00160554">
        <w:rPr>
          <w:b w:val="0"/>
          <w:bCs w:val="0"/>
          <w:sz w:val="20"/>
          <w:szCs w:val="20"/>
        </w:rPr>
        <w:t>but that</w:t>
      </w:r>
      <w:r w:rsidRPr="00F97E99">
        <w:rPr>
          <w:b w:val="0"/>
          <w:bCs w:val="0"/>
          <w:sz w:val="20"/>
          <w:szCs w:val="20"/>
        </w:rPr>
        <w:t xml:space="preserve"> the amount was considered to be negligible and the mercury levels </w:t>
      </w:r>
      <w:r w:rsidR="007B0B6D" w:rsidRPr="00F97E99">
        <w:rPr>
          <w:b w:val="0"/>
          <w:bCs w:val="0"/>
          <w:sz w:val="20"/>
          <w:szCs w:val="20"/>
        </w:rPr>
        <w:t>were</w:t>
      </w:r>
      <w:r w:rsidRPr="00F97E99">
        <w:rPr>
          <w:b w:val="0"/>
          <w:bCs w:val="0"/>
          <w:sz w:val="20"/>
          <w:szCs w:val="20"/>
        </w:rPr>
        <w:t xml:space="preserve"> expected to be low (i.e.</w:t>
      </w:r>
      <w:r w:rsidR="00BD2A8F" w:rsidRPr="00F97E99">
        <w:rPr>
          <w:b w:val="0"/>
          <w:bCs w:val="0"/>
          <w:sz w:val="20"/>
          <w:szCs w:val="20"/>
        </w:rPr>
        <w:t>,</w:t>
      </w:r>
      <w:r w:rsidRPr="00F97E99">
        <w:rPr>
          <w:b w:val="0"/>
          <w:bCs w:val="0"/>
          <w:sz w:val="20"/>
          <w:szCs w:val="20"/>
        </w:rPr>
        <w:t xml:space="preserve"> comparable to th</w:t>
      </w:r>
      <w:r w:rsidR="00F80C3C">
        <w:rPr>
          <w:b w:val="0"/>
          <w:bCs w:val="0"/>
          <w:sz w:val="20"/>
          <w:szCs w:val="20"/>
        </w:rPr>
        <w:t>ose</w:t>
      </w:r>
      <w:r w:rsidRPr="00F97E99">
        <w:rPr>
          <w:b w:val="0"/>
          <w:bCs w:val="0"/>
          <w:sz w:val="20"/>
          <w:szCs w:val="20"/>
        </w:rPr>
        <w:t xml:space="preserve"> of</w:t>
      </w:r>
      <w:r w:rsidRPr="00094521">
        <w:rPr>
          <w:b w:val="0"/>
          <w:bCs w:val="0"/>
          <w:sz w:val="20"/>
          <w:szCs w:val="20"/>
        </w:rPr>
        <w:t xml:space="preserve"> natural objects in the environment</w:t>
      </w:r>
      <w:r w:rsidR="00565BF4">
        <w:rPr>
          <w:b w:val="0"/>
          <w:bCs w:val="0"/>
          <w:sz w:val="20"/>
          <w:szCs w:val="20"/>
        </w:rPr>
        <w:t>,</w:t>
      </w:r>
      <w:r w:rsidRPr="00094521">
        <w:rPr>
          <w:b w:val="0"/>
          <w:bCs w:val="0"/>
          <w:sz w:val="20"/>
          <w:szCs w:val="20"/>
        </w:rPr>
        <w:t xml:space="preserve"> such as trees). </w:t>
      </w:r>
    </w:p>
    <w:p w14:paraId="76BA235C" w14:textId="6121FE73" w:rsidR="008A26DF" w:rsidRPr="008110CF"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6375A9">
        <w:rPr>
          <w:b w:val="0"/>
          <w:sz w:val="20"/>
          <w:szCs w:val="20"/>
        </w:rPr>
        <w:t>A number of countries provided detailed information in relation to their waste management</w:t>
      </w:r>
      <w:r w:rsidR="00E434BA" w:rsidRPr="00124EA9">
        <w:rPr>
          <w:b w:val="0"/>
          <w:sz w:val="20"/>
          <w:szCs w:val="20"/>
        </w:rPr>
        <w:t xml:space="preserve"> practices</w:t>
      </w:r>
      <w:r w:rsidRPr="00124EA9">
        <w:rPr>
          <w:b w:val="0"/>
          <w:sz w:val="20"/>
          <w:szCs w:val="20"/>
        </w:rPr>
        <w:t>.</w:t>
      </w:r>
      <w:r w:rsidR="008110CF" w:rsidRPr="00181829">
        <w:t xml:space="preserve"> </w:t>
      </w:r>
      <w:r w:rsidRPr="008110CF">
        <w:rPr>
          <w:b w:val="0"/>
          <w:bCs w:val="0"/>
          <w:sz w:val="20"/>
          <w:szCs w:val="20"/>
        </w:rPr>
        <w:t xml:space="preserve">Costa Rica provided information on waste for 2014. In </w:t>
      </w:r>
      <w:r w:rsidR="00447076" w:rsidRPr="008110CF">
        <w:rPr>
          <w:b w:val="0"/>
          <w:bCs w:val="0"/>
          <w:sz w:val="20"/>
          <w:szCs w:val="20"/>
        </w:rPr>
        <w:t xml:space="preserve">that </w:t>
      </w:r>
      <w:r w:rsidRPr="008110CF">
        <w:rPr>
          <w:b w:val="0"/>
          <w:bCs w:val="0"/>
          <w:sz w:val="20"/>
          <w:szCs w:val="20"/>
        </w:rPr>
        <w:t xml:space="preserve">year, close to </w:t>
      </w:r>
      <w:r w:rsidR="00447076" w:rsidRPr="008110CF">
        <w:rPr>
          <w:b w:val="0"/>
          <w:bCs w:val="0"/>
          <w:sz w:val="20"/>
          <w:szCs w:val="20"/>
        </w:rPr>
        <w:t>1.5</w:t>
      </w:r>
      <w:r w:rsidRPr="008110CF">
        <w:rPr>
          <w:b w:val="0"/>
          <w:bCs w:val="0"/>
          <w:sz w:val="20"/>
          <w:szCs w:val="20"/>
        </w:rPr>
        <w:t xml:space="preserve"> million </w:t>
      </w:r>
      <w:r w:rsidR="00447076" w:rsidRPr="008110CF">
        <w:rPr>
          <w:b w:val="0"/>
          <w:bCs w:val="0"/>
          <w:sz w:val="20"/>
          <w:szCs w:val="20"/>
        </w:rPr>
        <w:t xml:space="preserve">tons </w:t>
      </w:r>
      <w:r w:rsidRPr="008110CF">
        <w:rPr>
          <w:b w:val="0"/>
          <w:bCs w:val="0"/>
          <w:sz w:val="20"/>
          <w:szCs w:val="20"/>
        </w:rPr>
        <w:t xml:space="preserve">of waste </w:t>
      </w:r>
      <w:r w:rsidR="00447076" w:rsidRPr="008110CF">
        <w:rPr>
          <w:b w:val="0"/>
          <w:bCs w:val="0"/>
          <w:sz w:val="20"/>
          <w:szCs w:val="20"/>
        </w:rPr>
        <w:t xml:space="preserve">were </w:t>
      </w:r>
      <w:r w:rsidRPr="008110CF">
        <w:rPr>
          <w:b w:val="0"/>
          <w:bCs w:val="0"/>
          <w:sz w:val="20"/>
          <w:szCs w:val="20"/>
        </w:rPr>
        <w:t xml:space="preserve">generated. The majority of </w:t>
      </w:r>
      <w:r w:rsidR="00917825" w:rsidRPr="008110CF">
        <w:rPr>
          <w:b w:val="0"/>
          <w:bCs w:val="0"/>
          <w:sz w:val="20"/>
          <w:szCs w:val="20"/>
        </w:rPr>
        <w:t>th</w:t>
      </w:r>
      <w:r w:rsidR="0091236F" w:rsidRPr="008110CF">
        <w:rPr>
          <w:b w:val="0"/>
          <w:bCs w:val="0"/>
          <w:sz w:val="20"/>
          <w:szCs w:val="20"/>
        </w:rPr>
        <w:t>e</w:t>
      </w:r>
      <w:r w:rsidR="00917825" w:rsidRPr="00910084">
        <w:rPr>
          <w:b w:val="0"/>
          <w:bCs w:val="0"/>
          <w:sz w:val="20"/>
          <w:szCs w:val="20"/>
        </w:rPr>
        <w:t xml:space="preserve"> </w:t>
      </w:r>
      <w:r w:rsidRPr="00910084">
        <w:rPr>
          <w:b w:val="0"/>
          <w:bCs w:val="0"/>
          <w:sz w:val="20"/>
          <w:szCs w:val="20"/>
        </w:rPr>
        <w:t>waste was disposed of in a land</w:t>
      </w:r>
      <w:r w:rsidRPr="008110CF">
        <w:rPr>
          <w:b w:val="0"/>
          <w:bCs w:val="0"/>
          <w:sz w:val="20"/>
          <w:szCs w:val="20"/>
        </w:rPr>
        <w:t>fill. It was estimated that around 68</w:t>
      </w:r>
      <w:r w:rsidR="00917825" w:rsidRPr="008110CF">
        <w:rPr>
          <w:b w:val="0"/>
          <w:bCs w:val="0"/>
          <w:sz w:val="20"/>
          <w:szCs w:val="20"/>
        </w:rPr>
        <w:t xml:space="preserve"> per cent </w:t>
      </w:r>
      <w:r w:rsidRPr="008110CF">
        <w:rPr>
          <w:b w:val="0"/>
          <w:bCs w:val="0"/>
          <w:sz w:val="20"/>
          <w:szCs w:val="20"/>
        </w:rPr>
        <w:t xml:space="preserve">of the waste not sent to </w:t>
      </w:r>
      <w:r w:rsidR="00917825" w:rsidRPr="008110CF">
        <w:rPr>
          <w:b w:val="0"/>
          <w:bCs w:val="0"/>
          <w:sz w:val="20"/>
          <w:szCs w:val="20"/>
        </w:rPr>
        <w:t xml:space="preserve">a </w:t>
      </w:r>
      <w:r w:rsidRPr="008110CF">
        <w:rPr>
          <w:b w:val="0"/>
          <w:bCs w:val="0"/>
          <w:sz w:val="20"/>
          <w:szCs w:val="20"/>
        </w:rPr>
        <w:t xml:space="preserve">landfill was burned. Using the emission factors in the </w:t>
      </w:r>
      <w:r w:rsidR="00917825" w:rsidRPr="008110CF">
        <w:rPr>
          <w:b w:val="0"/>
          <w:bCs w:val="0"/>
          <w:sz w:val="20"/>
          <w:szCs w:val="20"/>
        </w:rPr>
        <w:t xml:space="preserve">UNEP </w:t>
      </w:r>
      <w:r w:rsidR="009C5C08" w:rsidRPr="008110CF">
        <w:rPr>
          <w:b w:val="0"/>
          <w:bCs w:val="0"/>
          <w:sz w:val="20"/>
          <w:szCs w:val="20"/>
        </w:rPr>
        <w:t>Toolkit for Identification and Quantification of Mercury Releases</w:t>
      </w:r>
      <w:r w:rsidR="00917825" w:rsidRPr="00181829">
        <w:rPr>
          <w:b w:val="0"/>
          <w:bCs w:val="0"/>
          <w:sz w:val="20"/>
          <w:szCs w:val="20"/>
        </w:rPr>
        <w:t>,</w:t>
      </w:r>
      <w:r w:rsidRPr="008110CF">
        <w:rPr>
          <w:b w:val="0"/>
          <w:bCs w:val="0"/>
          <w:sz w:val="20"/>
          <w:szCs w:val="20"/>
        </w:rPr>
        <w:t xml:space="preserve"> </w:t>
      </w:r>
      <w:r w:rsidR="00167C79" w:rsidRPr="008110CF">
        <w:rPr>
          <w:b w:val="0"/>
          <w:bCs w:val="0"/>
          <w:sz w:val="20"/>
          <w:szCs w:val="20"/>
        </w:rPr>
        <w:t xml:space="preserve">mercury </w:t>
      </w:r>
      <w:r w:rsidRPr="008110CF">
        <w:rPr>
          <w:b w:val="0"/>
          <w:bCs w:val="0"/>
          <w:sz w:val="20"/>
          <w:szCs w:val="20"/>
        </w:rPr>
        <w:t>emissions in 2014 were estimated to be around 475 kg.</w:t>
      </w:r>
    </w:p>
    <w:p w14:paraId="5DEB8988" w14:textId="2ED9F0B5" w:rsidR="008A26DF" w:rsidRPr="00094521"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094521">
        <w:rPr>
          <w:b w:val="0"/>
          <w:bCs w:val="0"/>
          <w:sz w:val="20"/>
          <w:szCs w:val="20"/>
        </w:rPr>
        <w:t xml:space="preserve">Guatemala estimated that in 2013 </w:t>
      </w:r>
      <w:r w:rsidR="005046DA">
        <w:rPr>
          <w:b w:val="0"/>
          <w:bCs w:val="0"/>
          <w:sz w:val="20"/>
          <w:szCs w:val="20"/>
        </w:rPr>
        <w:t>it</w:t>
      </w:r>
      <w:r w:rsidR="00F80C3C">
        <w:rPr>
          <w:b w:val="0"/>
          <w:bCs w:val="0"/>
          <w:sz w:val="20"/>
          <w:szCs w:val="20"/>
        </w:rPr>
        <w:t xml:space="preserve"> had</w:t>
      </w:r>
      <w:r w:rsidR="005046DA" w:rsidRPr="00094521">
        <w:rPr>
          <w:b w:val="0"/>
          <w:bCs w:val="0"/>
          <w:sz w:val="20"/>
          <w:szCs w:val="20"/>
        </w:rPr>
        <w:t xml:space="preserve"> </w:t>
      </w:r>
      <w:r w:rsidRPr="00094521">
        <w:rPr>
          <w:b w:val="0"/>
          <w:bCs w:val="0"/>
          <w:sz w:val="20"/>
          <w:szCs w:val="20"/>
        </w:rPr>
        <w:t xml:space="preserve">generated 240,000 </w:t>
      </w:r>
      <w:r w:rsidR="005046DA" w:rsidRPr="00094521">
        <w:rPr>
          <w:b w:val="0"/>
          <w:bCs w:val="0"/>
          <w:sz w:val="20"/>
          <w:szCs w:val="20"/>
        </w:rPr>
        <w:t>ton</w:t>
      </w:r>
      <w:r w:rsidR="005046DA">
        <w:rPr>
          <w:b w:val="0"/>
          <w:bCs w:val="0"/>
          <w:sz w:val="20"/>
          <w:szCs w:val="20"/>
        </w:rPr>
        <w:t>s</w:t>
      </w:r>
      <w:r w:rsidR="005046DA" w:rsidRPr="00094521">
        <w:rPr>
          <w:b w:val="0"/>
          <w:bCs w:val="0"/>
          <w:sz w:val="20"/>
          <w:szCs w:val="20"/>
        </w:rPr>
        <w:t xml:space="preserve"> </w:t>
      </w:r>
      <w:r w:rsidRPr="00094521">
        <w:rPr>
          <w:b w:val="0"/>
          <w:bCs w:val="0"/>
          <w:sz w:val="20"/>
          <w:szCs w:val="20"/>
        </w:rPr>
        <w:t>of ordinary waste</w:t>
      </w:r>
      <w:r w:rsidR="00EA71B4">
        <w:rPr>
          <w:b w:val="0"/>
          <w:bCs w:val="0"/>
          <w:sz w:val="20"/>
          <w:szCs w:val="20"/>
        </w:rPr>
        <w:t>. H</w:t>
      </w:r>
      <w:r w:rsidRPr="00094521">
        <w:rPr>
          <w:b w:val="0"/>
          <w:bCs w:val="0"/>
          <w:sz w:val="20"/>
          <w:szCs w:val="20"/>
        </w:rPr>
        <w:t>owever</w:t>
      </w:r>
      <w:r w:rsidR="00EA71B4">
        <w:rPr>
          <w:b w:val="0"/>
          <w:bCs w:val="0"/>
          <w:sz w:val="20"/>
          <w:szCs w:val="20"/>
        </w:rPr>
        <w:t>,</w:t>
      </w:r>
      <w:r w:rsidR="001654AE">
        <w:rPr>
          <w:b w:val="0"/>
          <w:bCs w:val="0"/>
          <w:sz w:val="20"/>
          <w:szCs w:val="20"/>
        </w:rPr>
        <w:t xml:space="preserve"> </w:t>
      </w:r>
      <w:r w:rsidR="005046DA">
        <w:rPr>
          <w:b w:val="0"/>
          <w:bCs w:val="0"/>
          <w:sz w:val="20"/>
          <w:szCs w:val="20"/>
        </w:rPr>
        <w:t xml:space="preserve">it </w:t>
      </w:r>
      <w:r w:rsidRPr="00094521">
        <w:rPr>
          <w:b w:val="0"/>
          <w:bCs w:val="0"/>
          <w:sz w:val="20"/>
          <w:szCs w:val="20"/>
        </w:rPr>
        <w:t xml:space="preserve">did not have any information on, or </w:t>
      </w:r>
      <w:r w:rsidR="00A42E0B" w:rsidRPr="00094521">
        <w:rPr>
          <w:b w:val="0"/>
          <w:bCs w:val="0"/>
          <w:sz w:val="20"/>
          <w:szCs w:val="20"/>
        </w:rPr>
        <w:t>estimat</w:t>
      </w:r>
      <w:r w:rsidR="00A42E0B">
        <w:rPr>
          <w:b w:val="0"/>
          <w:bCs w:val="0"/>
          <w:sz w:val="20"/>
          <w:szCs w:val="20"/>
        </w:rPr>
        <w:t>es</w:t>
      </w:r>
      <w:r w:rsidR="00A42E0B" w:rsidRPr="00094521">
        <w:rPr>
          <w:b w:val="0"/>
          <w:bCs w:val="0"/>
          <w:sz w:val="20"/>
          <w:szCs w:val="20"/>
        </w:rPr>
        <w:t xml:space="preserve"> </w:t>
      </w:r>
      <w:r w:rsidRPr="00094521">
        <w:rPr>
          <w:b w:val="0"/>
          <w:bCs w:val="0"/>
          <w:sz w:val="20"/>
          <w:szCs w:val="20"/>
        </w:rPr>
        <w:t xml:space="preserve">of, the average mercury content of </w:t>
      </w:r>
      <w:r w:rsidR="00A42E0B">
        <w:rPr>
          <w:b w:val="0"/>
          <w:bCs w:val="0"/>
          <w:sz w:val="20"/>
          <w:szCs w:val="20"/>
        </w:rPr>
        <w:t xml:space="preserve">the </w:t>
      </w:r>
      <w:r w:rsidRPr="00094521">
        <w:rPr>
          <w:b w:val="0"/>
          <w:bCs w:val="0"/>
          <w:sz w:val="20"/>
          <w:szCs w:val="20"/>
        </w:rPr>
        <w:t xml:space="preserve">waste or the proportion of waste subject to open burning.  </w:t>
      </w:r>
    </w:p>
    <w:p w14:paraId="3008008C" w14:textId="674A3956" w:rsidR="008A26DF"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9319C9">
        <w:rPr>
          <w:b w:val="0"/>
          <w:bCs w:val="0"/>
          <w:sz w:val="20"/>
          <w:szCs w:val="20"/>
        </w:rPr>
        <w:t xml:space="preserve">Montenegro submitted </w:t>
      </w:r>
      <w:r w:rsidRPr="00D82252">
        <w:rPr>
          <w:b w:val="0"/>
          <w:bCs w:val="0"/>
          <w:sz w:val="20"/>
          <w:szCs w:val="20"/>
        </w:rPr>
        <w:t>detailed information</w:t>
      </w:r>
      <w:r w:rsidRPr="009319C9">
        <w:rPr>
          <w:b w:val="0"/>
          <w:bCs w:val="0"/>
          <w:sz w:val="20"/>
          <w:szCs w:val="20"/>
        </w:rPr>
        <w:t xml:space="preserve"> on waste generated </w:t>
      </w:r>
      <w:r w:rsidR="002B27A9">
        <w:rPr>
          <w:b w:val="0"/>
          <w:bCs w:val="0"/>
          <w:sz w:val="20"/>
          <w:szCs w:val="20"/>
        </w:rPr>
        <w:t>in its territory</w:t>
      </w:r>
      <w:r w:rsidRPr="009319C9">
        <w:rPr>
          <w:b w:val="0"/>
          <w:bCs w:val="0"/>
          <w:sz w:val="20"/>
          <w:szCs w:val="20"/>
        </w:rPr>
        <w:t xml:space="preserve">. </w:t>
      </w:r>
      <w:r w:rsidR="002B27A9">
        <w:rPr>
          <w:b w:val="0"/>
          <w:bCs w:val="0"/>
          <w:sz w:val="20"/>
          <w:szCs w:val="20"/>
        </w:rPr>
        <w:t xml:space="preserve">It was </w:t>
      </w:r>
      <w:r w:rsidRPr="009319C9">
        <w:rPr>
          <w:b w:val="0"/>
          <w:bCs w:val="0"/>
          <w:sz w:val="20"/>
          <w:szCs w:val="20"/>
        </w:rPr>
        <w:t xml:space="preserve">able to provide estimates of waste </w:t>
      </w:r>
      <w:r w:rsidR="002B27A9">
        <w:rPr>
          <w:b w:val="0"/>
          <w:bCs w:val="0"/>
          <w:sz w:val="20"/>
          <w:szCs w:val="20"/>
        </w:rPr>
        <w:t>for</w:t>
      </w:r>
      <w:r w:rsidR="002B27A9" w:rsidRPr="009319C9">
        <w:rPr>
          <w:b w:val="0"/>
          <w:bCs w:val="0"/>
          <w:sz w:val="20"/>
          <w:szCs w:val="20"/>
        </w:rPr>
        <w:t xml:space="preserve"> </w:t>
      </w:r>
      <w:r w:rsidRPr="009319C9">
        <w:rPr>
          <w:b w:val="0"/>
          <w:bCs w:val="0"/>
          <w:sz w:val="20"/>
          <w:szCs w:val="20"/>
        </w:rPr>
        <w:t>a number of categories</w:t>
      </w:r>
      <w:r w:rsidR="002B27A9">
        <w:rPr>
          <w:b w:val="0"/>
          <w:bCs w:val="0"/>
          <w:sz w:val="20"/>
          <w:szCs w:val="20"/>
        </w:rPr>
        <w:t>,</w:t>
      </w:r>
      <w:r w:rsidRPr="009319C9">
        <w:rPr>
          <w:b w:val="0"/>
          <w:bCs w:val="0"/>
          <w:sz w:val="20"/>
          <w:szCs w:val="20"/>
        </w:rPr>
        <w:t xml:space="preserve"> including municipal waste, industrial waste, construction waste, sewage sludge, medical waste, waste vehicles, waste batteries and accumulators, packaging waste, waste tyres, waste electrical and electronic products and waste oils. </w:t>
      </w:r>
      <w:r w:rsidR="00367432">
        <w:rPr>
          <w:b w:val="0"/>
          <w:bCs w:val="0"/>
          <w:sz w:val="20"/>
          <w:szCs w:val="20"/>
        </w:rPr>
        <w:t>It</w:t>
      </w:r>
      <w:r w:rsidR="00367432" w:rsidRPr="009319C9">
        <w:rPr>
          <w:b w:val="0"/>
          <w:bCs w:val="0"/>
          <w:sz w:val="20"/>
          <w:szCs w:val="20"/>
        </w:rPr>
        <w:t xml:space="preserve"> </w:t>
      </w:r>
      <w:r w:rsidRPr="009319C9">
        <w:rPr>
          <w:b w:val="0"/>
          <w:bCs w:val="0"/>
          <w:sz w:val="20"/>
          <w:szCs w:val="20"/>
        </w:rPr>
        <w:t>did not, however</w:t>
      </w:r>
      <w:r w:rsidR="00367432">
        <w:rPr>
          <w:b w:val="0"/>
          <w:bCs w:val="0"/>
          <w:sz w:val="20"/>
          <w:szCs w:val="20"/>
        </w:rPr>
        <w:t>,</w:t>
      </w:r>
      <w:r w:rsidRPr="009319C9">
        <w:rPr>
          <w:b w:val="0"/>
          <w:bCs w:val="0"/>
          <w:sz w:val="20"/>
          <w:szCs w:val="20"/>
        </w:rPr>
        <w:t xml:space="preserve"> have any information on either the percentage of waste being disposed of through open burning or the average mercury content </w:t>
      </w:r>
      <w:r w:rsidR="00DD12E6">
        <w:rPr>
          <w:b w:val="0"/>
          <w:bCs w:val="0"/>
          <w:sz w:val="20"/>
          <w:szCs w:val="20"/>
        </w:rPr>
        <w:t>of</w:t>
      </w:r>
      <w:r w:rsidR="00DD12E6" w:rsidRPr="009319C9">
        <w:rPr>
          <w:b w:val="0"/>
          <w:bCs w:val="0"/>
          <w:sz w:val="20"/>
          <w:szCs w:val="20"/>
        </w:rPr>
        <w:t xml:space="preserve"> </w:t>
      </w:r>
      <w:r w:rsidR="00367432">
        <w:rPr>
          <w:b w:val="0"/>
          <w:bCs w:val="0"/>
          <w:sz w:val="20"/>
          <w:szCs w:val="20"/>
        </w:rPr>
        <w:t xml:space="preserve">its </w:t>
      </w:r>
      <w:r w:rsidRPr="009319C9">
        <w:rPr>
          <w:b w:val="0"/>
          <w:bCs w:val="0"/>
          <w:sz w:val="20"/>
          <w:szCs w:val="20"/>
        </w:rPr>
        <w:t xml:space="preserve">waste. </w:t>
      </w:r>
    </w:p>
    <w:p w14:paraId="3E09C20B" w14:textId="7ACB2AFB" w:rsidR="008A26DF" w:rsidRPr="00983DD7"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983DD7">
        <w:rPr>
          <w:b w:val="0"/>
          <w:bCs w:val="0"/>
          <w:sz w:val="20"/>
          <w:szCs w:val="20"/>
        </w:rPr>
        <w:t xml:space="preserve">Saudi Arabia indicated that, at </w:t>
      </w:r>
      <w:r w:rsidR="001D5447" w:rsidRPr="00983DD7">
        <w:rPr>
          <w:b w:val="0"/>
          <w:bCs w:val="0"/>
          <w:sz w:val="20"/>
          <w:szCs w:val="20"/>
        </w:rPr>
        <w:t>th</w:t>
      </w:r>
      <w:r w:rsidR="001D5447">
        <w:rPr>
          <w:b w:val="0"/>
          <w:bCs w:val="0"/>
          <w:sz w:val="20"/>
          <w:szCs w:val="20"/>
        </w:rPr>
        <w:t xml:space="preserve">e </w:t>
      </w:r>
      <w:r w:rsidR="00F64E3B">
        <w:rPr>
          <w:b w:val="0"/>
          <w:bCs w:val="0"/>
          <w:sz w:val="20"/>
          <w:szCs w:val="20"/>
        </w:rPr>
        <w:t>time of reporting</w:t>
      </w:r>
      <w:r w:rsidRPr="00983DD7">
        <w:rPr>
          <w:b w:val="0"/>
          <w:bCs w:val="0"/>
          <w:sz w:val="20"/>
          <w:szCs w:val="20"/>
        </w:rPr>
        <w:t xml:space="preserve">, </w:t>
      </w:r>
      <w:r w:rsidR="001D5447">
        <w:rPr>
          <w:b w:val="0"/>
          <w:bCs w:val="0"/>
          <w:sz w:val="20"/>
          <w:szCs w:val="20"/>
        </w:rPr>
        <w:t xml:space="preserve">it </w:t>
      </w:r>
      <w:r w:rsidRPr="00983DD7">
        <w:rPr>
          <w:b w:val="0"/>
          <w:bCs w:val="0"/>
          <w:sz w:val="20"/>
          <w:szCs w:val="20"/>
        </w:rPr>
        <w:t xml:space="preserve">did not have </w:t>
      </w:r>
      <w:r w:rsidR="001D5447">
        <w:rPr>
          <w:b w:val="0"/>
          <w:bCs w:val="0"/>
          <w:sz w:val="20"/>
          <w:szCs w:val="20"/>
        </w:rPr>
        <w:t xml:space="preserve">any </w:t>
      </w:r>
      <w:r w:rsidRPr="00983DD7">
        <w:rPr>
          <w:b w:val="0"/>
          <w:bCs w:val="0"/>
          <w:sz w:val="20"/>
          <w:szCs w:val="20"/>
        </w:rPr>
        <w:t xml:space="preserve">reliable information on </w:t>
      </w:r>
      <w:r w:rsidR="001D5447">
        <w:rPr>
          <w:b w:val="0"/>
          <w:bCs w:val="0"/>
          <w:sz w:val="20"/>
          <w:szCs w:val="20"/>
        </w:rPr>
        <w:t xml:space="preserve">its </w:t>
      </w:r>
      <w:r w:rsidRPr="00983DD7">
        <w:rPr>
          <w:b w:val="0"/>
          <w:bCs w:val="0"/>
          <w:sz w:val="20"/>
          <w:szCs w:val="20"/>
        </w:rPr>
        <w:t xml:space="preserve">national levels of emissions and releases of mercury and mercury compounds. </w:t>
      </w:r>
      <w:r w:rsidR="001D5447">
        <w:rPr>
          <w:b w:val="0"/>
          <w:bCs w:val="0"/>
          <w:sz w:val="20"/>
          <w:szCs w:val="20"/>
        </w:rPr>
        <w:t>It is</w:t>
      </w:r>
      <w:r w:rsidRPr="00983DD7">
        <w:rPr>
          <w:b w:val="0"/>
          <w:bCs w:val="0"/>
          <w:sz w:val="20"/>
          <w:szCs w:val="20"/>
        </w:rPr>
        <w:t xml:space="preserve"> currently in the process of undertaking surveys and other studies </w:t>
      </w:r>
      <w:r w:rsidR="001D5447">
        <w:rPr>
          <w:b w:val="0"/>
          <w:bCs w:val="0"/>
          <w:sz w:val="20"/>
          <w:szCs w:val="20"/>
        </w:rPr>
        <w:t>that</w:t>
      </w:r>
      <w:r w:rsidR="001D5447" w:rsidRPr="00983DD7">
        <w:rPr>
          <w:b w:val="0"/>
          <w:bCs w:val="0"/>
          <w:sz w:val="20"/>
          <w:szCs w:val="20"/>
        </w:rPr>
        <w:t xml:space="preserve"> </w:t>
      </w:r>
      <w:r w:rsidRPr="00983DD7">
        <w:rPr>
          <w:b w:val="0"/>
          <w:bCs w:val="0"/>
          <w:sz w:val="20"/>
          <w:szCs w:val="20"/>
        </w:rPr>
        <w:t>directly address air pollution</w:t>
      </w:r>
      <w:r w:rsidR="001D5447">
        <w:rPr>
          <w:b w:val="0"/>
          <w:bCs w:val="0"/>
          <w:sz w:val="20"/>
          <w:szCs w:val="20"/>
        </w:rPr>
        <w:t>,</w:t>
      </w:r>
      <w:r w:rsidRPr="00983DD7">
        <w:rPr>
          <w:b w:val="0"/>
          <w:bCs w:val="0"/>
          <w:sz w:val="20"/>
          <w:szCs w:val="20"/>
        </w:rPr>
        <w:t xml:space="preserve"> including mercury and mercury compounds, </w:t>
      </w:r>
      <w:r w:rsidR="001D5447">
        <w:rPr>
          <w:b w:val="0"/>
          <w:bCs w:val="0"/>
          <w:sz w:val="20"/>
          <w:szCs w:val="20"/>
        </w:rPr>
        <w:t xml:space="preserve">and </w:t>
      </w:r>
      <w:r w:rsidRPr="00983DD7">
        <w:rPr>
          <w:b w:val="0"/>
          <w:bCs w:val="0"/>
          <w:sz w:val="20"/>
          <w:szCs w:val="20"/>
        </w:rPr>
        <w:t>which are directed toward</w:t>
      </w:r>
      <w:r w:rsidR="001D5447">
        <w:rPr>
          <w:b w:val="0"/>
          <w:bCs w:val="0"/>
          <w:sz w:val="20"/>
          <w:szCs w:val="20"/>
        </w:rPr>
        <w:t>s</w:t>
      </w:r>
      <w:r w:rsidRPr="00983DD7">
        <w:rPr>
          <w:b w:val="0"/>
          <w:bCs w:val="0"/>
          <w:sz w:val="20"/>
          <w:szCs w:val="20"/>
        </w:rPr>
        <w:t xml:space="preserve"> estimating such emissions. In </w:t>
      </w:r>
      <w:r w:rsidR="00AB544E">
        <w:rPr>
          <w:b w:val="0"/>
          <w:bCs w:val="0"/>
          <w:sz w:val="20"/>
          <w:szCs w:val="20"/>
        </w:rPr>
        <w:t>its</w:t>
      </w:r>
      <w:r w:rsidR="00AB544E" w:rsidRPr="00983DD7">
        <w:rPr>
          <w:b w:val="0"/>
          <w:bCs w:val="0"/>
          <w:sz w:val="20"/>
          <w:szCs w:val="20"/>
        </w:rPr>
        <w:t xml:space="preserve"> </w:t>
      </w:r>
      <w:r w:rsidRPr="00983DD7">
        <w:rPr>
          <w:b w:val="0"/>
          <w:bCs w:val="0"/>
          <w:sz w:val="20"/>
          <w:szCs w:val="20"/>
        </w:rPr>
        <w:t xml:space="preserve">submission, Saudi Arabia indicated that </w:t>
      </w:r>
      <w:r w:rsidR="00AB544E">
        <w:rPr>
          <w:b w:val="0"/>
          <w:bCs w:val="0"/>
          <w:sz w:val="20"/>
          <w:szCs w:val="20"/>
        </w:rPr>
        <w:t xml:space="preserve">it had </w:t>
      </w:r>
      <w:r w:rsidRPr="00983DD7">
        <w:rPr>
          <w:b w:val="0"/>
          <w:bCs w:val="0"/>
          <w:sz w:val="20"/>
          <w:szCs w:val="20"/>
        </w:rPr>
        <w:t>already taken measures to:</w:t>
      </w:r>
    </w:p>
    <w:p w14:paraId="1765E8E7" w14:textId="669F0D63" w:rsidR="008A26DF" w:rsidRPr="00094521" w:rsidRDefault="00AB544E"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rPr>
      </w:pPr>
      <w:r>
        <w:rPr>
          <w:b w:val="0"/>
          <w:bCs w:val="0"/>
          <w:sz w:val="20"/>
          <w:szCs w:val="20"/>
        </w:rPr>
        <w:t>R</w:t>
      </w:r>
      <w:r w:rsidRPr="00094521">
        <w:rPr>
          <w:b w:val="0"/>
          <w:bCs w:val="0"/>
          <w:sz w:val="20"/>
          <w:szCs w:val="20"/>
        </w:rPr>
        <w:t xml:space="preserve">educe </w:t>
      </w:r>
      <w:r w:rsidR="008A26DF" w:rsidRPr="00094521">
        <w:rPr>
          <w:b w:val="0"/>
          <w:bCs w:val="0"/>
          <w:sz w:val="20"/>
          <w:szCs w:val="20"/>
        </w:rPr>
        <w:t>the generation of hazardous and other waste (including mercury and mercury compounds) to a minimum, taking into account social, technological and economic aspects</w:t>
      </w:r>
      <w:r w:rsidR="00212E52">
        <w:rPr>
          <w:b w:val="0"/>
          <w:bCs w:val="0"/>
          <w:sz w:val="20"/>
          <w:szCs w:val="20"/>
        </w:rPr>
        <w:t>.</w:t>
      </w:r>
    </w:p>
    <w:p w14:paraId="3BA4B5A4" w14:textId="7ED18E7D" w:rsidR="008A26DF" w:rsidRPr="00094521" w:rsidRDefault="00AB544E"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rPr>
      </w:pPr>
      <w:r>
        <w:rPr>
          <w:b w:val="0"/>
          <w:bCs w:val="0"/>
          <w:sz w:val="20"/>
          <w:szCs w:val="20"/>
        </w:rPr>
        <w:t>A</w:t>
      </w:r>
      <w:r w:rsidRPr="00094521">
        <w:rPr>
          <w:b w:val="0"/>
          <w:bCs w:val="0"/>
          <w:sz w:val="20"/>
          <w:szCs w:val="20"/>
        </w:rPr>
        <w:t xml:space="preserve">pply </w:t>
      </w:r>
      <w:r w:rsidR="008A26DF" w:rsidRPr="00094521">
        <w:rPr>
          <w:b w:val="0"/>
          <w:bCs w:val="0"/>
          <w:sz w:val="20"/>
          <w:szCs w:val="20"/>
        </w:rPr>
        <w:t>and enforce national environmental standards for air pollutants (including mercury and mercury compounds) from all anthropogenic activities</w:t>
      </w:r>
      <w:r w:rsidR="00212E52">
        <w:rPr>
          <w:b w:val="0"/>
          <w:bCs w:val="0"/>
          <w:sz w:val="20"/>
          <w:szCs w:val="20"/>
        </w:rPr>
        <w:t>.</w:t>
      </w:r>
    </w:p>
    <w:p w14:paraId="38D9389C" w14:textId="48545775" w:rsidR="008A26DF" w:rsidRPr="00094521" w:rsidRDefault="0092054B"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rPr>
      </w:pPr>
      <w:proofErr w:type="gramStart"/>
      <w:r>
        <w:rPr>
          <w:b w:val="0"/>
          <w:bCs w:val="0"/>
          <w:sz w:val="20"/>
          <w:szCs w:val="20"/>
        </w:rPr>
        <w:t>B</w:t>
      </w:r>
      <w:r w:rsidRPr="00094521">
        <w:rPr>
          <w:b w:val="0"/>
          <w:bCs w:val="0"/>
          <w:sz w:val="20"/>
          <w:szCs w:val="20"/>
        </w:rPr>
        <w:t xml:space="preserve">an </w:t>
      </w:r>
      <w:r w:rsidR="008A26DF" w:rsidRPr="00094521">
        <w:rPr>
          <w:b w:val="0"/>
          <w:bCs w:val="0"/>
          <w:sz w:val="20"/>
          <w:szCs w:val="20"/>
        </w:rPr>
        <w:t>open</w:t>
      </w:r>
      <w:proofErr w:type="gramEnd"/>
      <w:r w:rsidR="008A26DF" w:rsidRPr="00094521">
        <w:rPr>
          <w:b w:val="0"/>
          <w:bCs w:val="0"/>
          <w:sz w:val="20"/>
          <w:szCs w:val="20"/>
        </w:rPr>
        <w:t xml:space="preserve"> burning of municipal and other waste</w:t>
      </w:r>
      <w:r w:rsidR="00212E52">
        <w:rPr>
          <w:b w:val="0"/>
          <w:bCs w:val="0"/>
          <w:sz w:val="20"/>
          <w:szCs w:val="20"/>
        </w:rPr>
        <w:t>.</w:t>
      </w:r>
    </w:p>
    <w:p w14:paraId="005D7EF5" w14:textId="66ABFBB1" w:rsidR="008A26DF" w:rsidRPr="00094521" w:rsidRDefault="002D1133"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rPr>
      </w:pPr>
      <w:r>
        <w:rPr>
          <w:b w:val="0"/>
          <w:bCs w:val="0"/>
          <w:sz w:val="20"/>
          <w:szCs w:val="20"/>
        </w:rPr>
        <w:t>E</w:t>
      </w:r>
      <w:r w:rsidRPr="00094521">
        <w:rPr>
          <w:b w:val="0"/>
          <w:bCs w:val="0"/>
          <w:sz w:val="20"/>
          <w:szCs w:val="20"/>
        </w:rPr>
        <w:t xml:space="preserve">nsure </w:t>
      </w:r>
      <w:r>
        <w:rPr>
          <w:b w:val="0"/>
          <w:bCs w:val="0"/>
          <w:sz w:val="20"/>
          <w:szCs w:val="20"/>
        </w:rPr>
        <w:t xml:space="preserve">the </w:t>
      </w:r>
      <w:r w:rsidR="008A26DF" w:rsidRPr="00094521">
        <w:rPr>
          <w:b w:val="0"/>
          <w:bCs w:val="0"/>
          <w:sz w:val="20"/>
          <w:szCs w:val="20"/>
        </w:rPr>
        <w:t xml:space="preserve">availability of adequate disposal facilities for </w:t>
      </w:r>
      <w:r w:rsidR="00814D57">
        <w:rPr>
          <w:b w:val="0"/>
          <w:bCs w:val="0"/>
          <w:sz w:val="20"/>
          <w:szCs w:val="20"/>
        </w:rPr>
        <w:t xml:space="preserve">the </w:t>
      </w:r>
      <w:r w:rsidR="008A26DF" w:rsidRPr="00094521">
        <w:rPr>
          <w:b w:val="0"/>
          <w:bCs w:val="0"/>
          <w:sz w:val="20"/>
          <w:szCs w:val="20"/>
        </w:rPr>
        <w:t xml:space="preserve">environmentally sound management of hazardous waste </w:t>
      </w:r>
      <w:r>
        <w:rPr>
          <w:b w:val="0"/>
          <w:bCs w:val="0"/>
          <w:sz w:val="20"/>
          <w:szCs w:val="20"/>
        </w:rPr>
        <w:t xml:space="preserve">that </w:t>
      </w:r>
      <w:r w:rsidR="008A26DF" w:rsidRPr="00094521">
        <w:rPr>
          <w:b w:val="0"/>
          <w:bCs w:val="0"/>
          <w:sz w:val="20"/>
          <w:szCs w:val="20"/>
        </w:rPr>
        <w:t>contains mercury and other mercury compounds</w:t>
      </w:r>
      <w:r w:rsidR="00720D61">
        <w:rPr>
          <w:b w:val="0"/>
          <w:bCs w:val="0"/>
          <w:sz w:val="20"/>
          <w:szCs w:val="20"/>
        </w:rPr>
        <w:t>,</w:t>
      </w:r>
      <w:r w:rsidR="008A26DF" w:rsidRPr="00094521">
        <w:rPr>
          <w:b w:val="0"/>
          <w:bCs w:val="0"/>
          <w:sz w:val="20"/>
          <w:szCs w:val="20"/>
        </w:rPr>
        <w:t xml:space="preserve"> </w:t>
      </w:r>
      <w:r w:rsidR="00720D61">
        <w:rPr>
          <w:b w:val="0"/>
          <w:bCs w:val="0"/>
          <w:sz w:val="20"/>
          <w:szCs w:val="20"/>
        </w:rPr>
        <w:t xml:space="preserve">which </w:t>
      </w:r>
      <w:r w:rsidR="008A26DF" w:rsidRPr="00094521">
        <w:rPr>
          <w:b w:val="0"/>
          <w:bCs w:val="0"/>
          <w:sz w:val="20"/>
          <w:szCs w:val="20"/>
        </w:rPr>
        <w:t xml:space="preserve">shall be located, to the extent possible, at the place of </w:t>
      </w:r>
      <w:r w:rsidR="00A82795">
        <w:rPr>
          <w:b w:val="0"/>
          <w:bCs w:val="0"/>
          <w:sz w:val="20"/>
          <w:szCs w:val="20"/>
        </w:rPr>
        <w:t>its</w:t>
      </w:r>
      <w:r w:rsidR="00A82795" w:rsidRPr="00094521">
        <w:rPr>
          <w:b w:val="0"/>
          <w:bCs w:val="0"/>
          <w:sz w:val="20"/>
          <w:szCs w:val="20"/>
        </w:rPr>
        <w:t xml:space="preserve"> </w:t>
      </w:r>
      <w:r w:rsidR="008A26DF" w:rsidRPr="00094521">
        <w:rPr>
          <w:b w:val="0"/>
          <w:bCs w:val="0"/>
          <w:sz w:val="20"/>
          <w:szCs w:val="20"/>
        </w:rPr>
        <w:t>disposal</w:t>
      </w:r>
      <w:r w:rsidR="00212E52">
        <w:rPr>
          <w:b w:val="0"/>
          <w:bCs w:val="0"/>
          <w:sz w:val="20"/>
          <w:szCs w:val="20"/>
        </w:rPr>
        <w:t>.</w:t>
      </w:r>
    </w:p>
    <w:p w14:paraId="1DDC3F05" w14:textId="2A5FFDBA" w:rsidR="008A26DF" w:rsidRPr="00094521" w:rsidRDefault="00720D61"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rPr>
      </w:pPr>
      <w:r>
        <w:rPr>
          <w:b w:val="0"/>
          <w:bCs w:val="0"/>
          <w:sz w:val="20"/>
          <w:szCs w:val="20"/>
        </w:rPr>
        <w:t>E</w:t>
      </w:r>
      <w:r w:rsidRPr="00094521">
        <w:rPr>
          <w:b w:val="0"/>
          <w:bCs w:val="0"/>
          <w:sz w:val="20"/>
          <w:szCs w:val="20"/>
        </w:rPr>
        <w:t xml:space="preserve">nsure </w:t>
      </w:r>
      <w:r w:rsidR="008A26DF" w:rsidRPr="00094521">
        <w:rPr>
          <w:b w:val="0"/>
          <w:bCs w:val="0"/>
          <w:sz w:val="20"/>
          <w:szCs w:val="20"/>
        </w:rPr>
        <w:t xml:space="preserve">that persons involved in the management of hazardous or other </w:t>
      </w:r>
      <w:r w:rsidRPr="00094521">
        <w:rPr>
          <w:b w:val="0"/>
          <w:bCs w:val="0"/>
          <w:sz w:val="20"/>
          <w:szCs w:val="20"/>
        </w:rPr>
        <w:t>wa</w:t>
      </w:r>
      <w:r>
        <w:rPr>
          <w:b w:val="0"/>
          <w:bCs w:val="0"/>
          <w:sz w:val="20"/>
          <w:szCs w:val="20"/>
        </w:rPr>
        <w:t>ste</w:t>
      </w:r>
      <w:r w:rsidRPr="00094521">
        <w:rPr>
          <w:b w:val="0"/>
          <w:bCs w:val="0"/>
          <w:sz w:val="20"/>
          <w:szCs w:val="20"/>
        </w:rPr>
        <w:t xml:space="preserve"> </w:t>
      </w:r>
      <w:r w:rsidR="008A26DF" w:rsidRPr="00094521">
        <w:rPr>
          <w:b w:val="0"/>
          <w:bCs w:val="0"/>
          <w:sz w:val="20"/>
          <w:szCs w:val="20"/>
        </w:rPr>
        <w:t xml:space="preserve">take such steps as necessary to prevent pollution, and, if such pollution occurs, to minimize </w:t>
      </w:r>
      <w:r>
        <w:rPr>
          <w:b w:val="0"/>
          <w:bCs w:val="0"/>
          <w:sz w:val="20"/>
          <w:szCs w:val="20"/>
        </w:rPr>
        <w:t xml:space="preserve">its </w:t>
      </w:r>
      <w:r w:rsidR="008A26DF" w:rsidRPr="00094521">
        <w:rPr>
          <w:b w:val="0"/>
          <w:bCs w:val="0"/>
          <w:sz w:val="20"/>
          <w:szCs w:val="20"/>
        </w:rPr>
        <w:t>consequences for human health and the environment</w:t>
      </w:r>
      <w:r w:rsidR="00212E52">
        <w:rPr>
          <w:b w:val="0"/>
          <w:bCs w:val="0"/>
          <w:sz w:val="20"/>
          <w:szCs w:val="20"/>
        </w:rPr>
        <w:t>.</w:t>
      </w:r>
    </w:p>
    <w:p w14:paraId="256A5745" w14:textId="3DEC9FD6" w:rsidR="008A26DF" w:rsidRDefault="005213E1" w:rsidP="00043A14">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rPr>
      </w:pPr>
      <w:r>
        <w:rPr>
          <w:b w:val="0"/>
          <w:bCs w:val="0"/>
          <w:sz w:val="20"/>
          <w:szCs w:val="20"/>
        </w:rPr>
        <w:t>I</w:t>
      </w:r>
      <w:r w:rsidRPr="004224BE">
        <w:rPr>
          <w:b w:val="0"/>
          <w:bCs w:val="0"/>
          <w:sz w:val="20"/>
          <w:szCs w:val="20"/>
        </w:rPr>
        <w:t xml:space="preserve">mplement </w:t>
      </w:r>
      <w:r w:rsidR="008A26DF" w:rsidRPr="004224BE">
        <w:rPr>
          <w:b w:val="0"/>
          <w:bCs w:val="0"/>
          <w:sz w:val="20"/>
          <w:szCs w:val="20"/>
        </w:rPr>
        <w:t xml:space="preserve">and enforce the provisions of the Basel </w:t>
      </w:r>
      <w:r w:rsidR="000E40C1">
        <w:rPr>
          <w:b w:val="0"/>
          <w:bCs w:val="0"/>
          <w:sz w:val="20"/>
          <w:szCs w:val="20"/>
        </w:rPr>
        <w:t>C</w:t>
      </w:r>
      <w:r w:rsidR="000E40C1" w:rsidRPr="004224BE">
        <w:rPr>
          <w:b w:val="0"/>
          <w:bCs w:val="0"/>
          <w:sz w:val="20"/>
          <w:szCs w:val="20"/>
        </w:rPr>
        <w:t>onvention</w:t>
      </w:r>
      <w:r w:rsidR="008A26DF" w:rsidRPr="004224BE">
        <w:rPr>
          <w:b w:val="0"/>
          <w:bCs w:val="0"/>
          <w:sz w:val="20"/>
          <w:szCs w:val="20"/>
        </w:rPr>
        <w:t xml:space="preserve">, including to ensure that the transboundary movement of hazardous and other waste is reduced to </w:t>
      </w:r>
      <w:r>
        <w:rPr>
          <w:b w:val="0"/>
          <w:bCs w:val="0"/>
          <w:sz w:val="20"/>
          <w:szCs w:val="20"/>
        </w:rPr>
        <w:t xml:space="preserve">a </w:t>
      </w:r>
      <w:r w:rsidR="008A26DF" w:rsidRPr="004224BE">
        <w:rPr>
          <w:b w:val="0"/>
          <w:bCs w:val="0"/>
          <w:sz w:val="20"/>
          <w:szCs w:val="20"/>
        </w:rPr>
        <w:t>minimum</w:t>
      </w:r>
      <w:r>
        <w:rPr>
          <w:b w:val="0"/>
          <w:bCs w:val="0"/>
          <w:sz w:val="20"/>
          <w:szCs w:val="20"/>
        </w:rPr>
        <w:t>,</w:t>
      </w:r>
      <w:r w:rsidR="008A26DF" w:rsidRPr="004224BE">
        <w:rPr>
          <w:b w:val="0"/>
          <w:bCs w:val="0"/>
          <w:sz w:val="20"/>
          <w:szCs w:val="20"/>
        </w:rPr>
        <w:t xml:space="preserve"> consistent with the environmentally sound and efficient management of such waste, and in such a manner </w:t>
      </w:r>
      <w:r w:rsidR="00D82252">
        <w:rPr>
          <w:b w:val="0"/>
          <w:bCs w:val="0"/>
          <w:sz w:val="20"/>
          <w:szCs w:val="20"/>
        </w:rPr>
        <w:t xml:space="preserve">as </w:t>
      </w:r>
      <w:r w:rsidR="008A26DF" w:rsidRPr="004224BE">
        <w:rPr>
          <w:b w:val="0"/>
          <w:bCs w:val="0"/>
          <w:sz w:val="20"/>
          <w:szCs w:val="20"/>
        </w:rPr>
        <w:t>to protect human health and the environment against the adverse effects which may result from such movement, and that such export is consistent with the provisions of the Basel Convention</w:t>
      </w:r>
      <w:r w:rsidR="00212E52">
        <w:rPr>
          <w:b w:val="0"/>
          <w:bCs w:val="0"/>
          <w:sz w:val="20"/>
          <w:szCs w:val="20"/>
        </w:rPr>
        <w:t>.</w:t>
      </w:r>
    </w:p>
    <w:p w14:paraId="7BA2B99F" w14:textId="58E147BF" w:rsidR="008A26DF" w:rsidRDefault="0054472E"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rPr>
      </w:pPr>
      <w:r>
        <w:rPr>
          <w:b w:val="0"/>
          <w:bCs w:val="0"/>
          <w:sz w:val="20"/>
          <w:szCs w:val="20"/>
        </w:rPr>
        <w:t>P</w:t>
      </w:r>
      <w:r w:rsidRPr="004224BE">
        <w:rPr>
          <w:b w:val="0"/>
          <w:bCs w:val="0"/>
          <w:sz w:val="20"/>
          <w:szCs w:val="20"/>
        </w:rPr>
        <w:t xml:space="preserve">revent </w:t>
      </w:r>
      <w:r w:rsidR="008A26DF" w:rsidRPr="004224BE">
        <w:rPr>
          <w:b w:val="0"/>
          <w:bCs w:val="0"/>
          <w:sz w:val="20"/>
          <w:szCs w:val="20"/>
        </w:rPr>
        <w:t xml:space="preserve">the import of hazardous and other waste </w:t>
      </w:r>
      <w:r>
        <w:rPr>
          <w:b w:val="0"/>
          <w:bCs w:val="0"/>
          <w:sz w:val="20"/>
          <w:szCs w:val="20"/>
        </w:rPr>
        <w:t>in</w:t>
      </w:r>
      <w:r w:rsidR="008A26DF" w:rsidRPr="004224BE">
        <w:rPr>
          <w:b w:val="0"/>
          <w:bCs w:val="0"/>
          <w:sz w:val="20"/>
          <w:szCs w:val="20"/>
        </w:rPr>
        <w:t xml:space="preserve">to its </w:t>
      </w:r>
      <w:r w:rsidR="00440ABB" w:rsidRPr="004224BE">
        <w:rPr>
          <w:b w:val="0"/>
          <w:bCs w:val="0"/>
          <w:sz w:val="20"/>
          <w:szCs w:val="20"/>
        </w:rPr>
        <w:t>territor</w:t>
      </w:r>
      <w:r w:rsidR="00440ABB">
        <w:rPr>
          <w:b w:val="0"/>
          <w:bCs w:val="0"/>
          <w:sz w:val="20"/>
          <w:szCs w:val="20"/>
        </w:rPr>
        <w:t>y</w:t>
      </w:r>
      <w:r w:rsidR="0050186A">
        <w:rPr>
          <w:b w:val="0"/>
          <w:bCs w:val="0"/>
          <w:sz w:val="20"/>
          <w:szCs w:val="20"/>
        </w:rPr>
        <w:t>.</w:t>
      </w:r>
      <w:r w:rsidR="0050186A" w:rsidRPr="004224BE">
        <w:rPr>
          <w:b w:val="0"/>
          <w:bCs w:val="0"/>
          <w:sz w:val="20"/>
          <w:szCs w:val="20"/>
        </w:rPr>
        <w:t xml:space="preserve"> </w:t>
      </w:r>
    </w:p>
    <w:p w14:paraId="2CB7F483" w14:textId="0ECA3BFE" w:rsidR="008A26DF"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9319C9">
        <w:rPr>
          <w:b w:val="0"/>
          <w:bCs w:val="0"/>
          <w:sz w:val="20"/>
          <w:szCs w:val="20"/>
        </w:rPr>
        <w:t xml:space="preserve">Senegal submitted an estimate of the emissions and </w:t>
      </w:r>
      <w:r w:rsidRPr="00CF695F">
        <w:rPr>
          <w:b w:val="0"/>
          <w:bCs w:val="0"/>
          <w:sz w:val="20"/>
          <w:szCs w:val="20"/>
        </w:rPr>
        <w:t>releases of mercury from open burning</w:t>
      </w:r>
      <w:r w:rsidR="00417310" w:rsidRPr="00CF695F">
        <w:rPr>
          <w:b w:val="0"/>
          <w:bCs w:val="0"/>
          <w:sz w:val="20"/>
          <w:szCs w:val="20"/>
        </w:rPr>
        <w:t xml:space="preserve"> in its territory</w:t>
      </w:r>
      <w:r w:rsidRPr="00CF695F">
        <w:rPr>
          <w:b w:val="0"/>
          <w:bCs w:val="0"/>
          <w:sz w:val="20"/>
          <w:szCs w:val="20"/>
        </w:rPr>
        <w:t xml:space="preserve">. </w:t>
      </w:r>
      <w:r w:rsidR="00417310" w:rsidRPr="00CF695F">
        <w:rPr>
          <w:b w:val="0"/>
          <w:bCs w:val="0"/>
          <w:sz w:val="20"/>
          <w:szCs w:val="20"/>
        </w:rPr>
        <w:t xml:space="preserve">It </w:t>
      </w:r>
      <w:r w:rsidRPr="00CF695F">
        <w:rPr>
          <w:b w:val="0"/>
          <w:bCs w:val="0"/>
          <w:sz w:val="20"/>
          <w:szCs w:val="20"/>
        </w:rPr>
        <w:t>estimate</w:t>
      </w:r>
      <w:r w:rsidR="00417310" w:rsidRPr="00CF695F">
        <w:rPr>
          <w:b w:val="0"/>
          <w:bCs w:val="0"/>
          <w:sz w:val="20"/>
          <w:szCs w:val="20"/>
        </w:rPr>
        <w:t>d</w:t>
      </w:r>
      <w:r w:rsidRPr="00CF695F">
        <w:rPr>
          <w:b w:val="0"/>
          <w:bCs w:val="0"/>
          <w:sz w:val="20"/>
          <w:szCs w:val="20"/>
        </w:rPr>
        <w:t xml:space="preserve"> that </w:t>
      </w:r>
      <w:r w:rsidR="00212E52" w:rsidRPr="00CF695F">
        <w:rPr>
          <w:b w:val="0"/>
          <w:bCs w:val="0"/>
          <w:sz w:val="20"/>
          <w:szCs w:val="20"/>
        </w:rPr>
        <w:t>approximately</w:t>
      </w:r>
      <w:r w:rsidRPr="00CF695F">
        <w:rPr>
          <w:b w:val="0"/>
          <w:bCs w:val="0"/>
          <w:sz w:val="20"/>
          <w:szCs w:val="20"/>
        </w:rPr>
        <w:t xml:space="preserve"> 2,557 kg of mercury </w:t>
      </w:r>
      <w:r w:rsidR="00212E52" w:rsidRPr="00160554">
        <w:rPr>
          <w:b w:val="0"/>
          <w:bCs w:val="0"/>
          <w:sz w:val="20"/>
          <w:szCs w:val="20"/>
        </w:rPr>
        <w:t>had been</w:t>
      </w:r>
      <w:r w:rsidRPr="00CF695F">
        <w:rPr>
          <w:b w:val="0"/>
          <w:bCs w:val="0"/>
          <w:sz w:val="20"/>
          <w:szCs w:val="20"/>
        </w:rPr>
        <w:t xml:space="preserve"> emitted to the air, and</w:t>
      </w:r>
      <w:r w:rsidR="00212E52" w:rsidRPr="00CF695F">
        <w:rPr>
          <w:b w:val="0"/>
          <w:bCs w:val="0"/>
          <w:sz w:val="20"/>
          <w:szCs w:val="20"/>
        </w:rPr>
        <w:t xml:space="preserve"> that approximately</w:t>
      </w:r>
      <w:r w:rsidRPr="00CF695F">
        <w:rPr>
          <w:b w:val="0"/>
          <w:bCs w:val="0"/>
          <w:sz w:val="20"/>
          <w:szCs w:val="20"/>
        </w:rPr>
        <w:t xml:space="preserve"> 285 kg of mercury are present in wastes </w:t>
      </w:r>
      <w:r w:rsidR="00417310" w:rsidRPr="00CF695F">
        <w:rPr>
          <w:b w:val="0"/>
          <w:bCs w:val="0"/>
          <w:sz w:val="20"/>
          <w:szCs w:val="20"/>
        </w:rPr>
        <w:t>that remain</w:t>
      </w:r>
      <w:r w:rsidR="00417310" w:rsidRPr="009319C9">
        <w:rPr>
          <w:b w:val="0"/>
          <w:bCs w:val="0"/>
          <w:sz w:val="20"/>
          <w:szCs w:val="20"/>
        </w:rPr>
        <w:t xml:space="preserve"> </w:t>
      </w:r>
      <w:r w:rsidRPr="009319C9">
        <w:rPr>
          <w:b w:val="0"/>
          <w:bCs w:val="0"/>
          <w:sz w:val="20"/>
          <w:szCs w:val="20"/>
        </w:rPr>
        <w:t xml:space="preserve">after burning. </w:t>
      </w:r>
    </w:p>
    <w:p w14:paraId="282C00DC" w14:textId="16D516BB" w:rsidR="008A26DF" w:rsidRPr="009319C9"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9319C9">
        <w:rPr>
          <w:b w:val="0"/>
          <w:bCs w:val="0"/>
          <w:sz w:val="20"/>
          <w:szCs w:val="20"/>
        </w:rPr>
        <w:t xml:space="preserve">South Africa indicated that </w:t>
      </w:r>
      <w:r w:rsidR="00F9562F">
        <w:rPr>
          <w:b w:val="0"/>
          <w:bCs w:val="0"/>
          <w:sz w:val="20"/>
          <w:szCs w:val="20"/>
        </w:rPr>
        <w:t>it</w:t>
      </w:r>
      <w:r w:rsidR="00F9562F" w:rsidRPr="009319C9">
        <w:rPr>
          <w:b w:val="0"/>
          <w:bCs w:val="0"/>
          <w:sz w:val="20"/>
          <w:szCs w:val="20"/>
        </w:rPr>
        <w:t xml:space="preserve"> </w:t>
      </w:r>
      <w:r w:rsidRPr="009319C9">
        <w:rPr>
          <w:b w:val="0"/>
          <w:bCs w:val="0"/>
          <w:sz w:val="20"/>
          <w:szCs w:val="20"/>
        </w:rPr>
        <w:t xml:space="preserve">did not currently have any </w:t>
      </w:r>
      <w:r w:rsidR="00AC1E6B">
        <w:rPr>
          <w:b w:val="0"/>
          <w:bCs w:val="0"/>
          <w:sz w:val="20"/>
          <w:szCs w:val="20"/>
        </w:rPr>
        <w:t>available</w:t>
      </w:r>
      <w:r w:rsidR="00AC1E6B" w:rsidRPr="009319C9">
        <w:rPr>
          <w:b w:val="0"/>
          <w:bCs w:val="0"/>
          <w:sz w:val="20"/>
          <w:szCs w:val="20"/>
        </w:rPr>
        <w:t xml:space="preserve"> </w:t>
      </w:r>
      <w:r w:rsidRPr="009319C9">
        <w:rPr>
          <w:b w:val="0"/>
          <w:bCs w:val="0"/>
          <w:sz w:val="20"/>
          <w:szCs w:val="20"/>
        </w:rPr>
        <w:t>information</w:t>
      </w:r>
      <w:r w:rsidR="00AC1E6B">
        <w:rPr>
          <w:b w:val="0"/>
          <w:bCs w:val="0"/>
          <w:sz w:val="20"/>
          <w:szCs w:val="20"/>
        </w:rPr>
        <w:t xml:space="preserve"> on open burning of waste in its territory</w:t>
      </w:r>
      <w:r>
        <w:rPr>
          <w:b w:val="0"/>
          <w:bCs w:val="0"/>
          <w:sz w:val="20"/>
          <w:szCs w:val="20"/>
        </w:rPr>
        <w:t>, while Uganda indicat</w:t>
      </w:r>
      <w:r w:rsidRPr="009319C9">
        <w:rPr>
          <w:b w:val="0"/>
          <w:bCs w:val="0"/>
          <w:sz w:val="20"/>
          <w:szCs w:val="20"/>
        </w:rPr>
        <w:t xml:space="preserve">ed that solid waste incineration </w:t>
      </w:r>
      <w:r w:rsidR="006A41C1">
        <w:rPr>
          <w:b w:val="0"/>
          <w:bCs w:val="0"/>
          <w:sz w:val="20"/>
          <w:szCs w:val="20"/>
        </w:rPr>
        <w:t>was</w:t>
      </w:r>
      <w:r w:rsidR="006A41C1" w:rsidRPr="009319C9">
        <w:rPr>
          <w:b w:val="0"/>
          <w:bCs w:val="0"/>
          <w:sz w:val="20"/>
          <w:szCs w:val="20"/>
        </w:rPr>
        <w:t xml:space="preserve"> </w:t>
      </w:r>
      <w:r w:rsidRPr="009319C9">
        <w:rPr>
          <w:b w:val="0"/>
          <w:bCs w:val="0"/>
          <w:sz w:val="20"/>
          <w:szCs w:val="20"/>
        </w:rPr>
        <w:t xml:space="preserve">not usually </w:t>
      </w:r>
      <w:r w:rsidR="00115B23" w:rsidRPr="009319C9">
        <w:rPr>
          <w:b w:val="0"/>
          <w:bCs w:val="0"/>
          <w:sz w:val="20"/>
          <w:szCs w:val="20"/>
        </w:rPr>
        <w:t>practi</w:t>
      </w:r>
      <w:r w:rsidR="00115B23">
        <w:rPr>
          <w:b w:val="0"/>
          <w:bCs w:val="0"/>
          <w:sz w:val="20"/>
          <w:szCs w:val="20"/>
        </w:rPr>
        <w:t>s</w:t>
      </w:r>
      <w:r w:rsidR="00115B23" w:rsidRPr="009319C9">
        <w:rPr>
          <w:b w:val="0"/>
          <w:bCs w:val="0"/>
          <w:sz w:val="20"/>
          <w:szCs w:val="20"/>
        </w:rPr>
        <w:t>ed</w:t>
      </w:r>
      <w:r w:rsidR="00AC1E6B">
        <w:rPr>
          <w:b w:val="0"/>
          <w:bCs w:val="0"/>
          <w:sz w:val="20"/>
          <w:szCs w:val="20"/>
        </w:rPr>
        <w:t xml:space="preserve"> in its territory</w:t>
      </w:r>
      <w:r w:rsidRPr="009319C9">
        <w:rPr>
          <w:b w:val="0"/>
          <w:bCs w:val="0"/>
          <w:sz w:val="20"/>
          <w:szCs w:val="20"/>
        </w:rPr>
        <w:t>, with direct landfilling being the most common waste management practice.</w:t>
      </w:r>
    </w:p>
    <w:p w14:paraId="3B29C566" w14:textId="4D79A192" w:rsidR="008A26DF" w:rsidRPr="00124EA9" w:rsidRDefault="008A26DF" w:rsidP="00124EA9">
      <w:pPr>
        <w:pStyle w:val="CH2"/>
      </w:pPr>
      <w:r w:rsidRPr="00124EA9">
        <w:tab/>
      </w:r>
      <w:r w:rsidR="00124EA9">
        <w:t>E.</w:t>
      </w:r>
      <w:r w:rsidRPr="00124EA9">
        <w:tab/>
        <w:t>Conclusions</w:t>
      </w:r>
    </w:p>
    <w:p w14:paraId="4C86ACDA" w14:textId="1D79222D" w:rsidR="008A26DF" w:rsidRDefault="00B70143" w:rsidP="009C1F65">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B70143">
        <w:rPr>
          <w:b w:val="0"/>
          <w:bCs w:val="0"/>
          <w:sz w:val="20"/>
          <w:szCs w:val="20"/>
        </w:rPr>
        <w:t>According to</w:t>
      </w:r>
      <w:r w:rsidR="008A26DF" w:rsidRPr="00B70143">
        <w:rPr>
          <w:b w:val="0"/>
          <w:bCs w:val="0"/>
          <w:sz w:val="20"/>
          <w:szCs w:val="20"/>
        </w:rPr>
        <w:t xml:space="preserve"> the </w:t>
      </w:r>
      <w:r w:rsidR="00A252F3" w:rsidRPr="00B70143">
        <w:rPr>
          <w:b w:val="0"/>
          <w:bCs w:val="0"/>
          <w:sz w:val="20"/>
          <w:szCs w:val="20"/>
        </w:rPr>
        <w:t xml:space="preserve">UNEP </w:t>
      </w:r>
      <w:r w:rsidR="008A26DF" w:rsidRPr="009C1F65">
        <w:rPr>
          <w:b w:val="0"/>
          <w:bCs w:val="0"/>
          <w:i/>
          <w:sz w:val="20"/>
          <w:szCs w:val="20"/>
        </w:rPr>
        <w:t>Global Mercury Assessment</w:t>
      </w:r>
      <w:r w:rsidR="00F1265D" w:rsidRPr="009C1F65">
        <w:rPr>
          <w:b w:val="0"/>
          <w:bCs w:val="0"/>
          <w:i/>
          <w:sz w:val="20"/>
          <w:szCs w:val="20"/>
        </w:rPr>
        <w:t xml:space="preserve"> 2013</w:t>
      </w:r>
      <w:r w:rsidR="008A26DF" w:rsidRPr="00B70143">
        <w:rPr>
          <w:b w:val="0"/>
          <w:bCs w:val="0"/>
          <w:sz w:val="20"/>
          <w:szCs w:val="20"/>
        </w:rPr>
        <w:t>, waste management (including landfill and controlled incineration) contributes less than 5</w:t>
      </w:r>
      <w:r w:rsidR="00A252F3" w:rsidRPr="00B70143">
        <w:rPr>
          <w:b w:val="0"/>
          <w:bCs w:val="0"/>
          <w:sz w:val="20"/>
          <w:szCs w:val="20"/>
        </w:rPr>
        <w:t xml:space="preserve"> per cent </w:t>
      </w:r>
      <w:r w:rsidR="008A26DF" w:rsidRPr="00B70143">
        <w:rPr>
          <w:b w:val="0"/>
          <w:bCs w:val="0"/>
          <w:sz w:val="20"/>
          <w:szCs w:val="20"/>
        </w:rPr>
        <w:t>to overall mercury emissions</w:t>
      </w:r>
      <w:r w:rsidR="008A26DF" w:rsidRPr="00094521">
        <w:rPr>
          <w:b w:val="0"/>
          <w:bCs w:val="0"/>
          <w:sz w:val="20"/>
          <w:szCs w:val="20"/>
        </w:rPr>
        <w:t xml:space="preserve"> globally. Estimates of the contribution from open burning range from none in some countries to potentially 100</w:t>
      </w:r>
      <w:r w:rsidR="00A252F3">
        <w:rPr>
          <w:b w:val="0"/>
          <w:bCs w:val="0"/>
          <w:sz w:val="20"/>
          <w:szCs w:val="20"/>
        </w:rPr>
        <w:t xml:space="preserve"> per cent</w:t>
      </w:r>
      <w:r w:rsidR="00A252F3" w:rsidRPr="00094521">
        <w:rPr>
          <w:b w:val="0"/>
          <w:bCs w:val="0"/>
          <w:sz w:val="20"/>
          <w:szCs w:val="20"/>
        </w:rPr>
        <w:t xml:space="preserve"> </w:t>
      </w:r>
      <w:r w:rsidR="008A26DF" w:rsidRPr="00094521">
        <w:rPr>
          <w:b w:val="0"/>
          <w:bCs w:val="0"/>
          <w:sz w:val="20"/>
          <w:szCs w:val="20"/>
        </w:rPr>
        <w:t>of waste disposal in other countries. Estimates of the quantities of mercury emitted and released will be improved as more data is gathered, a process already under</w:t>
      </w:r>
      <w:r w:rsidR="00393483">
        <w:rPr>
          <w:b w:val="0"/>
          <w:bCs w:val="0"/>
          <w:sz w:val="20"/>
          <w:szCs w:val="20"/>
        </w:rPr>
        <w:t xml:space="preserve"> </w:t>
      </w:r>
      <w:r w:rsidR="008A26DF" w:rsidRPr="00094521">
        <w:rPr>
          <w:b w:val="0"/>
          <w:bCs w:val="0"/>
          <w:sz w:val="20"/>
          <w:szCs w:val="20"/>
        </w:rPr>
        <w:t xml:space="preserve">way in many countries as part of the Minamata Initial Assessments and </w:t>
      </w:r>
      <w:r w:rsidR="000937A4">
        <w:rPr>
          <w:b w:val="0"/>
          <w:bCs w:val="0"/>
          <w:sz w:val="20"/>
          <w:szCs w:val="20"/>
        </w:rPr>
        <w:t xml:space="preserve">the </w:t>
      </w:r>
      <w:r w:rsidR="008A26DF" w:rsidRPr="00094521">
        <w:rPr>
          <w:b w:val="0"/>
          <w:bCs w:val="0"/>
          <w:sz w:val="20"/>
          <w:szCs w:val="20"/>
        </w:rPr>
        <w:t xml:space="preserve">preparations for implementation of the Convention. </w:t>
      </w:r>
    </w:p>
    <w:p w14:paraId="10BE7FA0" w14:textId="4A36BA2F" w:rsidR="00212E52"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rPr>
      </w:pPr>
      <w:r w:rsidRPr="00983DD7">
        <w:rPr>
          <w:b w:val="0"/>
          <w:bCs w:val="0"/>
          <w:sz w:val="20"/>
          <w:szCs w:val="20"/>
        </w:rPr>
        <w:t xml:space="preserve">The challenges of open burning of waste extend, however, far beyond </w:t>
      </w:r>
      <w:r w:rsidR="00A67854">
        <w:rPr>
          <w:b w:val="0"/>
          <w:bCs w:val="0"/>
          <w:sz w:val="20"/>
          <w:szCs w:val="20"/>
        </w:rPr>
        <w:t xml:space="preserve">the problem of </w:t>
      </w:r>
      <w:r w:rsidR="00A67854" w:rsidRPr="00983DD7">
        <w:rPr>
          <w:b w:val="0"/>
          <w:bCs w:val="0"/>
          <w:sz w:val="20"/>
          <w:szCs w:val="20"/>
        </w:rPr>
        <w:t xml:space="preserve">mercury </w:t>
      </w:r>
      <w:r w:rsidRPr="00983DD7">
        <w:rPr>
          <w:b w:val="0"/>
          <w:bCs w:val="0"/>
          <w:sz w:val="20"/>
          <w:szCs w:val="20"/>
        </w:rPr>
        <w:t xml:space="preserve">emissions. As part </w:t>
      </w:r>
      <w:r w:rsidRPr="00FC1941">
        <w:rPr>
          <w:b w:val="0"/>
          <w:bCs w:val="0"/>
          <w:sz w:val="20"/>
          <w:szCs w:val="20"/>
        </w:rPr>
        <w:t>of the overall development agenda, the elimination</w:t>
      </w:r>
      <w:r w:rsidRPr="00983DD7">
        <w:rPr>
          <w:b w:val="0"/>
          <w:bCs w:val="0"/>
          <w:sz w:val="20"/>
          <w:szCs w:val="20"/>
        </w:rPr>
        <w:t xml:space="preserve"> of open burning </w:t>
      </w:r>
      <w:r w:rsidR="00BF1A37">
        <w:rPr>
          <w:b w:val="0"/>
          <w:bCs w:val="0"/>
          <w:sz w:val="20"/>
          <w:szCs w:val="20"/>
        </w:rPr>
        <w:t xml:space="preserve">has been identified </w:t>
      </w:r>
      <w:r w:rsidRPr="00983DD7">
        <w:rPr>
          <w:b w:val="0"/>
          <w:bCs w:val="0"/>
          <w:sz w:val="20"/>
          <w:szCs w:val="20"/>
        </w:rPr>
        <w:t xml:space="preserve">as a priority for sustainable development, </w:t>
      </w:r>
      <w:r w:rsidR="00276C34">
        <w:rPr>
          <w:b w:val="0"/>
          <w:bCs w:val="0"/>
          <w:sz w:val="20"/>
          <w:szCs w:val="20"/>
        </w:rPr>
        <w:t xml:space="preserve">helping to </w:t>
      </w:r>
      <w:r w:rsidR="006E4765">
        <w:rPr>
          <w:b w:val="0"/>
          <w:bCs w:val="0"/>
          <w:sz w:val="20"/>
          <w:szCs w:val="20"/>
        </w:rPr>
        <w:t>reduc</w:t>
      </w:r>
      <w:r w:rsidR="00276C34">
        <w:rPr>
          <w:b w:val="0"/>
          <w:bCs w:val="0"/>
          <w:sz w:val="20"/>
          <w:szCs w:val="20"/>
        </w:rPr>
        <w:t>e</w:t>
      </w:r>
      <w:r w:rsidR="006E4765">
        <w:rPr>
          <w:b w:val="0"/>
          <w:bCs w:val="0"/>
          <w:sz w:val="20"/>
          <w:szCs w:val="20"/>
        </w:rPr>
        <w:t xml:space="preserve"> </w:t>
      </w:r>
      <w:r w:rsidRPr="00983DD7">
        <w:rPr>
          <w:b w:val="0"/>
          <w:bCs w:val="0"/>
          <w:sz w:val="20"/>
          <w:szCs w:val="20"/>
        </w:rPr>
        <w:t xml:space="preserve">a range of air pollutants </w:t>
      </w:r>
      <w:r w:rsidR="00276C34">
        <w:rPr>
          <w:b w:val="0"/>
          <w:bCs w:val="0"/>
          <w:sz w:val="20"/>
          <w:szCs w:val="20"/>
        </w:rPr>
        <w:t xml:space="preserve">and providing </w:t>
      </w:r>
      <w:r w:rsidRPr="00983DD7">
        <w:rPr>
          <w:b w:val="0"/>
          <w:bCs w:val="0"/>
          <w:sz w:val="20"/>
          <w:szCs w:val="20"/>
        </w:rPr>
        <w:t>social and economic benefits.</w:t>
      </w:r>
    </w:p>
    <w:p w14:paraId="7702ECE0" w14:textId="77777777" w:rsidR="00212E52" w:rsidRDefault="00212E52">
      <w:pPr>
        <w:tabs>
          <w:tab w:val="clear" w:pos="1247"/>
          <w:tab w:val="clear" w:pos="1814"/>
          <w:tab w:val="clear" w:pos="2381"/>
          <w:tab w:val="clear" w:pos="2948"/>
          <w:tab w:val="clear" w:pos="3515"/>
        </w:tabs>
      </w:pPr>
      <w:r>
        <w:rPr>
          <w:b/>
          <w:bCs/>
        </w:rPr>
        <w:br w:type="page"/>
      </w:r>
    </w:p>
    <w:p w14:paraId="06015E7A" w14:textId="2634FEDB" w:rsidR="001447D6" w:rsidRPr="00D4346C" w:rsidRDefault="008A26DF" w:rsidP="00124EA9">
      <w:pPr>
        <w:pStyle w:val="CH1"/>
      </w:pPr>
      <w:r>
        <w:tab/>
      </w:r>
      <w:r>
        <w:tab/>
      </w:r>
      <w:r w:rsidRPr="00160554">
        <w:t>References</w:t>
      </w:r>
    </w:p>
    <w:p w14:paraId="7D9219B3" w14:textId="77777777" w:rsidR="001447D6" w:rsidRPr="00160554" w:rsidRDefault="001447D6" w:rsidP="001447D6">
      <w:pPr>
        <w:pStyle w:val="Normal-pool"/>
        <w:spacing w:after="120"/>
        <w:ind w:left="1247"/>
      </w:pPr>
      <w:proofErr w:type="spellStart"/>
      <w:r>
        <w:t>Antonis</w:t>
      </w:r>
      <w:proofErr w:type="spellEnd"/>
      <w:r>
        <w:t xml:space="preserve"> </w:t>
      </w:r>
      <w:proofErr w:type="spellStart"/>
      <w:r w:rsidRPr="00A7426B">
        <w:t>Mavropoulos</w:t>
      </w:r>
      <w:proofErr w:type="spellEnd"/>
      <w:r>
        <w:t>,</w:t>
      </w:r>
      <w:r w:rsidRPr="00466643" w:rsidDel="00893D3A">
        <w:t xml:space="preserve"> </w:t>
      </w:r>
      <w:r>
        <w:t>“</w:t>
      </w:r>
      <w:r w:rsidRPr="00946F15">
        <w:t xml:space="preserve">Wasted </w:t>
      </w:r>
      <w:r>
        <w:t>h</w:t>
      </w:r>
      <w:r w:rsidRPr="00946F15">
        <w:t xml:space="preserve">ealth: </w:t>
      </w:r>
      <w:r>
        <w:t>t</w:t>
      </w:r>
      <w:r w:rsidRPr="00160554">
        <w:t xml:space="preserve">he </w:t>
      </w:r>
      <w:r>
        <w:t>t</w:t>
      </w:r>
      <w:r w:rsidRPr="00160554">
        <w:t xml:space="preserve">ragic </w:t>
      </w:r>
      <w:r>
        <w:t>c</w:t>
      </w:r>
      <w:r w:rsidRPr="00160554">
        <w:t xml:space="preserve">ase of </w:t>
      </w:r>
      <w:r>
        <w:t>d</w:t>
      </w:r>
      <w:r w:rsidRPr="00160554">
        <w:t>umpsites</w:t>
      </w:r>
      <w:r>
        <w:t>”</w:t>
      </w:r>
      <w:r w:rsidRPr="00160554">
        <w:t xml:space="preserve"> </w:t>
      </w:r>
      <w:r>
        <w:t xml:space="preserve">(Vienna, </w:t>
      </w:r>
      <w:r w:rsidRPr="00160554">
        <w:t>International Solid Waste Association, June 2015</w:t>
      </w:r>
      <w:r>
        <w:t xml:space="preserve">), available at </w:t>
      </w:r>
      <w:hyperlink r:id="rId12" w:history="1">
        <w:r w:rsidRPr="00160554">
          <w:rPr>
            <w:rStyle w:val="Hyperlink"/>
            <w:lang w:val="en-GB"/>
          </w:rPr>
          <w:t>www.iswa.org/fileadmin/galleries/Task_Forces/THE_TRAGIC_CASE_OF_DUMPSITES.pdf</w:t>
        </w:r>
      </w:hyperlink>
      <w:r>
        <w:t xml:space="preserve">. </w:t>
      </w:r>
    </w:p>
    <w:p w14:paraId="5D133403" w14:textId="39BF05D2" w:rsidR="008A26DF" w:rsidRPr="00160554" w:rsidRDefault="00F40DDB" w:rsidP="008A26DF">
      <w:pPr>
        <w:pStyle w:val="Normal-pool"/>
        <w:spacing w:after="120"/>
        <w:ind w:left="1247"/>
      </w:pPr>
      <w:proofErr w:type="gramStart"/>
      <w:r w:rsidRPr="00A7426B">
        <w:t>United Nations Environment Programme</w:t>
      </w:r>
      <w:r w:rsidR="002D38F5">
        <w:t xml:space="preserve"> (2013).</w:t>
      </w:r>
      <w:proofErr w:type="gramEnd"/>
      <w:r w:rsidRPr="00F40DDB">
        <w:rPr>
          <w:i/>
        </w:rPr>
        <w:t xml:space="preserve"> </w:t>
      </w:r>
      <w:r w:rsidR="008A26DF" w:rsidRPr="00160554">
        <w:rPr>
          <w:i/>
        </w:rPr>
        <w:t>Global Mercury Assessment 2013: Sources, Emissions, Releases and Environmental Transport</w:t>
      </w:r>
      <w:r w:rsidR="008A26DF" w:rsidRPr="00160554">
        <w:t xml:space="preserve"> </w:t>
      </w:r>
      <w:r>
        <w:t xml:space="preserve">(Geneva, </w:t>
      </w:r>
      <w:r w:rsidR="008A26DF" w:rsidRPr="00160554">
        <w:t>2013</w:t>
      </w:r>
      <w:r>
        <w:t>)</w:t>
      </w:r>
      <w:r w:rsidR="0058023F">
        <w:t>.</w:t>
      </w:r>
      <w:r w:rsidR="002D38F5">
        <w:t xml:space="preserve"> </w:t>
      </w:r>
      <w:proofErr w:type="gramStart"/>
      <w:r w:rsidR="002D38F5">
        <w:t xml:space="preserve">Available from </w:t>
      </w:r>
      <w:r w:rsidR="002D38F5" w:rsidRPr="002D38F5">
        <w:t>http://www.unep.org/chemicalsandwaste/what-we-do/technology-and-metals/mercury/</w:t>
      </w:r>
      <w:r w:rsidR="000F4946">
        <w:br/>
      </w:r>
      <w:r w:rsidR="002D38F5" w:rsidRPr="002D38F5">
        <w:t>global-mercury-assessment</w:t>
      </w:r>
      <w:r w:rsidR="001447D6">
        <w:t>.</w:t>
      </w:r>
      <w:proofErr w:type="gramEnd"/>
    </w:p>
    <w:p w14:paraId="44BF3AF8" w14:textId="587A31CF" w:rsidR="008A26DF" w:rsidRDefault="002D38F5">
      <w:pPr>
        <w:pStyle w:val="Normal-pool"/>
        <w:spacing w:after="120"/>
        <w:ind w:left="1247"/>
      </w:pPr>
      <w:r>
        <w:rPr>
          <w:bCs/>
        </w:rPr>
        <w:t>__________</w:t>
      </w:r>
      <w:proofErr w:type="gramStart"/>
      <w:r>
        <w:rPr>
          <w:bCs/>
        </w:rPr>
        <w:t>_(</w:t>
      </w:r>
      <w:proofErr w:type="gramEnd"/>
      <w:r>
        <w:rPr>
          <w:bCs/>
        </w:rPr>
        <w:t>2015).</w:t>
      </w:r>
      <w:r w:rsidR="00351732">
        <w:t>,</w:t>
      </w:r>
      <w:r w:rsidR="00351732" w:rsidRPr="00351732" w:rsidDel="00351732">
        <w:t xml:space="preserve"> </w:t>
      </w:r>
      <w:r w:rsidR="008A26DF" w:rsidRPr="00160554">
        <w:rPr>
          <w:i/>
        </w:rPr>
        <w:t>Global Waste Management Outlook</w:t>
      </w:r>
      <w:r>
        <w:rPr>
          <w:i/>
        </w:rPr>
        <w:t>,</w:t>
      </w:r>
      <w:r w:rsidR="008A26DF" w:rsidRPr="00160554">
        <w:t xml:space="preserve"> </w:t>
      </w:r>
      <w:r w:rsidR="00351732">
        <w:t xml:space="preserve"> available from </w:t>
      </w:r>
      <w:hyperlink r:id="rId13" w:history="1">
        <w:r w:rsidRPr="007E1811">
          <w:rPr>
            <w:rStyle w:val="Hyperlink"/>
            <w:lang w:val="en-GB"/>
          </w:rPr>
          <w:t>www.unep.org/ietc/Portals/136/Publications/Waste%20Management/GWMO%20report/GWMO%20full%20report.pdf</w:t>
        </w:r>
      </w:hyperlink>
      <w:r w:rsidR="0058023F">
        <w:t>.</w:t>
      </w:r>
    </w:p>
    <w:p w14:paraId="52E6451F" w14:textId="1E3D890A" w:rsidR="008A26DF" w:rsidRDefault="002D38F5" w:rsidP="000F4946">
      <w:pPr>
        <w:pStyle w:val="Normal-pool"/>
        <w:spacing w:after="120"/>
        <w:ind w:left="1247"/>
      </w:pPr>
      <w:proofErr w:type="gramStart"/>
      <w:r>
        <w:rPr>
          <w:bCs/>
        </w:rPr>
        <w:t>___________ (2017).</w:t>
      </w:r>
      <w:proofErr w:type="gramEnd"/>
      <w:r>
        <w:rPr>
          <w:bCs/>
        </w:rPr>
        <w:t xml:space="preserve"> </w:t>
      </w:r>
      <w:proofErr w:type="gramStart"/>
      <w:r>
        <w:rPr>
          <w:bCs/>
        </w:rPr>
        <w:t>“</w:t>
      </w:r>
      <w:r w:rsidRPr="000F4946">
        <w:rPr>
          <w:bCs/>
        </w:rPr>
        <w:t>Toolkit for Identification and Quantification of Mercury Releases</w:t>
      </w:r>
      <w:r>
        <w:rPr>
          <w:bCs/>
        </w:rPr>
        <w:t xml:space="preserve">”, available from </w:t>
      </w:r>
      <w:r w:rsidRPr="002D38F5">
        <w:rPr>
          <w:bCs/>
        </w:rPr>
        <w:t>http://www.unep.org/chemicalsandwaste/what-we-do/technology-and-metals/mercury/</w:t>
      </w:r>
      <w:r w:rsidR="000F4946">
        <w:rPr>
          <w:bCs/>
        </w:rPr>
        <w:br/>
      </w:r>
      <w:r w:rsidRPr="002D38F5">
        <w:rPr>
          <w:bCs/>
        </w:rPr>
        <w:t>toolkit-identification-and-quantification-mercury-releases</w:t>
      </w:r>
      <w:r>
        <w:rPr>
          <w:bCs/>
        </w:rPr>
        <w:t>.</w:t>
      </w:r>
      <w:proofErr w:type="gramEnd"/>
    </w:p>
    <w:tbl>
      <w:tblPr>
        <w:tblW w:w="0" w:type="auto"/>
        <w:tblLook w:val="04A0" w:firstRow="1" w:lastRow="0" w:firstColumn="1" w:lastColumn="0" w:noHBand="0" w:noVBand="1"/>
      </w:tblPr>
      <w:tblGrid>
        <w:gridCol w:w="1942"/>
        <w:gridCol w:w="1942"/>
        <w:gridCol w:w="1942"/>
        <w:gridCol w:w="1943"/>
        <w:gridCol w:w="1943"/>
      </w:tblGrid>
      <w:tr w:rsidR="00E976AB" w:rsidRPr="00D25175" w14:paraId="6DB0CABC" w14:textId="77777777" w:rsidTr="00990918">
        <w:tc>
          <w:tcPr>
            <w:tcW w:w="1942" w:type="dxa"/>
            <w:shd w:val="clear" w:color="auto" w:fill="auto"/>
          </w:tcPr>
          <w:p w14:paraId="6D3F7C2C" w14:textId="77777777" w:rsidR="00E976AB" w:rsidRPr="00D25175" w:rsidRDefault="00E976AB" w:rsidP="00990918">
            <w:pPr>
              <w:pStyle w:val="Normal-pool"/>
              <w:spacing w:before="520"/>
            </w:pPr>
          </w:p>
        </w:tc>
        <w:tc>
          <w:tcPr>
            <w:tcW w:w="1942" w:type="dxa"/>
            <w:shd w:val="clear" w:color="auto" w:fill="auto"/>
          </w:tcPr>
          <w:p w14:paraId="378BA037" w14:textId="77777777" w:rsidR="00E976AB" w:rsidRPr="00D25175" w:rsidRDefault="00E976AB" w:rsidP="00990918">
            <w:pPr>
              <w:pStyle w:val="Normal-pool"/>
              <w:spacing w:before="520"/>
            </w:pPr>
          </w:p>
        </w:tc>
        <w:tc>
          <w:tcPr>
            <w:tcW w:w="1942" w:type="dxa"/>
            <w:tcBorders>
              <w:bottom w:val="single" w:sz="4" w:space="0" w:color="auto"/>
            </w:tcBorders>
            <w:shd w:val="clear" w:color="auto" w:fill="auto"/>
          </w:tcPr>
          <w:p w14:paraId="028E3E1E" w14:textId="77777777" w:rsidR="00E976AB" w:rsidRPr="00D25175" w:rsidRDefault="00E976AB" w:rsidP="00990918">
            <w:pPr>
              <w:pStyle w:val="Normal-pool"/>
              <w:spacing w:before="520"/>
            </w:pPr>
          </w:p>
        </w:tc>
        <w:tc>
          <w:tcPr>
            <w:tcW w:w="1943" w:type="dxa"/>
            <w:shd w:val="clear" w:color="auto" w:fill="auto"/>
          </w:tcPr>
          <w:p w14:paraId="25F1BA19" w14:textId="77777777" w:rsidR="00E976AB" w:rsidRPr="00D25175" w:rsidRDefault="00E976AB" w:rsidP="00990918">
            <w:pPr>
              <w:pStyle w:val="Normal-pool"/>
              <w:spacing w:before="520"/>
            </w:pPr>
          </w:p>
        </w:tc>
        <w:tc>
          <w:tcPr>
            <w:tcW w:w="1943" w:type="dxa"/>
            <w:shd w:val="clear" w:color="auto" w:fill="auto"/>
          </w:tcPr>
          <w:p w14:paraId="457D2993" w14:textId="77777777" w:rsidR="00E976AB" w:rsidRPr="00D25175" w:rsidRDefault="00E976AB" w:rsidP="00990918">
            <w:pPr>
              <w:pStyle w:val="Normal-pool"/>
              <w:spacing w:before="520"/>
            </w:pPr>
          </w:p>
        </w:tc>
      </w:tr>
    </w:tbl>
    <w:p w14:paraId="325E8270" w14:textId="77777777" w:rsidR="00032E4E" w:rsidRPr="00D25175" w:rsidRDefault="00032E4E" w:rsidP="00D013F5">
      <w:pPr>
        <w:pStyle w:val="Normal-pool"/>
      </w:pPr>
    </w:p>
    <w:sectPr w:rsidR="00032E4E" w:rsidRPr="00D25175" w:rsidSect="00C771A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4FFD7" w15:done="0"/>
  <w15:commentEx w15:paraId="14C7A01E" w15:done="0"/>
  <w15:commentEx w15:paraId="49565D8A" w15:done="0"/>
  <w15:commentEx w15:paraId="114F4B48" w15:done="0"/>
  <w15:commentEx w15:paraId="2A07B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55E70" w14:textId="77777777" w:rsidR="002D38F5" w:rsidRDefault="002D38F5">
      <w:r>
        <w:separator/>
      </w:r>
    </w:p>
  </w:endnote>
  <w:endnote w:type="continuationSeparator" w:id="0">
    <w:p w14:paraId="5B7727B9" w14:textId="77777777" w:rsidR="002D38F5" w:rsidRDefault="002D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2D38F5" w:rsidRDefault="002D38F5">
    <w:pPr>
      <w:pStyle w:val="Footer"/>
    </w:pPr>
    <w:r>
      <w:rPr>
        <w:rStyle w:val="PageNumber"/>
      </w:rPr>
      <w:fldChar w:fldCharType="begin"/>
    </w:r>
    <w:r>
      <w:rPr>
        <w:rStyle w:val="PageNumber"/>
      </w:rPr>
      <w:instrText xml:space="preserve"> PAGE </w:instrText>
    </w:r>
    <w:r>
      <w:rPr>
        <w:rStyle w:val="PageNumber"/>
      </w:rPr>
      <w:fldChar w:fldCharType="separate"/>
    </w:r>
    <w:r w:rsidR="000F4946">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2D38F5" w:rsidRDefault="002D38F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F4946">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23F78080" w:rsidR="002D38F5" w:rsidRPr="00D25175" w:rsidRDefault="002D38F5">
    <w:pPr>
      <w:pStyle w:val="Footer"/>
      <w:rPr>
        <w:sz w:val="20"/>
      </w:rPr>
    </w:pPr>
    <w:r w:rsidRPr="00D25175">
      <w:rPr>
        <w:sz w:val="20"/>
      </w:rPr>
      <w:t>K170</w:t>
    </w:r>
    <w:r>
      <w:rPr>
        <w:sz w:val="20"/>
      </w:rPr>
      <w:t>6019</w:t>
    </w:r>
    <w:r w:rsidRPr="00D25175">
      <w:rPr>
        <w:sz w:val="20"/>
      </w:rPr>
      <w:tab/>
    </w:r>
    <w:r w:rsidR="000F4946">
      <w:rPr>
        <w:sz w:val="20"/>
      </w:rPr>
      <w:t>28</w:t>
    </w:r>
    <w:r>
      <w:rPr>
        <w:sz w:val="20"/>
      </w:rPr>
      <w:t>06</w:t>
    </w:r>
    <w:r w:rsidRPr="00D25175">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79FB2" w14:textId="77777777" w:rsidR="002D38F5" w:rsidRDefault="002D38F5" w:rsidP="00D92DE0">
      <w:pPr>
        <w:ind w:left="624"/>
      </w:pPr>
      <w:r>
        <w:separator/>
      </w:r>
    </w:p>
  </w:footnote>
  <w:footnote w:type="continuationSeparator" w:id="0">
    <w:p w14:paraId="43444A2B" w14:textId="77777777" w:rsidR="002D38F5" w:rsidRDefault="002D38F5">
      <w:r>
        <w:continuationSeparator/>
      </w:r>
    </w:p>
  </w:footnote>
  <w:footnote w:id="1">
    <w:p w14:paraId="577F1B17" w14:textId="396043BB" w:rsidR="002D38F5" w:rsidRPr="00067B00" w:rsidRDefault="002D38F5" w:rsidP="0058023F">
      <w:pPr>
        <w:tabs>
          <w:tab w:val="left" w:pos="624"/>
        </w:tabs>
        <w:spacing w:before="20" w:after="40"/>
        <w:ind w:left="1247"/>
        <w:rPr>
          <w:sz w:val="18"/>
          <w:szCs w:val="18"/>
        </w:rPr>
      </w:pPr>
      <w:proofErr w:type="gramStart"/>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r w:rsidRPr="00036ACD">
        <w:rPr>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2253ED96" w:rsidR="002D38F5" w:rsidRPr="00CA5CA9" w:rsidRDefault="002D38F5"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08CE47B9" w:rsidR="002D38F5" w:rsidRPr="00CA5CA9" w:rsidRDefault="002D38F5"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7C63F8FD" w:rsidR="002D38F5" w:rsidRDefault="002D38F5"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35C757BA"/>
    <w:multiLevelType w:val="hybridMultilevel"/>
    <w:tmpl w:val="7B9A27E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nsid w:val="49B028CC"/>
    <w:multiLevelType w:val="hybridMultilevel"/>
    <w:tmpl w:val="9B5A6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792C62EB"/>
    <w:multiLevelType w:val="hybridMultilevel"/>
    <w:tmpl w:val="526680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5"/>
  </w:num>
  <w:num w:numId="5">
    <w:abstractNumId w:val="5"/>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lvl w:ilvl="0">
        <w:start w:val="1"/>
        <w:numFmt w:val="decimal"/>
        <w:pStyle w:val="Normalnumber"/>
        <w:lvlText w:val="%1."/>
        <w:lvlJc w:val="left"/>
        <w:pPr>
          <w:tabs>
            <w:tab w:val="num" w:pos="1305"/>
          </w:tabs>
          <w:ind w:left="1418" w:firstLine="0"/>
        </w:pPr>
        <w:rPr>
          <w:rFonts w:hint="default"/>
          <w:b w:val="0"/>
          <w:bCs w:val="0"/>
        </w:rPr>
      </w:lvl>
    </w:lvlOverride>
  </w:num>
  <w:num w:numId="23">
    <w:abstractNumId w:val="5"/>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4"/>
  </w:num>
  <w:num w:numId="25">
    <w:abstractNumId w:val="6"/>
  </w:num>
  <w:num w:numId="26">
    <w:abstractNumId w:val="5"/>
  </w:num>
  <w:num w:numId="27">
    <w:abstractNumId w:val="5"/>
  </w:num>
  <w:num w:numId="28">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32772"/>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330B"/>
    <w:rsid w:val="000077AD"/>
    <w:rsid w:val="00011A16"/>
    <w:rsid w:val="000144C2"/>
    <w:rsid w:val="000149E6"/>
    <w:rsid w:val="00014F1D"/>
    <w:rsid w:val="00021CD6"/>
    <w:rsid w:val="00023DA9"/>
    <w:rsid w:val="000247B0"/>
    <w:rsid w:val="00026997"/>
    <w:rsid w:val="00026A08"/>
    <w:rsid w:val="00032E4E"/>
    <w:rsid w:val="00033E0B"/>
    <w:rsid w:val="00035EDE"/>
    <w:rsid w:val="00041A09"/>
    <w:rsid w:val="00043A14"/>
    <w:rsid w:val="000509B4"/>
    <w:rsid w:val="00053F8F"/>
    <w:rsid w:val="0006035B"/>
    <w:rsid w:val="0006096F"/>
    <w:rsid w:val="000649C5"/>
    <w:rsid w:val="00071886"/>
    <w:rsid w:val="000741D7"/>
    <w:rsid w:val="000742BC"/>
    <w:rsid w:val="00076CC6"/>
    <w:rsid w:val="00082A0C"/>
    <w:rsid w:val="00083504"/>
    <w:rsid w:val="00091A3E"/>
    <w:rsid w:val="000937A4"/>
    <w:rsid w:val="0009640C"/>
    <w:rsid w:val="000A02EC"/>
    <w:rsid w:val="000A11E0"/>
    <w:rsid w:val="000A27AC"/>
    <w:rsid w:val="000B22A2"/>
    <w:rsid w:val="000B73F9"/>
    <w:rsid w:val="000C2A52"/>
    <w:rsid w:val="000C2A88"/>
    <w:rsid w:val="000D28B0"/>
    <w:rsid w:val="000D33C0"/>
    <w:rsid w:val="000D4CF6"/>
    <w:rsid w:val="000D6941"/>
    <w:rsid w:val="000D6F0B"/>
    <w:rsid w:val="000E40C1"/>
    <w:rsid w:val="000F4829"/>
    <w:rsid w:val="000F4946"/>
    <w:rsid w:val="001024C9"/>
    <w:rsid w:val="00113B90"/>
    <w:rsid w:val="00114AA1"/>
    <w:rsid w:val="00115B23"/>
    <w:rsid w:val="001202E3"/>
    <w:rsid w:val="00123699"/>
    <w:rsid w:val="001241FB"/>
    <w:rsid w:val="00124EA9"/>
    <w:rsid w:val="0013059D"/>
    <w:rsid w:val="00134DB6"/>
    <w:rsid w:val="00136187"/>
    <w:rsid w:val="0014059B"/>
    <w:rsid w:val="00141A55"/>
    <w:rsid w:val="0014281C"/>
    <w:rsid w:val="0014293F"/>
    <w:rsid w:val="0014397D"/>
    <w:rsid w:val="001446A3"/>
    <w:rsid w:val="001447D6"/>
    <w:rsid w:val="00152B6B"/>
    <w:rsid w:val="00155395"/>
    <w:rsid w:val="00155A2F"/>
    <w:rsid w:val="00156B6B"/>
    <w:rsid w:val="00160554"/>
    <w:rsid w:val="00160D74"/>
    <w:rsid w:val="001646EA"/>
    <w:rsid w:val="001654AE"/>
    <w:rsid w:val="00167C79"/>
    <w:rsid w:val="00167D02"/>
    <w:rsid w:val="001710A8"/>
    <w:rsid w:val="001759D8"/>
    <w:rsid w:val="00177D7F"/>
    <w:rsid w:val="00180C3F"/>
    <w:rsid w:val="00181829"/>
    <w:rsid w:val="00181EC8"/>
    <w:rsid w:val="00184349"/>
    <w:rsid w:val="00190E62"/>
    <w:rsid w:val="00195F33"/>
    <w:rsid w:val="001B1617"/>
    <w:rsid w:val="001B504B"/>
    <w:rsid w:val="001B6F98"/>
    <w:rsid w:val="001C191A"/>
    <w:rsid w:val="001D3874"/>
    <w:rsid w:val="001D4E00"/>
    <w:rsid w:val="001D5447"/>
    <w:rsid w:val="001D7E75"/>
    <w:rsid w:val="001E0D73"/>
    <w:rsid w:val="001E36F3"/>
    <w:rsid w:val="001E4347"/>
    <w:rsid w:val="001E45BD"/>
    <w:rsid w:val="001E56D2"/>
    <w:rsid w:val="001E7D56"/>
    <w:rsid w:val="001E7DFC"/>
    <w:rsid w:val="001F5ADF"/>
    <w:rsid w:val="001F75DE"/>
    <w:rsid w:val="00200D58"/>
    <w:rsid w:val="002011C1"/>
    <w:rsid w:val="002013BE"/>
    <w:rsid w:val="00201EDC"/>
    <w:rsid w:val="002057B5"/>
    <w:rsid w:val="002063A4"/>
    <w:rsid w:val="0021145B"/>
    <w:rsid w:val="00212E52"/>
    <w:rsid w:val="00214196"/>
    <w:rsid w:val="00220C23"/>
    <w:rsid w:val="002247F6"/>
    <w:rsid w:val="00225E21"/>
    <w:rsid w:val="00225E44"/>
    <w:rsid w:val="00230569"/>
    <w:rsid w:val="00234E78"/>
    <w:rsid w:val="00235A32"/>
    <w:rsid w:val="00243D36"/>
    <w:rsid w:val="00246151"/>
    <w:rsid w:val="00247707"/>
    <w:rsid w:val="00252456"/>
    <w:rsid w:val="0026018E"/>
    <w:rsid w:val="0026226B"/>
    <w:rsid w:val="00276C34"/>
    <w:rsid w:val="00286740"/>
    <w:rsid w:val="00290CFA"/>
    <w:rsid w:val="00291EAE"/>
    <w:rsid w:val="002929D8"/>
    <w:rsid w:val="00292CE8"/>
    <w:rsid w:val="002A237D"/>
    <w:rsid w:val="002A4C53"/>
    <w:rsid w:val="002B0672"/>
    <w:rsid w:val="002B247F"/>
    <w:rsid w:val="002B27A9"/>
    <w:rsid w:val="002B50D4"/>
    <w:rsid w:val="002B58BF"/>
    <w:rsid w:val="002C145D"/>
    <w:rsid w:val="002C2C3E"/>
    <w:rsid w:val="002C533E"/>
    <w:rsid w:val="002D027F"/>
    <w:rsid w:val="002D1133"/>
    <w:rsid w:val="002D38F5"/>
    <w:rsid w:val="002D3E15"/>
    <w:rsid w:val="002D3E52"/>
    <w:rsid w:val="002D7A85"/>
    <w:rsid w:val="002D7B60"/>
    <w:rsid w:val="002E4AB4"/>
    <w:rsid w:val="002F4761"/>
    <w:rsid w:val="002F5C79"/>
    <w:rsid w:val="002F68EE"/>
    <w:rsid w:val="002F7A33"/>
    <w:rsid w:val="003019E2"/>
    <w:rsid w:val="00304338"/>
    <w:rsid w:val="00305743"/>
    <w:rsid w:val="00310BEB"/>
    <w:rsid w:val="0031413F"/>
    <w:rsid w:val="00314854"/>
    <w:rsid w:val="003148BB"/>
    <w:rsid w:val="00317976"/>
    <w:rsid w:val="00320F2F"/>
    <w:rsid w:val="003228BE"/>
    <w:rsid w:val="0032457E"/>
    <w:rsid w:val="00325D38"/>
    <w:rsid w:val="00333D11"/>
    <w:rsid w:val="003433D9"/>
    <w:rsid w:val="00351732"/>
    <w:rsid w:val="0035277E"/>
    <w:rsid w:val="003528F9"/>
    <w:rsid w:val="00355EA9"/>
    <w:rsid w:val="003578DE"/>
    <w:rsid w:val="00357A72"/>
    <w:rsid w:val="00361688"/>
    <w:rsid w:val="00363258"/>
    <w:rsid w:val="00363EC2"/>
    <w:rsid w:val="00367432"/>
    <w:rsid w:val="003834D8"/>
    <w:rsid w:val="003877D5"/>
    <w:rsid w:val="003929B8"/>
    <w:rsid w:val="00393432"/>
    <w:rsid w:val="00393483"/>
    <w:rsid w:val="00396257"/>
    <w:rsid w:val="00397EB8"/>
    <w:rsid w:val="003A4FD0"/>
    <w:rsid w:val="003A69D1"/>
    <w:rsid w:val="003A6E04"/>
    <w:rsid w:val="003A7705"/>
    <w:rsid w:val="003A77F1"/>
    <w:rsid w:val="003B1545"/>
    <w:rsid w:val="003B1CFE"/>
    <w:rsid w:val="003B4C9E"/>
    <w:rsid w:val="003B5C96"/>
    <w:rsid w:val="003C00D1"/>
    <w:rsid w:val="003C3219"/>
    <w:rsid w:val="003C409D"/>
    <w:rsid w:val="003C4544"/>
    <w:rsid w:val="003C5583"/>
    <w:rsid w:val="003C5BA6"/>
    <w:rsid w:val="003C7322"/>
    <w:rsid w:val="003C74CF"/>
    <w:rsid w:val="003D2646"/>
    <w:rsid w:val="003D2C1C"/>
    <w:rsid w:val="003D3752"/>
    <w:rsid w:val="003E1661"/>
    <w:rsid w:val="003E35DA"/>
    <w:rsid w:val="003E455D"/>
    <w:rsid w:val="003F0E85"/>
    <w:rsid w:val="00410C55"/>
    <w:rsid w:val="00416854"/>
    <w:rsid w:val="00416DCF"/>
    <w:rsid w:val="00417310"/>
    <w:rsid w:val="00417725"/>
    <w:rsid w:val="0042266F"/>
    <w:rsid w:val="004302AF"/>
    <w:rsid w:val="00431D71"/>
    <w:rsid w:val="00437F26"/>
    <w:rsid w:val="00440ABB"/>
    <w:rsid w:val="00444097"/>
    <w:rsid w:val="00445487"/>
    <w:rsid w:val="00447076"/>
    <w:rsid w:val="00447E0D"/>
    <w:rsid w:val="00453EA8"/>
    <w:rsid w:val="00454769"/>
    <w:rsid w:val="004547AA"/>
    <w:rsid w:val="00466643"/>
    <w:rsid w:val="00466991"/>
    <w:rsid w:val="0047064C"/>
    <w:rsid w:val="00471555"/>
    <w:rsid w:val="004822B7"/>
    <w:rsid w:val="0049469E"/>
    <w:rsid w:val="004A2217"/>
    <w:rsid w:val="004A24F9"/>
    <w:rsid w:val="004A3BAE"/>
    <w:rsid w:val="004A42E1"/>
    <w:rsid w:val="004B162C"/>
    <w:rsid w:val="004B163F"/>
    <w:rsid w:val="004B2ABE"/>
    <w:rsid w:val="004C3DBE"/>
    <w:rsid w:val="004C5C96"/>
    <w:rsid w:val="004D06A4"/>
    <w:rsid w:val="004E5A2B"/>
    <w:rsid w:val="004F1A81"/>
    <w:rsid w:val="004F36B0"/>
    <w:rsid w:val="00501354"/>
    <w:rsid w:val="00501866"/>
    <w:rsid w:val="0050186A"/>
    <w:rsid w:val="005046DA"/>
    <w:rsid w:val="005050D2"/>
    <w:rsid w:val="005213E1"/>
    <w:rsid w:val="005218D9"/>
    <w:rsid w:val="00536186"/>
    <w:rsid w:val="0054472E"/>
    <w:rsid w:val="00544CBB"/>
    <w:rsid w:val="00551B65"/>
    <w:rsid w:val="00554EB0"/>
    <w:rsid w:val="00556704"/>
    <w:rsid w:val="005656D7"/>
    <w:rsid w:val="00565BF4"/>
    <w:rsid w:val="0057315F"/>
    <w:rsid w:val="00576104"/>
    <w:rsid w:val="0058023F"/>
    <w:rsid w:val="00583FF4"/>
    <w:rsid w:val="00586418"/>
    <w:rsid w:val="00592B21"/>
    <w:rsid w:val="005944DF"/>
    <w:rsid w:val="005B1496"/>
    <w:rsid w:val="005B44BF"/>
    <w:rsid w:val="005B7F60"/>
    <w:rsid w:val="005C67C8"/>
    <w:rsid w:val="005D0249"/>
    <w:rsid w:val="005D18FA"/>
    <w:rsid w:val="005D4FD4"/>
    <w:rsid w:val="005D6717"/>
    <w:rsid w:val="005D6E8C"/>
    <w:rsid w:val="005E0057"/>
    <w:rsid w:val="005E3004"/>
    <w:rsid w:val="005F100C"/>
    <w:rsid w:val="005F68DA"/>
    <w:rsid w:val="005F7419"/>
    <w:rsid w:val="00601BC9"/>
    <w:rsid w:val="006063DF"/>
    <w:rsid w:val="0060773B"/>
    <w:rsid w:val="00613FD6"/>
    <w:rsid w:val="006157B5"/>
    <w:rsid w:val="00617224"/>
    <w:rsid w:val="00625A42"/>
    <w:rsid w:val="00626FC6"/>
    <w:rsid w:val="006303B4"/>
    <w:rsid w:val="00630ADC"/>
    <w:rsid w:val="00633D3D"/>
    <w:rsid w:val="006375A9"/>
    <w:rsid w:val="00641703"/>
    <w:rsid w:val="006431A6"/>
    <w:rsid w:val="00643E3A"/>
    <w:rsid w:val="006459F6"/>
    <w:rsid w:val="006501AD"/>
    <w:rsid w:val="00651BFA"/>
    <w:rsid w:val="0065277B"/>
    <w:rsid w:val="00654475"/>
    <w:rsid w:val="00656DF0"/>
    <w:rsid w:val="00665A4B"/>
    <w:rsid w:val="00667C5D"/>
    <w:rsid w:val="00690E7B"/>
    <w:rsid w:val="00692E2A"/>
    <w:rsid w:val="00692ECD"/>
    <w:rsid w:val="0069496A"/>
    <w:rsid w:val="006A41C1"/>
    <w:rsid w:val="006A5C27"/>
    <w:rsid w:val="006A76F2"/>
    <w:rsid w:val="006B09A2"/>
    <w:rsid w:val="006B33F3"/>
    <w:rsid w:val="006B7D29"/>
    <w:rsid w:val="006C3DB7"/>
    <w:rsid w:val="006D19D4"/>
    <w:rsid w:val="006D2D62"/>
    <w:rsid w:val="006D2E9B"/>
    <w:rsid w:val="006D5644"/>
    <w:rsid w:val="006D7EFB"/>
    <w:rsid w:val="006E4765"/>
    <w:rsid w:val="006E6672"/>
    <w:rsid w:val="006E6722"/>
    <w:rsid w:val="006F7AFF"/>
    <w:rsid w:val="007027B9"/>
    <w:rsid w:val="007066B5"/>
    <w:rsid w:val="007145DA"/>
    <w:rsid w:val="0071548E"/>
    <w:rsid w:val="00715E88"/>
    <w:rsid w:val="00720462"/>
    <w:rsid w:val="00720D61"/>
    <w:rsid w:val="00734CAA"/>
    <w:rsid w:val="00735F78"/>
    <w:rsid w:val="00740EE2"/>
    <w:rsid w:val="00742680"/>
    <w:rsid w:val="007451E1"/>
    <w:rsid w:val="0075533C"/>
    <w:rsid w:val="00755A18"/>
    <w:rsid w:val="00757581"/>
    <w:rsid w:val="007602F5"/>
    <w:rsid w:val="00760D36"/>
    <w:rsid w:val="007611A0"/>
    <w:rsid w:val="00772574"/>
    <w:rsid w:val="00773E54"/>
    <w:rsid w:val="00787688"/>
    <w:rsid w:val="007935E6"/>
    <w:rsid w:val="00796984"/>
    <w:rsid w:val="00796D3F"/>
    <w:rsid w:val="007A1683"/>
    <w:rsid w:val="007A2028"/>
    <w:rsid w:val="007A5C12"/>
    <w:rsid w:val="007A7CB0"/>
    <w:rsid w:val="007B0B6D"/>
    <w:rsid w:val="007B3761"/>
    <w:rsid w:val="007B68A3"/>
    <w:rsid w:val="007C1232"/>
    <w:rsid w:val="007C2541"/>
    <w:rsid w:val="007C4999"/>
    <w:rsid w:val="007D04A5"/>
    <w:rsid w:val="007D223C"/>
    <w:rsid w:val="007D66A8"/>
    <w:rsid w:val="007E003F"/>
    <w:rsid w:val="007F0CF8"/>
    <w:rsid w:val="007F3555"/>
    <w:rsid w:val="007F62CB"/>
    <w:rsid w:val="00803A10"/>
    <w:rsid w:val="00806118"/>
    <w:rsid w:val="00806C29"/>
    <w:rsid w:val="008110CF"/>
    <w:rsid w:val="00813853"/>
    <w:rsid w:val="008142EC"/>
    <w:rsid w:val="00814D57"/>
    <w:rsid w:val="00815DE2"/>
    <w:rsid w:val="008164F2"/>
    <w:rsid w:val="00821395"/>
    <w:rsid w:val="008279F4"/>
    <w:rsid w:val="00830E26"/>
    <w:rsid w:val="00834368"/>
    <w:rsid w:val="0083441A"/>
    <w:rsid w:val="00843576"/>
    <w:rsid w:val="00843B64"/>
    <w:rsid w:val="00846D4B"/>
    <w:rsid w:val="008478FC"/>
    <w:rsid w:val="00851C51"/>
    <w:rsid w:val="0085524F"/>
    <w:rsid w:val="00866F81"/>
    <w:rsid w:val="00867BFF"/>
    <w:rsid w:val="00871542"/>
    <w:rsid w:val="00872BF6"/>
    <w:rsid w:val="00875D5E"/>
    <w:rsid w:val="0088480A"/>
    <w:rsid w:val="0088757A"/>
    <w:rsid w:val="00893D3A"/>
    <w:rsid w:val="0089431B"/>
    <w:rsid w:val="00895668"/>
    <w:rsid w:val="008957DD"/>
    <w:rsid w:val="00897D98"/>
    <w:rsid w:val="008A26DF"/>
    <w:rsid w:val="008A2768"/>
    <w:rsid w:val="008A6DF2"/>
    <w:rsid w:val="008A7807"/>
    <w:rsid w:val="008B4CC9"/>
    <w:rsid w:val="008B6368"/>
    <w:rsid w:val="008C0B15"/>
    <w:rsid w:val="008D75E4"/>
    <w:rsid w:val="008D7C99"/>
    <w:rsid w:val="008E0FCB"/>
    <w:rsid w:val="008E6C73"/>
    <w:rsid w:val="008F6DFE"/>
    <w:rsid w:val="00900007"/>
    <w:rsid w:val="0090529F"/>
    <w:rsid w:val="00910084"/>
    <w:rsid w:val="00910767"/>
    <w:rsid w:val="0091236F"/>
    <w:rsid w:val="00917825"/>
    <w:rsid w:val="0092054B"/>
    <w:rsid w:val="0092178C"/>
    <w:rsid w:val="00927471"/>
    <w:rsid w:val="00930B88"/>
    <w:rsid w:val="00935376"/>
    <w:rsid w:val="00940DCC"/>
    <w:rsid w:val="0094179A"/>
    <w:rsid w:val="0094459E"/>
    <w:rsid w:val="00944DBC"/>
    <w:rsid w:val="00946F15"/>
    <w:rsid w:val="00950977"/>
    <w:rsid w:val="00951A7B"/>
    <w:rsid w:val="00955512"/>
    <w:rsid w:val="009564A6"/>
    <w:rsid w:val="00956AAF"/>
    <w:rsid w:val="00957EF8"/>
    <w:rsid w:val="00961263"/>
    <w:rsid w:val="00966A53"/>
    <w:rsid w:val="00967621"/>
    <w:rsid w:val="00967E6A"/>
    <w:rsid w:val="00982117"/>
    <w:rsid w:val="009902C7"/>
    <w:rsid w:val="009907B9"/>
    <w:rsid w:val="00990918"/>
    <w:rsid w:val="009A3A83"/>
    <w:rsid w:val="009B0D84"/>
    <w:rsid w:val="009B4A0F"/>
    <w:rsid w:val="009C11D2"/>
    <w:rsid w:val="009C1F65"/>
    <w:rsid w:val="009C5C08"/>
    <w:rsid w:val="009C5FFC"/>
    <w:rsid w:val="009C6C70"/>
    <w:rsid w:val="009C7B0A"/>
    <w:rsid w:val="009D0B63"/>
    <w:rsid w:val="009D5CB8"/>
    <w:rsid w:val="009E17CD"/>
    <w:rsid w:val="009E307E"/>
    <w:rsid w:val="00A072C4"/>
    <w:rsid w:val="00A07870"/>
    <w:rsid w:val="00A07C54"/>
    <w:rsid w:val="00A07F19"/>
    <w:rsid w:val="00A1348D"/>
    <w:rsid w:val="00A13C99"/>
    <w:rsid w:val="00A232EE"/>
    <w:rsid w:val="00A252F3"/>
    <w:rsid w:val="00A35D6C"/>
    <w:rsid w:val="00A40357"/>
    <w:rsid w:val="00A4175F"/>
    <w:rsid w:val="00A42E0B"/>
    <w:rsid w:val="00A44411"/>
    <w:rsid w:val="00A469FA"/>
    <w:rsid w:val="00A47445"/>
    <w:rsid w:val="00A53662"/>
    <w:rsid w:val="00A55A0A"/>
    <w:rsid w:val="00A55B01"/>
    <w:rsid w:val="00A56B5B"/>
    <w:rsid w:val="00A603FF"/>
    <w:rsid w:val="00A61013"/>
    <w:rsid w:val="00A61199"/>
    <w:rsid w:val="00A619B6"/>
    <w:rsid w:val="00A63491"/>
    <w:rsid w:val="00A648CA"/>
    <w:rsid w:val="00A657DD"/>
    <w:rsid w:val="00A666A6"/>
    <w:rsid w:val="00A675FD"/>
    <w:rsid w:val="00A67854"/>
    <w:rsid w:val="00A72437"/>
    <w:rsid w:val="00A8048B"/>
    <w:rsid w:val="00A80611"/>
    <w:rsid w:val="00A807D4"/>
    <w:rsid w:val="00A82795"/>
    <w:rsid w:val="00A93E8D"/>
    <w:rsid w:val="00A97FFE"/>
    <w:rsid w:val="00AA0384"/>
    <w:rsid w:val="00AA52D4"/>
    <w:rsid w:val="00AA5BF4"/>
    <w:rsid w:val="00AB5340"/>
    <w:rsid w:val="00AB544E"/>
    <w:rsid w:val="00AC0A89"/>
    <w:rsid w:val="00AC1E6B"/>
    <w:rsid w:val="00AC2885"/>
    <w:rsid w:val="00AC7C96"/>
    <w:rsid w:val="00AD5D6B"/>
    <w:rsid w:val="00AD5EDF"/>
    <w:rsid w:val="00AD6DEE"/>
    <w:rsid w:val="00AE0812"/>
    <w:rsid w:val="00AE237D"/>
    <w:rsid w:val="00AE502A"/>
    <w:rsid w:val="00AF0010"/>
    <w:rsid w:val="00AF2C1F"/>
    <w:rsid w:val="00AF7C07"/>
    <w:rsid w:val="00B06C64"/>
    <w:rsid w:val="00B11CAC"/>
    <w:rsid w:val="00B15A29"/>
    <w:rsid w:val="00B21142"/>
    <w:rsid w:val="00B228B7"/>
    <w:rsid w:val="00B22C93"/>
    <w:rsid w:val="00B27589"/>
    <w:rsid w:val="00B405B7"/>
    <w:rsid w:val="00B468C0"/>
    <w:rsid w:val="00B5034E"/>
    <w:rsid w:val="00B52222"/>
    <w:rsid w:val="00B531DA"/>
    <w:rsid w:val="00B54895"/>
    <w:rsid w:val="00B54FE7"/>
    <w:rsid w:val="00B647C6"/>
    <w:rsid w:val="00B655F9"/>
    <w:rsid w:val="00B66901"/>
    <w:rsid w:val="00B66F60"/>
    <w:rsid w:val="00B70143"/>
    <w:rsid w:val="00B71E6D"/>
    <w:rsid w:val="00B72070"/>
    <w:rsid w:val="00B779E1"/>
    <w:rsid w:val="00B81E3A"/>
    <w:rsid w:val="00B85CFB"/>
    <w:rsid w:val="00B914E9"/>
    <w:rsid w:val="00B91EE1"/>
    <w:rsid w:val="00B93972"/>
    <w:rsid w:val="00B93FBB"/>
    <w:rsid w:val="00B94602"/>
    <w:rsid w:val="00BA0090"/>
    <w:rsid w:val="00BA1A67"/>
    <w:rsid w:val="00BA4933"/>
    <w:rsid w:val="00BA6A80"/>
    <w:rsid w:val="00BB3439"/>
    <w:rsid w:val="00BB4ABB"/>
    <w:rsid w:val="00BC419C"/>
    <w:rsid w:val="00BC62BA"/>
    <w:rsid w:val="00BD2A8F"/>
    <w:rsid w:val="00BD552C"/>
    <w:rsid w:val="00BE5B5F"/>
    <w:rsid w:val="00BE7993"/>
    <w:rsid w:val="00BF04B3"/>
    <w:rsid w:val="00BF1A37"/>
    <w:rsid w:val="00BF6D63"/>
    <w:rsid w:val="00C17641"/>
    <w:rsid w:val="00C20818"/>
    <w:rsid w:val="00C26F55"/>
    <w:rsid w:val="00C27483"/>
    <w:rsid w:val="00C30C63"/>
    <w:rsid w:val="00C30FF3"/>
    <w:rsid w:val="00C314F9"/>
    <w:rsid w:val="00C33F02"/>
    <w:rsid w:val="00C34D5C"/>
    <w:rsid w:val="00C36B8B"/>
    <w:rsid w:val="00C415C1"/>
    <w:rsid w:val="00C47DBF"/>
    <w:rsid w:val="00C552FF"/>
    <w:rsid w:val="00C558DA"/>
    <w:rsid w:val="00C55AF3"/>
    <w:rsid w:val="00C56B14"/>
    <w:rsid w:val="00C74AAB"/>
    <w:rsid w:val="00C771A9"/>
    <w:rsid w:val="00C80ADD"/>
    <w:rsid w:val="00C84759"/>
    <w:rsid w:val="00C908CE"/>
    <w:rsid w:val="00C93096"/>
    <w:rsid w:val="00C9545A"/>
    <w:rsid w:val="00CA5CA9"/>
    <w:rsid w:val="00CA6C7F"/>
    <w:rsid w:val="00CA7E2C"/>
    <w:rsid w:val="00CB007D"/>
    <w:rsid w:val="00CB60CA"/>
    <w:rsid w:val="00CC0FC7"/>
    <w:rsid w:val="00CC10A6"/>
    <w:rsid w:val="00CC2F78"/>
    <w:rsid w:val="00CD5EB8"/>
    <w:rsid w:val="00CD7044"/>
    <w:rsid w:val="00CE08B9"/>
    <w:rsid w:val="00CE3515"/>
    <w:rsid w:val="00CE524C"/>
    <w:rsid w:val="00CE66F8"/>
    <w:rsid w:val="00CF141F"/>
    <w:rsid w:val="00CF15AE"/>
    <w:rsid w:val="00CF4777"/>
    <w:rsid w:val="00CF52C2"/>
    <w:rsid w:val="00CF65C8"/>
    <w:rsid w:val="00CF695F"/>
    <w:rsid w:val="00D013F5"/>
    <w:rsid w:val="00D052EE"/>
    <w:rsid w:val="00D05E3F"/>
    <w:rsid w:val="00D067BB"/>
    <w:rsid w:val="00D1352A"/>
    <w:rsid w:val="00D1638E"/>
    <w:rsid w:val="00D169AF"/>
    <w:rsid w:val="00D200EF"/>
    <w:rsid w:val="00D25175"/>
    <w:rsid w:val="00D25249"/>
    <w:rsid w:val="00D26854"/>
    <w:rsid w:val="00D31988"/>
    <w:rsid w:val="00D3373A"/>
    <w:rsid w:val="00D44172"/>
    <w:rsid w:val="00D47BE3"/>
    <w:rsid w:val="00D63B8C"/>
    <w:rsid w:val="00D739CC"/>
    <w:rsid w:val="00D806F9"/>
    <w:rsid w:val="00D8093D"/>
    <w:rsid w:val="00D8108C"/>
    <w:rsid w:val="00D82252"/>
    <w:rsid w:val="00D842AE"/>
    <w:rsid w:val="00D87B6A"/>
    <w:rsid w:val="00D91A66"/>
    <w:rsid w:val="00D9211C"/>
    <w:rsid w:val="00D92363"/>
    <w:rsid w:val="00D92DE0"/>
    <w:rsid w:val="00D92FEF"/>
    <w:rsid w:val="00D931F9"/>
    <w:rsid w:val="00D93A0F"/>
    <w:rsid w:val="00DA1BCA"/>
    <w:rsid w:val="00DA3663"/>
    <w:rsid w:val="00DB5BB0"/>
    <w:rsid w:val="00DC46FF"/>
    <w:rsid w:val="00DC5254"/>
    <w:rsid w:val="00DC569D"/>
    <w:rsid w:val="00DD12E6"/>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04A7"/>
    <w:rsid w:val="00E32F59"/>
    <w:rsid w:val="00E33F2F"/>
    <w:rsid w:val="00E41908"/>
    <w:rsid w:val="00E41A91"/>
    <w:rsid w:val="00E434BA"/>
    <w:rsid w:val="00E43CE0"/>
    <w:rsid w:val="00E46D9A"/>
    <w:rsid w:val="00E52C98"/>
    <w:rsid w:val="00E565FF"/>
    <w:rsid w:val="00E65388"/>
    <w:rsid w:val="00E67F20"/>
    <w:rsid w:val="00E73C23"/>
    <w:rsid w:val="00E7741D"/>
    <w:rsid w:val="00E808CD"/>
    <w:rsid w:val="00E80AA2"/>
    <w:rsid w:val="00E8348F"/>
    <w:rsid w:val="00E85B7D"/>
    <w:rsid w:val="00E9121B"/>
    <w:rsid w:val="00E9302E"/>
    <w:rsid w:val="00E976AB"/>
    <w:rsid w:val="00EA0AE2"/>
    <w:rsid w:val="00EA39E5"/>
    <w:rsid w:val="00EA57A3"/>
    <w:rsid w:val="00EA71B4"/>
    <w:rsid w:val="00EB41F2"/>
    <w:rsid w:val="00EC2813"/>
    <w:rsid w:val="00EC5A46"/>
    <w:rsid w:val="00EC63E2"/>
    <w:rsid w:val="00ED0225"/>
    <w:rsid w:val="00ED366A"/>
    <w:rsid w:val="00ED6BB7"/>
    <w:rsid w:val="00EE0943"/>
    <w:rsid w:val="00EF22B3"/>
    <w:rsid w:val="00F03B69"/>
    <w:rsid w:val="00F07A50"/>
    <w:rsid w:val="00F113DA"/>
    <w:rsid w:val="00F1265D"/>
    <w:rsid w:val="00F266FC"/>
    <w:rsid w:val="00F3037A"/>
    <w:rsid w:val="00F3314C"/>
    <w:rsid w:val="00F3465A"/>
    <w:rsid w:val="00F37DC8"/>
    <w:rsid w:val="00F40DDB"/>
    <w:rsid w:val="00F439B3"/>
    <w:rsid w:val="00F64E3B"/>
    <w:rsid w:val="00F650C3"/>
    <w:rsid w:val="00F65D85"/>
    <w:rsid w:val="00F6700B"/>
    <w:rsid w:val="00F7137B"/>
    <w:rsid w:val="00F8091E"/>
    <w:rsid w:val="00F80C3C"/>
    <w:rsid w:val="00F8615C"/>
    <w:rsid w:val="00F94207"/>
    <w:rsid w:val="00F9562F"/>
    <w:rsid w:val="00F969E5"/>
    <w:rsid w:val="00F97E99"/>
    <w:rsid w:val="00FA2F2A"/>
    <w:rsid w:val="00FA4972"/>
    <w:rsid w:val="00FA6BB0"/>
    <w:rsid w:val="00FB2DBD"/>
    <w:rsid w:val="00FB783E"/>
    <w:rsid w:val="00FC1941"/>
    <w:rsid w:val="00FD48DF"/>
    <w:rsid w:val="00FD5860"/>
    <w:rsid w:val="00FE352D"/>
    <w:rsid w:val="00FE40EB"/>
    <w:rsid w:val="00FE4D02"/>
    <w:rsid w:val="00FE7D62"/>
    <w:rsid w:val="00FF045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8A26DF"/>
    <w:rPr>
      <w:b/>
      <w:sz w:val="28"/>
      <w:szCs w:val="28"/>
      <w:lang w:eastAsia="en-US"/>
    </w:rPr>
  </w:style>
  <w:style w:type="character" w:customStyle="1" w:styleId="CH2Char">
    <w:name w:val="CH2 Char"/>
    <w:link w:val="CH2"/>
    <w:rsid w:val="008A26DF"/>
    <w:rPr>
      <w:b/>
      <w:sz w:val="24"/>
      <w:szCs w:val="24"/>
      <w:lang w:eastAsia="en-US"/>
    </w:rPr>
  </w:style>
  <w:style w:type="character" w:customStyle="1" w:styleId="ZZAnxtitleChar">
    <w:name w:val="ZZ_Anx_title Char"/>
    <w:link w:val="ZZAnxtitle"/>
    <w:rsid w:val="008A26DF"/>
    <w:rPr>
      <w:b/>
      <w:bCs/>
      <w:sz w:val="28"/>
      <w:szCs w:val="26"/>
      <w:lang w:eastAsia="en-US"/>
    </w:rPr>
  </w:style>
  <w:style w:type="character" w:customStyle="1" w:styleId="ZZAnxheaderChar">
    <w:name w:val="ZZ_Anx_header Char"/>
    <w:link w:val="ZZAnxheader"/>
    <w:rsid w:val="008A26DF"/>
    <w:rPr>
      <w:b/>
      <w:bCs/>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8A26DF"/>
    <w:rPr>
      <w:b/>
      <w:sz w:val="28"/>
      <w:szCs w:val="28"/>
      <w:lang w:eastAsia="en-US"/>
    </w:rPr>
  </w:style>
  <w:style w:type="character" w:customStyle="1" w:styleId="CH2Char">
    <w:name w:val="CH2 Char"/>
    <w:link w:val="CH2"/>
    <w:rsid w:val="008A26DF"/>
    <w:rPr>
      <w:b/>
      <w:sz w:val="24"/>
      <w:szCs w:val="24"/>
      <w:lang w:eastAsia="en-US"/>
    </w:rPr>
  </w:style>
  <w:style w:type="character" w:customStyle="1" w:styleId="ZZAnxtitleChar">
    <w:name w:val="ZZ_Anx_title Char"/>
    <w:link w:val="ZZAnxtitle"/>
    <w:rsid w:val="008A26DF"/>
    <w:rPr>
      <w:b/>
      <w:bCs/>
      <w:sz w:val="28"/>
      <w:szCs w:val="26"/>
      <w:lang w:eastAsia="en-US"/>
    </w:rPr>
  </w:style>
  <w:style w:type="character" w:customStyle="1" w:styleId="ZZAnxheaderChar">
    <w:name w:val="ZZ_Anx_header Char"/>
    <w:link w:val="ZZAnxheader"/>
    <w:rsid w:val="008A26DF"/>
    <w:rPr>
      <w:b/>
      <w:bCs/>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p.org/ietc/Portals/136/Publications/Waste%20Management/GWMO%20report/GWMO%20full%20report.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LotusNotesDocs\notesA4517B\www.iswa.org\fileadmin\galleries\Task_Forces\THE_TRAGIC_CASE_OF_DUMPSIT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4A25-7430-4158-B246-4CC771DC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DD2AE421.dotm</Template>
  <TotalTime>3</TotalTime>
  <Pages>6</Pages>
  <Words>2159</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3</cp:revision>
  <cp:lastPrinted>2016-07-18T09:51:00Z</cp:lastPrinted>
  <dcterms:created xsi:type="dcterms:W3CDTF">2017-06-28T13:24:00Z</dcterms:created>
  <dcterms:modified xsi:type="dcterms:W3CDTF">2017-06-28T13:27:00Z</dcterms:modified>
</cp:coreProperties>
</file>