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D25175" w14:paraId="4B9F0F9B" w14:textId="77777777" w:rsidTr="00CB007D">
        <w:trPr>
          <w:cantSplit/>
          <w:trHeight w:val="850"/>
          <w:jc w:val="right"/>
        </w:trPr>
        <w:tc>
          <w:tcPr>
            <w:tcW w:w="1550" w:type="dxa"/>
          </w:tcPr>
          <w:p w14:paraId="2A9B9F9D" w14:textId="3176BDCD" w:rsidR="00032E4E" w:rsidRPr="00D25175" w:rsidRDefault="00032E4E" w:rsidP="00023DA9">
            <w:pPr>
              <w:rPr>
                <w:rFonts w:ascii="Univers" w:hAnsi="Univers"/>
                <w:b/>
                <w:noProof/>
                <w:sz w:val="27"/>
                <w:szCs w:val="27"/>
              </w:rPr>
            </w:pPr>
            <w:r w:rsidRPr="00D25175">
              <w:rPr>
                <w:rFonts w:ascii="Arial" w:hAnsi="Arial" w:cs="Arial"/>
                <w:b/>
                <w:noProof/>
                <w:sz w:val="27"/>
                <w:szCs w:val="27"/>
              </w:rPr>
              <w:t>UNITED</w:t>
            </w:r>
            <w:r w:rsidRPr="00D25175">
              <w:rPr>
                <w:rFonts w:ascii="Arial" w:hAnsi="Arial" w:cs="Arial"/>
                <w:b/>
                <w:noProof/>
                <w:sz w:val="27"/>
                <w:szCs w:val="27"/>
              </w:rPr>
              <w:br/>
              <w:t>NATIONS</w:t>
            </w:r>
          </w:p>
        </w:tc>
        <w:tc>
          <w:tcPr>
            <w:tcW w:w="4751" w:type="dxa"/>
          </w:tcPr>
          <w:p w14:paraId="2F47229A" w14:textId="52BA9DC0" w:rsidR="00032E4E" w:rsidRPr="00D25175" w:rsidRDefault="00032E4E" w:rsidP="004A1D8F">
            <w:pPr>
              <w:rPr>
                <w:rFonts w:ascii="Univers" w:hAnsi="Univers"/>
                <w:b/>
                <w:sz w:val="27"/>
                <w:szCs w:val="27"/>
              </w:rPr>
            </w:pPr>
          </w:p>
        </w:tc>
        <w:tc>
          <w:tcPr>
            <w:tcW w:w="3411" w:type="dxa"/>
          </w:tcPr>
          <w:p w14:paraId="57073C3F"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023DA9">
            <w:pPr>
              <w:rPr>
                <w:noProof/>
                <w:sz w:val="18"/>
                <w:szCs w:val="18"/>
              </w:rPr>
            </w:pPr>
          </w:p>
        </w:tc>
        <w:tc>
          <w:tcPr>
            <w:tcW w:w="4751" w:type="dxa"/>
            <w:tcBorders>
              <w:bottom w:val="single" w:sz="4" w:space="0" w:color="auto"/>
            </w:tcBorders>
          </w:tcPr>
          <w:p w14:paraId="54296B4D"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40639F8" w14:textId="0BED9BCD" w:rsidR="00032E4E" w:rsidRPr="00D25175" w:rsidRDefault="00032E4E" w:rsidP="00787688">
            <w:pPr>
              <w:rPr>
                <w:noProof/>
                <w:sz w:val="18"/>
                <w:szCs w:val="18"/>
              </w:rPr>
            </w:pPr>
            <w:r w:rsidRPr="00D25175">
              <w:rPr>
                <w:b/>
                <w:bCs/>
                <w:sz w:val="28"/>
              </w:rPr>
              <w:t>UNEP</w:t>
            </w:r>
            <w:bookmarkStart w:id="0" w:name="OLE_LINK1"/>
            <w:bookmarkStart w:id="1" w:name="OLE_LINK2"/>
            <w:r w:rsidR="00787688" w:rsidRPr="00D25175">
              <w:rPr>
                <w:b/>
                <w:bCs/>
                <w:sz w:val="28"/>
              </w:rPr>
              <w:t>/</w:t>
            </w:r>
            <w:r w:rsidR="00787688" w:rsidRPr="00D25175">
              <w:t>MC</w:t>
            </w:r>
            <w:r w:rsidRPr="00D25175">
              <w:t>/</w:t>
            </w:r>
            <w:bookmarkEnd w:id="0"/>
            <w:bookmarkEnd w:id="1"/>
            <w:r w:rsidR="00787688" w:rsidRPr="00D25175">
              <w:t>COP.1</w:t>
            </w:r>
            <w:r w:rsidRPr="00D25175">
              <w:t>/</w:t>
            </w:r>
            <w:r w:rsidR="00D013F5" w:rsidRPr="00D25175">
              <w:t>1</w:t>
            </w:r>
            <w:r w:rsidR="00FE7303">
              <w:t>5</w:t>
            </w:r>
          </w:p>
        </w:tc>
      </w:tr>
      <w:bookmarkStart w:id="2" w:name="_MON_1021710510"/>
      <w:bookmarkStart w:id="3" w:name="_MON_1021710482"/>
      <w:bookmarkEnd w:id="2"/>
      <w:bookmarkEnd w:id="3"/>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032E4E" w:rsidP="00023DA9">
            <w:pPr>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pt;height:60.4pt" o:ole="" fillcolor="window">
                  <v:imagedata r:id="rId9" o:title=""/>
                </v:shape>
                <o:OLEObject Type="Embed" ProgID="Word.Picture.8" ShapeID="_x0000_i1025" DrawAspect="Content" ObjectID="_1559458291" r:id="rId10"/>
              </w:object>
            </w:r>
            <w:r w:rsidR="00011A16" w:rsidRPr="00D25175">
              <w:rPr>
                <w:noProof/>
                <w:lang w:val="en-US"/>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77777777" w:rsidR="00032E4E" w:rsidRPr="00D25175" w:rsidRDefault="00032E4E" w:rsidP="00023DA9">
            <w:pPr>
              <w:spacing w:before="1200"/>
              <w:rPr>
                <w:rFonts w:ascii="Arial" w:hAnsi="Arial" w:cs="Arial"/>
                <w:b/>
                <w:sz w:val="28"/>
              </w:rPr>
            </w:pPr>
            <w:r w:rsidRPr="00D25175">
              <w:rPr>
                <w:rFonts w:ascii="Arial" w:hAnsi="Arial" w:cs="Arial"/>
                <w:b/>
                <w:sz w:val="32"/>
                <w:szCs w:val="32"/>
              </w:rPr>
              <w:t>United Nations</w:t>
            </w:r>
            <w:r w:rsidRPr="00D25175">
              <w:rPr>
                <w:rFonts w:ascii="Arial" w:hAnsi="Arial" w:cs="Arial"/>
                <w:b/>
                <w:sz w:val="32"/>
                <w:szCs w:val="32"/>
              </w:rPr>
              <w:br w:type="textWrapping" w:clear="all"/>
              <w:t>Environment</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619619D9" w:rsidR="00032E4E" w:rsidRPr="00D25175" w:rsidRDefault="00032E4E" w:rsidP="00787688">
            <w:pPr>
              <w:spacing w:before="120"/>
            </w:pPr>
            <w:r w:rsidRPr="00D25175">
              <w:t>Distr.: General</w:t>
            </w:r>
            <w:r w:rsidRPr="00D25175">
              <w:br w:type="textWrapping" w:clear="all"/>
            </w:r>
            <w:r w:rsidR="00957EF8" w:rsidRPr="00D25175">
              <w:t>2</w:t>
            </w:r>
            <w:r w:rsidR="00FE7303">
              <w:t>5 May</w:t>
            </w:r>
            <w:r w:rsidR="00957EF8" w:rsidRPr="00D25175">
              <w:t xml:space="preserve"> </w:t>
            </w:r>
            <w:r w:rsidR="0042266F" w:rsidRPr="00D25175">
              <w:t>2017</w:t>
            </w:r>
          </w:p>
          <w:p w14:paraId="1A75CF9D" w14:textId="77777777" w:rsidR="00032E4E" w:rsidRPr="00D25175" w:rsidRDefault="00032E4E" w:rsidP="00023DA9">
            <w:pPr>
              <w:spacing w:before="240"/>
            </w:pPr>
            <w:r w:rsidRPr="00D25175">
              <w:t>Original: English</w:t>
            </w:r>
          </w:p>
        </w:tc>
      </w:tr>
    </w:tbl>
    <w:p w14:paraId="767774C9" w14:textId="657E30A3" w:rsidR="00CB007D" w:rsidRPr="00D25175" w:rsidRDefault="00CB007D" w:rsidP="00CB007D">
      <w:pPr>
        <w:pStyle w:val="AATitle"/>
        <w:keepNext w:val="0"/>
        <w:keepLines w:val="0"/>
      </w:pPr>
      <w:r w:rsidRPr="00D25175">
        <w:t>Conference of the Parties</w:t>
      </w:r>
      <w:r>
        <w:t xml:space="preserve"> to the</w:t>
      </w:r>
    </w:p>
    <w:p w14:paraId="0A4BFFDA" w14:textId="77777777" w:rsidR="00E976AB" w:rsidRPr="00D25175" w:rsidRDefault="00787688" w:rsidP="00E976AB">
      <w:pPr>
        <w:pStyle w:val="AATitle"/>
        <w:keepNext w:val="0"/>
        <w:keepLines w:val="0"/>
      </w:pPr>
      <w:r w:rsidRPr="00D25175">
        <w:t>Minamata Convention on Mercury</w:t>
      </w:r>
    </w:p>
    <w:p w14:paraId="26A6CAA0" w14:textId="77777777" w:rsidR="00E976AB" w:rsidRPr="00D25175" w:rsidRDefault="00787688" w:rsidP="00E976AB">
      <w:pPr>
        <w:pStyle w:val="AATitle"/>
        <w:keepNext w:val="0"/>
        <w:keepLines w:val="0"/>
      </w:pPr>
      <w:r w:rsidRPr="00D25175">
        <w:t>First meeting</w:t>
      </w:r>
    </w:p>
    <w:p w14:paraId="67B82F12" w14:textId="36780F78" w:rsidR="00787688" w:rsidRPr="00D25175" w:rsidRDefault="00787688" w:rsidP="00787688">
      <w:pPr>
        <w:pStyle w:val="AATitle"/>
      </w:pPr>
      <w:r w:rsidRPr="00D25175">
        <w:rPr>
          <w:b w:val="0"/>
        </w:rPr>
        <w:t>Geneva</w:t>
      </w:r>
      <w:r w:rsidR="00E976AB" w:rsidRPr="00D25175">
        <w:rPr>
          <w:b w:val="0"/>
        </w:rPr>
        <w:t xml:space="preserve">, </w:t>
      </w:r>
      <w:r w:rsidR="00325D38" w:rsidRPr="00D25175">
        <w:rPr>
          <w:b w:val="0"/>
        </w:rPr>
        <w:t xml:space="preserve">24–29 September </w:t>
      </w:r>
      <w:r w:rsidRPr="00D25175">
        <w:rPr>
          <w:b w:val="0"/>
        </w:rPr>
        <w:t>2017</w:t>
      </w:r>
    </w:p>
    <w:p w14:paraId="64DAC813" w14:textId="77777777" w:rsidR="00FE7303" w:rsidRPr="0096723C" w:rsidRDefault="00FE7303" w:rsidP="00FE7303">
      <w:pPr>
        <w:pStyle w:val="AATitle"/>
        <w:rPr>
          <w:b w:val="0"/>
          <w:lang w:val="en-US"/>
        </w:rPr>
      </w:pPr>
      <w:r w:rsidRPr="0096723C">
        <w:rPr>
          <w:b w:val="0"/>
        </w:rPr>
        <w:t>Item</w:t>
      </w:r>
      <w:r w:rsidRPr="0096723C">
        <w:rPr>
          <w:b w:val="0"/>
          <w:lang w:val="en-US"/>
        </w:rPr>
        <w:t xml:space="preserve"> 5 (b) (ii) of the </w:t>
      </w:r>
      <w:r w:rsidRPr="0096723C">
        <w:rPr>
          <w:b w:val="0"/>
        </w:rPr>
        <w:t>provisional</w:t>
      </w:r>
      <w:r w:rsidRPr="0096723C">
        <w:rPr>
          <w:b w:val="0"/>
          <w:lang w:val="en-US"/>
        </w:rPr>
        <w:t xml:space="preserve"> agenda</w:t>
      </w:r>
      <w:r w:rsidRPr="0096723C">
        <w:rPr>
          <w:b w:val="0"/>
          <w:lang w:val="en-US"/>
        </w:rPr>
        <w:footnoteReference w:customMarkFollows="1" w:id="1"/>
        <w:t>*</w:t>
      </w:r>
    </w:p>
    <w:p w14:paraId="383A7AE3" w14:textId="0BB4A5E6" w:rsidR="00FE7303" w:rsidRPr="00C30FF3" w:rsidRDefault="00FE7303" w:rsidP="00FE7303">
      <w:pPr>
        <w:pStyle w:val="AATitle2"/>
        <w:spacing w:before="60"/>
      </w:pPr>
      <w:r>
        <w:t>Matters for action by the Conference of the Parties at its first meeting</w:t>
      </w:r>
      <w:r>
        <w:rPr>
          <w:lang w:val="en-US"/>
        </w:rPr>
        <w:t xml:space="preserve">: </w:t>
      </w:r>
      <w:r w:rsidR="007E5F26">
        <w:t>m</w:t>
      </w:r>
      <w:r w:rsidR="007E5F26" w:rsidRPr="004A07E6">
        <w:t xml:space="preserve">atters </w:t>
      </w:r>
      <w:r w:rsidRPr="004A07E6">
        <w:t xml:space="preserve">stipulated </w:t>
      </w:r>
      <w:r>
        <w:t>by the Conference of Plenipotentiaries</w:t>
      </w:r>
      <w:r w:rsidRPr="004A07E6">
        <w:t xml:space="preserve">: </w:t>
      </w:r>
      <w:r w:rsidR="007E5F26">
        <w:t xml:space="preserve">draft </w:t>
      </w:r>
      <w:r>
        <w:t xml:space="preserve">memorandum of understanding between the Conference of the Parties </w:t>
      </w:r>
      <w:r w:rsidR="007E5F26">
        <w:t xml:space="preserve">to the Minamata Convention </w:t>
      </w:r>
      <w:r>
        <w:t>and the Council of the Global Environment Facility</w:t>
      </w:r>
    </w:p>
    <w:p w14:paraId="36892537" w14:textId="77777777" w:rsidR="00FE7303" w:rsidRPr="009C3E45" w:rsidRDefault="00FE7303" w:rsidP="00FE7303">
      <w:pPr>
        <w:pStyle w:val="BBTitle"/>
      </w:pPr>
      <w:r>
        <w:t xml:space="preserve">Draft memorandum of understanding between the Conference </w:t>
      </w:r>
      <w:r w:rsidRPr="009C3E45">
        <w:t>of Parties to the Minamata Convention on Mercury and the Council of the Global Environment Facility</w:t>
      </w:r>
    </w:p>
    <w:p w14:paraId="46658526" w14:textId="77777777" w:rsidR="00FE7303" w:rsidRPr="00AF5B8A" w:rsidRDefault="00FE7303" w:rsidP="00FE7303">
      <w:pPr>
        <w:pStyle w:val="CH2"/>
      </w:pPr>
      <w:r w:rsidRPr="009C3E45">
        <w:tab/>
      </w:r>
      <w:r w:rsidRPr="009C3E45">
        <w:tab/>
      </w:r>
      <w:r w:rsidRPr="00AF5B8A">
        <w:t>Note by the secretariat</w:t>
      </w:r>
    </w:p>
    <w:p w14:paraId="3FB1D84C" w14:textId="15CE1095" w:rsidR="00FE7303" w:rsidRPr="00AF5B8A" w:rsidRDefault="00FE7303">
      <w:pPr>
        <w:pStyle w:val="Normalnumber"/>
        <w:numPr>
          <w:ilvl w:val="0"/>
          <w:numId w:val="1"/>
        </w:numPr>
      </w:pPr>
      <w:r w:rsidRPr="00AF5B8A">
        <w:t xml:space="preserve">In paragraph 5 of article 13, the </w:t>
      </w:r>
      <w:r w:rsidRPr="003A5430">
        <w:t>Minamata Convention</w:t>
      </w:r>
      <w:r w:rsidRPr="00AF5B8A">
        <w:t xml:space="preserve"> on Mercury defines a mechanism for the provision of adequate, predictable and timely financial resources. The mechanism is to support developing country parties and parties with economies in transition in implementing their obligations under the Convention. Paragraph 6 of article 13 provides that the mechanism will include the Global Environment Facility (GEF) </w:t>
      </w:r>
      <w:r w:rsidR="002244E3" w:rsidRPr="00AF5B8A">
        <w:t xml:space="preserve">Trust Fund </w:t>
      </w:r>
      <w:r w:rsidRPr="00AF5B8A">
        <w:t xml:space="preserve">and a specific international programme to support </w:t>
      </w:r>
      <w:r w:rsidR="005E2A4D">
        <w:br/>
      </w:r>
      <w:r w:rsidRPr="00AF5B8A">
        <w:t>capacity</w:t>
      </w:r>
      <w:r w:rsidR="00747058" w:rsidRPr="00AF5B8A">
        <w:t>-</w:t>
      </w:r>
      <w:r w:rsidRPr="00AF5B8A">
        <w:t xml:space="preserve">building and technical assistance. Paragraph 7 of article </w:t>
      </w:r>
      <w:r w:rsidR="008068A6" w:rsidRPr="00AF5B8A">
        <w:t xml:space="preserve">13 </w:t>
      </w:r>
      <w:r w:rsidRPr="00AF5B8A">
        <w:t>describes the support to be provided by the GEF</w:t>
      </w:r>
      <w:r w:rsidR="00891849" w:rsidRPr="00AF5B8A">
        <w:t xml:space="preserve"> </w:t>
      </w:r>
      <w:r w:rsidR="00EB6B2D" w:rsidRPr="00AF5B8A">
        <w:t>Trust Fund</w:t>
      </w:r>
      <w:r w:rsidRPr="00AF5B8A">
        <w:t xml:space="preserve">, </w:t>
      </w:r>
      <w:r w:rsidR="001030C9">
        <w:t>stipulating</w:t>
      </w:r>
      <w:r w:rsidR="001030C9" w:rsidRPr="00AF5B8A">
        <w:t xml:space="preserve"> </w:t>
      </w:r>
      <w:r w:rsidRPr="00AF5B8A">
        <w:t xml:space="preserve">that </w:t>
      </w:r>
      <w:r w:rsidR="00EB6B2D" w:rsidRPr="00AF5B8A">
        <w:t xml:space="preserve">it shall </w:t>
      </w:r>
      <w:r w:rsidRPr="00AF5B8A">
        <w:t xml:space="preserve">provide new, predictable, adequate and timely financial resources to meet costs in support of the implementation of the Convention as agreed by the Conference of the Parties. Furthermore, paragraph 8 of article 13 </w:t>
      </w:r>
      <w:r w:rsidR="00E3646D" w:rsidRPr="00AF5B8A">
        <w:t xml:space="preserve">stipulates </w:t>
      </w:r>
      <w:r w:rsidRPr="00AF5B8A">
        <w:t>that</w:t>
      </w:r>
      <w:r w:rsidR="00EB6B2D" w:rsidRPr="00AF5B8A">
        <w:t>,</w:t>
      </w:r>
      <w:r w:rsidRPr="00AF5B8A">
        <w:t xml:space="preserve"> in providing resources</w:t>
      </w:r>
      <w:r w:rsidR="00944806" w:rsidRPr="00AF5B8A">
        <w:t>,</w:t>
      </w:r>
      <w:r w:rsidRPr="00AF5B8A">
        <w:t xml:space="preserve"> the GEF </w:t>
      </w:r>
      <w:r w:rsidR="00EB6B2D" w:rsidRPr="00AF5B8A">
        <w:t xml:space="preserve">Trust Fund </w:t>
      </w:r>
      <w:r w:rsidRPr="00AF5B8A">
        <w:t>should take into account the potential mercury reductions of a proposed activity relative to its costs. Paragraph 10 of article 13 provides that</w:t>
      </w:r>
      <w:r w:rsidR="00944806" w:rsidRPr="00AF5B8A">
        <w:t>,</w:t>
      </w:r>
      <w:r w:rsidRPr="00AF5B8A">
        <w:t xml:space="preserve"> at the first meeting of the Conference of the Parties</w:t>
      </w:r>
      <w:r w:rsidR="00944806" w:rsidRPr="00AF5B8A">
        <w:t>,</w:t>
      </w:r>
      <w:r w:rsidRPr="00AF5B8A">
        <w:t xml:space="preserve"> the Conference and the entities comprising the mechanism </w:t>
      </w:r>
      <w:r w:rsidR="00944806" w:rsidRPr="00AF5B8A">
        <w:t>shall</w:t>
      </w:r>
      <w:r w:rsidRPr="00AF5B8A">
        <w:t xml:space="preserve"> agree upon arrangements to give effect to the operation of the mechanism. </w:t>
      </w:r>
    </w:p>
    <w:p w14:paraId="24C3BF1E" w14:textId="02DBFC59" w:rsidR="00FE7303" w:rsidRDefault="00FE7303" w:rsidP="00FE7303">
      <w:pPr>
        <w:pStyle w:val="Normalnumber"/>
        <w:numPr>
          <w:ilvl w:val="0"/>
          <w:numId w:val="1"/>
        </w:numPr>
      </w:pPr>
      <w:r w:rsidRPr="00BB29F1">
        <w:t xml:space="preserve">The development </w:t>
      </w:r>
      <w:r w:rsidRPr="00422B0C">
        <w:t>of guidance to</w:t>
      </w:r>
      <w:r w:rsidRPr="00BB29F1">
        <w:t xml:space="preserve"> be provided </w:t>
      </w:r>
      <w:r w:rsidR="002769ED" w:rsidRPr="00BB29F1">
        <w:t xml:space="preserve">to </w:t>
      </w:r>
      <w:r w:rsidR="002769ED">
        <w:t xml:space="preserve">the </w:t>
      </w:r>
      <w:r w:rsidR="002769ED" w:rsidRPr="00BB29F1">
        <w:t xml:space="preserve">GEF </w:t>
      </w:r>
      <w:r w:rsidR="002769ED">
        <w:t xml:space="preserve">Trust Fund </w:t>
      </w:r>
      <w:r w:rsidRPr="00BB29F1">
        <w:t xml:space="preserve">by the Conference of the Parties, in accordance with paragraph 7 of </w:t>
      </w:r>
      <w:r w:rsidR="002769ED">
        <w:t>a</w:t>
      </w:r>
      <w:r w:rsidR="002769ED" w:rsidRPr="00BB29F1">
        <w:t xml:space="preserve">rticle </w:t>
      </w:r>
      <w:r w:rsidRPr="00BB29F1">
        <w:t xml:space="preserve">13 is </w:t>
      </w:r>
      <w:r w:rsidR="00226D2C">
        <w:t>discussed</w:t>
      </w:r>
      <w:r w:rsidR="00226D2C" w:rsidRPr="00BB29F1">
        <w:t xml:space="preserve"> </w:t>
      </w:r>
      <w:r w:rsidRPr="00BB29F1">
        <w:t>in document UNEP</w:t>
      </w:r>
      <w:r w:rsidR="000D59BC">
        <w:t>/</w:t>
      </w:r>
      <w:r>
        <w:t>MC</w:t>
      </w:r>
      <w:r w:rsidRPr="00BB29F1">
        <w:t>/</w:t>
      </w:r>
      <w:r>
        <w:t>COP.1</w:t>
      </w:r>
      <w:r w:rsidRPr="00BB29F1">
        <w:t xml:space="preserve">/8, while </w:t>
      </w:r>
      <w:r w:rsidRPr="00226D2C">
        <w:t>the operation</w:t>
      </w:r>
      <w:r w:rsidRPr="00BB29F1">
        <w:t xml:space="preserve"> of the financial mechanism with regard to the specific international programme is </w:t>
      </w:r>
      <w:r w:rsidR="00226D2C">
        <w:t>discussed</w:t>
      </w:r>
      <w:r w:rsidR="00226D2C" w:rsidRPr="00BB29F1">
        <w:t xml:space="preserve"> </w:t>
      </w:r>
      <w:r w:rsidRPr="00BB29F1">
        <w:t>in document UNEP</w:t>
      </w:r>
      <w:r w:rsidR="000D59BC">
        <w:t>/</w:t>
      </w:r>
      <w:r>
        <w:t>MC</w:t>
      </w:r>
      <w:r w:rsidRPr="00BB29F1">
        <w:t>/</w:t>
      </w:r>
      <w:r>
        <w:t>COP.1</w:t>
      </w:r>
      <w:r w:rsidRPr="00BB29F1">
        <w:t xml:space="preserve">/9. </w:t>
      </w:r>
    </w:p>
    <w:p w14:paraId="04879DC5" w14:textId="31F30940" w:rsidR="00FE7303" w:rsidRPr="00DB75B9" w:rsidRDefault="00FE7303">
      <w:pPr>
        <w:pStyle w:val="Normalnumber"/>
      </w:pPr>
      <w:r w:rsidRPr="00BB29F1">
        <w:t>In paragraph 2 of its resolution on financial arrangements (</w:t>
      </w:r>
      <w:r w:rsidR="00DB1FA1">
        <w:t xml:space="preserve">see </w:t>
      </w:r>
      <w:r w:rsidRPr="00BB29F1">
        <w:t>UNEP</w:t>
      </w:r>
      <w:r w:rsidR="009F2730">
        <w:t>(</w:t>
      </w:r>
      <w:r w:rsidR="00A66474" w:rsidRPr="00A66474">
        <w:t>DTIE)/Hg</w:t>
      </w:r>
      <w:r w:rsidRPr="00BB29F1">
        <w:t xml:space="preserve">/CONF/4, annex I), the Conference of Plenipotentiaries decided that the intergovernmental negotiating committee </w:t>
      </w:r>
      <w:r w:rsidR="00DB1FA1">
        <w:t xml:space="preserve">on mercury </w:t>
      </w:r>
      <w:r w:rsidRPr="00BB29F1">
        <w:t xml:space="preserve">should develop, for consideration by the Conference </w:t>
      </w:r>
      <w:r w:rsidR="00D062B6">
        <w:t xml:space="preserve">of the Parties </w:t>
      </w:r>
      <w:r w:rsidRPr="00BB29F1">
        <w:t xml:space="preserve">at its first meeting, a draft memorandum of </w:t>
      </w:r>
      <w:r w:rsidRPr="002165A0">
        <w:t>understanding</w:t>
      </w:r>
      <w:r w:rsidR="005464D2">
        <w:t>,</w:t>
      </w:r>
      <w:r w:rsidRPr="002165A0">
        <w:t xml:space="preserve"> to be </w:t>
      </w:r>
      <w:r w:rsidR="00477A02" w:rsidRPr="0002588C">
        <w:t>agreed</w:t>
      </w:r>
      <w:r w:rsidR="00477A02" w:rsidRPr="00BB29F1">
        <w:t xml:space="preserve"> </w:t>
      </w:r>
      <w:r w:rsidRPr="00E06100">
        <w:t>between the</w:t>
      </w:r>
      <w:r w:rsidRPr="00BB29F1">
        <w:t xml:space="preserve"> Council </w:t>
      </w:r>
      <w:r>
        <w:t xml:space="preserve">of the Global Environment Facility </w:t>
      </w:r>
      <w:r w:rsidRPr="00BB29F1">
        <w:t>and the Conference</w:t>
      </w:r>
      <w:r w:rsidR="005464D2">
        <w:t>,</w:t>
      </w:r>
      <w:r w:rsidRPr="00BB29F1">
        <w:t xml:space="preserve"> on arrangements to give effect to the relevant provisions of paragraphs 5 to 8 of article 13. </w:t>
      </w:r>
      <w:r w:rsidR="000813F1" w:rsidRPr="00BB29F1">
        <w:t>At</w:t>
      </w:r>
      <w:r w:rsidR="000813F1">
        <w:t xml:space="preserve"> </w:t>
      </w:r>
      <w:r w:rsidRPr="00BB29F1">
        <w:t xml:space="preserve">its sixth session, the </w:t>
      </w:r>
      <w:r w:rsidRPr="0096723C">
        <w:t xml:space="preserve">committee requested </w:t>
      </w:r>
      <w:r w:rsidRPr="00AF5B8A">
        <w:t>the interim secretariat</w:t>
      </w:r>
      <w:r w:rsidRPr="0096723C">
        <w:t xml:space="preserve"> of </w:t>
      </w:r>
      <w:r w:rsidRPr="0096723C">
        <w:lastRenderedPageBreak/>
        <w:t xml:space="preserve">the Minamata Convention on Mercury to collaborate with the GEF secretariat in the </w:t>
      </w:r>
      <w:r w:rsidR="001875E9">
        <w:t>drafting</w:t>
      </w:r>
      <w:r w:rsidR="001875E9" w:rsidRPr="0096723C">
        <w:t xml:space="preserve"> </w:t>
      </w:r>
      <w:r w:rsidRPr="0096723C">
        <w:t>of such a memorandum of understanding</w:t>
      </w:r>
      <w:r w:rsidR="00A80B86">
        <w:t>,</w:t>
      </w:r>
      <w:r w:rsidRPr="0096723C">
        <w:t xml:space="preserve"> for consideration by the committee at its seventh session. </w:t>
      </w:r>
    </w:p>
    <w:p w14:paraId="61BC4710" w14:textId="2D24D635" w:rsidR="00FE7303" w:rsidRPr="0002588C" w:rsidRDefault="0014074F">
      <w:pPr>
        <w:pStyle w:val="Normalnumber"/>
        <w:numPr>
          <w:ilvl w:val="0"/>
          <w:numId w:val="1"/>
        </w:numPr>
      </w:pPr>
      <w:r>
        <w:t>At its</w:t>
      </w:r>
      <w:r w:rsidR="00FE7303">
        <w:t xml:space="preserve"> seventh session</w:t>
      </w:r>
      <w:r>
        <w:t>, the</w:t>
      </w:r>
      <w:r w:rsidR="00FE7303">
        <w:t xml:space="preserve"> committee </w:t>
      </w:r>
      <w:r w:rsidR="00FE7303" w:rsidRPr="000C262E">
        <w:t xml:space="preserve">considered the </w:t>
      </w:r>
      <w:r w:rsidR="00222EFD" w:rsidRPr="000C262E">
        <w:t xml:space="preserve">resulting </w:t>
      </w:r>
      <w:r w:rsidR="00FE7303" w:rsidRPr="000C262E">
        <w:t xml:space="preserve">draft memorandum of understanding, which </w:t>
      </w:r>
      <w:r w:rsidR="00222EFD" w:rsidRPr="000C262E">
        <w:t xml:space="preserve">had been </w:t>
      </w:r>
      <w:r w:rsidR="00FE7303" w:rsidRPr="000C262E">
        <w:t>drafted taking into account experience gained under relevant multilateral environmental agreements</w:t>
      </w:r>
      <w:r w:rsidR="004F4A4F" w:rsidRPr="000C262E">
        <w:t xml:space="preserve"> and </w:t>
      </w:r>
      <w:r w:rsidR="00FE7303" w:rsidRPr="000C262E">
        <w:t>existing memorandums of understanding between the GEF</w:t>
      </w:r>
      <w:r w:rsidR="00FE7303" w:rsidRPr="0096723C">
        <w:t xml:space="preserve"> Council and the conferences of the </w:t>
      </w:r>
      <w:r w:rsidR="00222EFD">
        <w:t>p</w:t>
      </w:r>
      <w:r w:rsidR="00222EFD" w:rsidRPr="0096723C">
        <w:t xml:space="preserve">arties </w:t>
      </w:r>
      <w:r w:rsidR="00FE7303" w:rsidRPr="0096723C">
        <w:t xml:space="preserve">to various multilateral environmental agreements. </w:t>
      </w:r>
      <w:r w:rsidR="000C262E">
        <w:t>T</w:t>
      </w:r>
      <w:r w:rsidR="00FE7303" w:rsidRPr="0096723C">
        <w:t>he secretariats of those agreements were also consulted</w:t>
      </w:r>
      <w:r w:rsidR="000C262E">
        <w:t>, a</w:t>
      </w:r>
      <w:r w:rsidR="000C262E" w:rsidRPr="0096723C">
        <w:t>s appropriate</w:t>
      </w:r>
      <w:r w:rsidR="00FE7303" w:rsidRPr="0096723C">
        <w:t xml:space="preserve">. The </w:t>
      </w:r>
      <w:r w:rsidR="003B0920">
        <w:t>committee</w:t>
      </w:r>
      <w:r w:rsidR="003B0920" w:rsidRPr="00FC41EF">
        <w:t xml:space="preserve"> </w:t>
      </w:r>
      <w:r w:rsidR="00FE7303" w:rsidRPr="0002588C">
        <w:t xml:space="preserve">agreed on a revised version on a provisional basis, and decided that </w:t>
      </w:r>
      <w:r w:rsidR="00EF3A61" w:rsidRPr="0002588C">
        <w:t xml:space="preserve">that </w:t>
      </w:r>
      <w:r w:rsidR="00FE7303" w:rsidRPr="0002588C">
        <w:t xml:space="preserve">revised version </w:t>
      </w:r>
      <w:r w:rsidR="00085EFC" w:rsidRPr="0002588C">
        <w:t xml:space="preserve">should </w:t>
      </w:r>
      <w:r w:rsidR="00FE7303" w:rsidRPr="0002588C">
        <w:t xml:space="preserve">be sent to the GEF Council for its consideration prior to consideration and formal approval </w:t>
      </w:r>
      <w:r w:rsidR="000C262E" w:rsidRPr="0002588C">
        <w:t xml:space="preserve">by the Conference of the Parties </w:t>
      </w:r>
      <w:r w:rsidR="00FE7303" w:rsidRPr="0002588C">
        <w:t xml:space="preserve">at </w:t>
      </w:r>
      <w:r w:rsidR="008E22C4" w:rsidRPr="0002588C">
        <w:t>its</w:t>
      </w:r>
      <w:r w:rsidR="00FE7303" w:rsidRPr="0002588C">
        <w:t xml:space="preserve"> first meeting. </w:t>
      </w:r>
    </w:p>
    <w:p w14:paraId="0EFF0902" w14:textId="071ED186" w:rsidR="00FE7303" w:rsidRPr="00780D0B" w:rsidRDefault="00FE7303">
      <w:pPr>
        <w:pStyle w:val="Normalnumber"/>
        <w:numPr>
          <w:ilvl w:val="0"/>
          <w:numId w:val="1"/>
        </w:numPr>
      </w:pPr>
      <w:r w:rsidRPr="0002588C">
        <w:t xml:space="preserve">The revised draft memorandum </w:t>
      </w:r>
      <w:r w:rsidRPr="00984E5F">
        <w:t>was put</w:t>
      </w:r>
      <w:r w:rsidRPr="0002588C">
        <w:t xml:space="preserve"> to </w:t>
      </w:r>
      <w:r w:rsidRPr="00780D0B">
        <w:t xml:space="preserve">the GEF Council for </w:t>
      </w:r>
      <w:r w:rsidR="00FD632E">
        <w:t xml:space="preserve">its </w:t>
      </w:r>
      <w:r w:rsidRPr="00780D0B">
        <w:t>consideration in October 2016</w:t>
      </w:r>
      <w:r w:rsidR="00FD632E">
        <w:t>,</w:t>
      </w:r>
      <w:r w:rsidRPr="00780D0B">
        <w:t xml:space="preserve"> with a deadline </w:t>
      </w:r>
      <w:r w:rsidR="00525403">
        <w:t xml:space="preserve">set </w:t>
      </w:r>
      <w:r w:rsidRPr="00780D0B">
        <w:t>for comment</w:t>
      </w:r>
      <w:r>
        <w:t>s</w:t>
      </w:r>
      <w:r w:rsidRPr="00780D0B">
        <w:t xml:space="preserve"> </w:t>
      </w:r>
      <w:r w:rsidR="00C15963">
        <w:t xml:space="preserve">to be received </w:t>
      </w:r>
      <w:r w:rsidRPr="00780D0B">
        <w:t xml:space="preserve">by </w:t>
      </w:r>
      <w:r w:rsidR="00C15963">
        <w:t xml:space="preserve">the </w:t>
      </w:r>
      <w:r w:rsidRPr="00780D0B">
        <w:t xml:space="preserve">end </w:t>
      </w:r>
      <w:r w:rsidR="00C15963">
        <w:t xml:space="preserve">of </w:t>
      </w:r>
      <w:r w:rsidRPr="00780D0B">
        <w:t xml:space="preserve">January 2017. </w:t>
      </w:r>
      <w:r w:rsidR="00867FD2">
        <w:t>O</w:t>
      </w:r>
      <w:r w:rsidRPr="00780D0B">
        <w:t xml:space="preserve">ne Council </w:t>
      </w:r>
      <w:r w:rsidR="00BF6C58">
        <w:t>m</w:t>
      </w:r>
      <w:r w:rsidR="00BF6C58" w:rsidRPr="00780D0B">
        <w:t xml:space="preserve">ember </w:t>
      </w:r>
      <w:r w:rsidR="00867FD2">
        <w:t xml:space="preserve">provided comments </w:t>
      </w:r>
      <w:r w:rsidRPr="00780D0B">
        <w:t>pertaining to editorial corrections</w:t>
      </w:r>
      <w:r w:rsidR="00867FD2">
        <w:t>,</w:t>
      </w:r>
      <w:r w:rsidRPr="00780D0B">
        <w:t xml:space="preserve"> </w:t>
      </w:r>
      <w:r w:rsidR="00867FD2">
        <w:t>as well as</w:t>
      </w:r>
      <w:r w:rsidR="00867FD2" w:rsidRPr="00780D0B">
        <w:t xml:space="preserve"> </w:t>
      </w:r>
      <w:r w:rsidRPr="00780D0B">
        <w:t xml:space="preserve">a request to </w:t>
      </w:r>
      <w:r w:rsidR="00BF6C58" w:rsidRPr="00780D0B">
        <w:t>standardi</w:t>
      </w:r>
      <w:r w:rsidR="00BF6C58">
        <w:t>z</w:t>
      </w:r>
      <w:r w:rsidR="00BF6C58" w:rsidRPr="00780D0B">
        <w:t xml:space="preserve">e </w:t>
      </w:r>
      <w:r w:rsidR="00867FD2">
        <w:t xml:space="preserve">the </w:t>
      </w:r>
      <w:r w:rsidRPr="00780D0B">
        <w:t>language in the</w:t>
      </w:r>
      <w:r>
        <w:t xml:space="preserve"> draft</w:t>
      </w:r>
      <w:r w:rsidRPr="00780D0B">
        <w:t xml:space="preserve"> </w:t>
      </w:r>
      <w:r>
        <w:t xml:space="preserve">memorandum </w:t>
      </w:r>
      <w:r w:rsidRPr="00780D0B">
        <w:t>so as to be consistent with its non-legally binding nature. The comments were not of a substantive nature. All comments of a legal nature were reviewed</w:t>
      </w:r>
      <w:r>
        <w:t xml:space="preserve"> by the legal office</w:t>
      </w:r>
      <w:r w:rsidRPr="00780D0B">
        <w:t xml:space="preserve"> of the United Nations Environment Programme </w:t>
      </w:r>
      <w:r w:rsidR="00957FA0">
        <w:t>on behalf of</w:t>
      </w:r>
      <w:r w:rsidR="00957FA0" w:rsidRPr="00780D0B">
        <w:t xml:space="preserve"> </w:t>
      </w:r>
      <w:r w:rsidRPr="00780D0B">
        <w:t xml:space="preserve">the interim </w:t>
      </w:r>
      <w:r w:rsidR="00BC0658">
        <w:t>s</w:t>
      </w:r>
      <w:r w:rsidR="00BC0658" w:rsidRPr="00780D0B">
        <w:t xml:space="preserve">ecretariat </w:t>
      </w:r>
      <w:r w:rsidRPr="00780D0B">
        <w:t xml:space="preserve">and by the GEF </w:t>
      </w:r>
      <w:r w:rsidR="00957FA0">
        <w:t>s</w:t>
      </w:r>
      <w:r w:rsidR="00957FA0" w:rsidRPr="00780D0B">
        <w:t xml:space="preserve">ecretariat </w:t>
      </w:r>
      <w:r w:rsidR="00957FA0">
        <w:t xml:space="preserve">on behalf of </w:t>
      </w:r>
      <w:r w:rsidRPr="00780D0B">
        <w:t xml:space="preserve">the </w:t>
      </w:r>
      <w:r w:rsidR="00957FA0">
        <w:t xml:space="preserve">GEF </w:t>
      </w:r>
      <w:r>
        <w:t>Council</w:t>
      </w:r>
      <w:r w:rsidR="00957FA0">
        <w:t>,</w:t>
      </w:r>
      <w:r>
        <w:t xml:space="preserve"> </w:t>
      </w:r>
      <w:r w:rsidRPr="00780D0B">
        <w:t xml:space="preserve">respectively. </w:t>
      </w:r>
      <w:r w:rsidR="001933B0">
        <w:t>On the basis of</w:t>
      </w:r>
      <w:r w:rsidR="001933B0" w:rsidRPr="00780D0B">
        <w:t xml:space="preserve"> </w:t>
      </w:r>
      <w:r w:rsidR="00F151EA">
        <w:t>that</w:t>
      </w:r>
      <w:r w:rsidR="00F151EA" w:rsidRPr="00780D0B">
        <w:t xml:space="preserve"> </w:t>
      </w:r>
      <w:r w:rsidRPr="00780D0B">
        <w:t>review</w:t>
      </w:r>
      <w:r w:rsidR="001933B0">
        <w:t>,</w:t>
      </w:r>
      <w:r w:rsidRPr="00780D0B">
        <w:t xml:space="preserve"> the following </w:t>
      </w:r>
      <w:r w:rsidR="00D5006A">
        <w:t>revisions</w:t>
      </w:r>
      <w:r w:rsidR="00D5006A" w:rsidRPr="00780D0B">
        <w:t xml:space="preserve"> </w:t>
      </w:r>
      <w:r w:rsidRPr="00780D0B">
        <w:t>were made</w:t>
      </w:r>
      <w:r>
        <w:t xml:space="preserve"> to the text </w:t>
      </w:r>
      <w:r w:rsidR="00663DDB">
        <w:t xml:space="preserve">that had been </w:t>
      </w:r>
      <w:r w:rsidRPr="0002588C">
        <w:t>provisionally agreed upon a</w:t>
      </w:r>
      <w:r>
        <w:t xml:space="preserve">t the </w:t>
      </w:r>
      <w:r w:rsidR="00FA0390">
        <w:t xml:space="preserve">committee’s </w:t>
      </w:r>
      <w:r>
        <w:t>seventh session</w:t>
      </w:r>
      <w:r w:rsidRPr="00780D0B">
        <w:t xml:space="preserve">:  </w:t>
      </w:r>
    </w:p>
    <w:p w14:paraId="69093D2F" w14:textId="7C67E0E3" w:rsidR="00FE7303" w:rsidRPr="000D02DC" w:rsidRDefault="00FE7303" w:rsidP="0002588C">
      <w:pPr>
        <w:pStyle w:val="Normalnumber"/>
        <w:numPr>
          <w:ilvl w:val="1"/>
          <w:numId w:val="1"/>
        </w:numPr>
      </w:pPr>
      <w:r>
        <w:t>In para</w:t>
      </w:r>
      <w:r w:rsidR="00E37CA8">
        <w:t>graph</w:t>
      </w:r>
      <w:r>
        <w:t xml:space="preserve"> 4, t</w:t>
      </w:r>
      <w:r w:rsidRPr="00370991">
        <w:t>he</w:t>
      </w:r>
      <w:r>
        <w:t xml:space="preserve"> word “for” was added </w:t>
      </w:r>
      <w:r w:rsidRPr="00370991">
        <w:t xml:space="preserve">between “funding” and “activities” to clarify the meaning of the sentence, so as to read: “The Council will ensure the effective operation of GEF as a source of funding for activities for the purpose of the Convention in conformity with the guidance </w:t>
      </w:r>
      <w:r w:rsidRPr="000D02DC">
        <w:t>provided to it by the Conference of the Parties”</w:t>
      </w:r>
      <w:r w:rsidR="00D1243E">
        <w:t>;</w:t>
      </w:r>
    </w:p>
    <w:p w14:paraId="227D1B67" w14:textId="382B5BC0" w:rsidR="00FE7303" w:rsidRPr="000D02DC" w:rsidRDefault="00FE7303" w:rsidP="0002588C">
      <w:pPr>
        <w:pStyle w:val="Normalnumber"/>
        <w:numPr>
          <w:ilvl w:val="1"/>
          <w:numId w:val="1"/>
        </w:numPr>
      </w:pPr>
      <w:r w:rsidRPr="000D02DC">
        <w:t>In para</w:t>
      </w:r>
      <w:r w:rsidR="00E37CA8">
        <w:t>graph</w:t>
      </w:r>
      <w:r w:rsidRPr="000D02DC">
        <w:t xml:space="preserve"> 11, the words “mutually agreed solution” </w:t>
      </w:r>
      <w:r>
        <w:t>were</w:t>
      </w:r>
      <w:r w:rsidRPr="000D02DC">
        <w:t xml:space="preserve"> replaced with “mutually acceptable solution”</w:t>
      </w:r>
      <w:r w:rsidR="00D1243E">
        <w:t>;</w:t>
      </w:r>
      <w:r w:rsidRPr="000D02DC">
        <w:t xml:space="preserve"> </w:t>
      </w:r>
    </w:p>
    <w:p w14:paraId="34910467" w14:textId="29129D26" w:rsidR="00FE7303" w:rsidRPr="000D02DC" w:rsidRDefault="00FE7303" w:rsidP="0002588C">
      <w:pPr>
        <w:pStyle w:val="Normalnumber"/>
        <w:numPr>
          <w:ilvl w:val="1"/>
          <w:numId w:val="1"/>
        </w:numPr>
      </w:pPr>
      <w:r w:rsidRPr="000D02DC">
        <w:t>In para</w:t>
      </w:r>
      <w:r w:rsidR="00E37CA8">
        <w:t>graph</w:t>
      </w:r>
      <w:r w:rsidRPr="000D02DC">
        <w:t xml:space="preserve"> 22, the word “agreement” </w:t>
      </w:r>
      <w:r w:rsidR="00E37CA8">
        <w:t xml:space="preserve">was </w:t>
      </w:r>
      <w:r w:rsidRPr="000D02DC">
        <w:t>replaced with “consent”</w:t>
      </w:r>
      <w:r w:rsidR="00D1243E">
        <w:t>;</w:t>
      </w:r>
      <w:r w:rsidRPr="000D02DC">
        <w:t xml:space="preserve"> </w:t>
      </w:r>
    </w:p>
    <w:p w14:paraId="3A62AFEC" w14:textId="4F5E2E64" w:rsidR="00FE7303" w:rsidRPr="0092157D" w:rsidRDefault="00FE7303" w:rsidP="0002588C">
      <w:pPr>
        <w:pStyle w:val="Normalnumber"/>
        <w:numPr>
          <w:ilvl w:val="1"/>
          <w:numId w:val="1"/>
        </w:numPr>
      </w:pPr>
      <w:r w:rsidRPr="00370991">
        <w:t xml:space="preserve">In </w:t>
      </w:r>
      <w:r w:rsidRPr="0092157D">
        <w:t>para</w:t>
      </w:r>
      <w:r w:rsidR="00E37CA8" w:rsidRPr="0092157D">
        <w:t>graph</w:t>
      </w:r>
      <w:r w:rsidRPr="0092157D">
        <w:t xml:space="preserve"> 24, the words “come into effect” were replaced </w:t>
      </w:r>
      <w:r w:rsidR="00E37CA8" w:rsidRPr="0092157D">
        <w:t xml:space="preserve">with </w:t>
      </w:r>
      <w:r w:rsidRPr="0092157D">
        <w:t>“enter into effect”</w:t>
      </w:r>
      <w:r w:rsidR="00D1243E" w:rsidRPr="0092157D">
        <w:t>;</w:t>
      </w:r>
    </w:p>
    <w:p w14:paraId="7703B5AA" w14:textId="60A7863E" w:rsidR="00FE7303" w:rsidRPr="00370991" w:rsidRDefault="00FE7303" w:rsidP="0002588C">
      <w:pPr>
        <w:pStyle w:val="Normalnumber"/>
        <w:numPr>
          <w:ilvl w:val="1"/>
          <w:numId w:val="1"/>
        </w:numPr>
      </w:pPr>
      <w:r w:rsidRPr="0092157D">
        <w:t xml:space="preserve">The last </w:t>
      </w:r>
      <w:r w:rsidR="00CA664E" w:rsidRPr="0092157D">
        <w:t>heading</w:t>
      </w:r>
      <w:r w:rsidR="0075473D" w:rsidRPr="0092157D">
        <w:t>,</w:t>
      </w:r>
      <w:r w:rsidRPr="0092157D">
        <w:t xml:space="preserve"> “</w:t>
      </w:r>
      <w:r w:rsidR="00091D87" w:rsidRPr="0092157D">
        <w:t>W</w:t>
      </w:r>
      <w:r w:rsidRPr="0092157D">
        <w:t>ithdrawal”</w:t>
      </w:r>
      <w:r w:rsidR="0075473D" w:rsidRPr="0092157D">
        <w:t>,</w:t>
      </w:r>
      <w:r w:rsidRPr="0092157D">
        <w:t xml:space="preserve"> was replaced with “</w:t>
      </w:r>
      <w:r w:rsidR="009C3E45" w:rsidRPr="0092157D">
        <w:t>T</w:t>
      </w:r>
      <w:r w:rsidRPr="0092157D">
        <w:t>ermination” to clarify that</w:t>
      </w:r>
      <w:r w:rsidR="0075473D" w:rsidRPr="0092157D">
        <w:t>,</w:t>
      </w:r>
      <w:r w:rsidRPr="0092157D">
        <w:t xml:space="preserve"> as there are only two parties to the memorandum of understanding, if one were to exit the arrangement, </w:t>
      </w:r>
      <w:r w:rsidR="0075473D">
        <w:t xml:space="preserve">it </w:t>
      </w:r>
      <w:r w:rsidRPr="00370991">
        <w:t>would come to an end</w:t>
      </w:r>
      <w:r w:rsidR="00D1243E">
        <w:t>;</w:t>
      </w:r>
    </w:p>
    <w:p w14:paraId="645D3F27" w14:textId="15D5D450" w:rsidR="00FE7303" w:rsidRPr="00370991" w:rsidRDefault="00FE7303" w:rsidP="0002588C">
      <w:pPr>
        <w:pStyle w:val="Normalnumber"/>
        <w:numPr>
          <w:ilvl w:val="1"/>
          <w:numId w:val="1"/>
        </w:numPr>
      </w:pPr>
      <w:r>
        <w:t>In para</w:t>
      </w:r>
      <w:r w:rsidR="00F344EA">
        <w:t>graph</w:t>
      </w:r>
      <w:r>
        <w:t>, 25, t</w:t>
      </w:r>
      <w:r w:rsidRPr="00370991">
        <w:t>he verb “shall” was replaced with “w</w:t>
      </w:r>
      <w:r>
        <w:t>ill”</w:t>
      </w:r>
      <w:r w:rsidR="008E22C4">
        <w:t>;</w:t>
      </w:r>
    </w:p>
    <w:p w14:paraId="684CB9DF" w14:textId="49E9F49D" w:rsidR="00FE7303" w:rsidRPr="00535E09" w:rsidRDefault="00FE7303" w:rsidP="0002588C">
      <w:pPr>
        <w:pStyle w:val="Normalnumber"/>
        <w:numPr>
          <w:ilvl w:val="1"/>
          <w:numId w:val="1"/>
        </w:numPr>
      </w:pPr>
      <w:r w:rsidRPr="00535E09">
        <w:t>Throughout the draft memorandum</w:t>
      </w:r>
      <w:r w:rsidR="00F344EA" w:rsidRPr="00535E09">
        <w:t>,</w:t>
      </w:r>
      <w:r w:rsidRPr="00535E09">
        <w:t xml:space="preserve"> the hyphen (“-</w:t>
      </w:r>
      <w:r w:rsidR="00F344EA" w:rsidRPr="00535E09">
        <w:t>”</w:t>
      </w:r>
      <w:r w:rsidRPr="00535E09">
        <w:t xml:space="preserve">) was removed between </w:t>
      </w:r>
      <w:r w:rsidR="00F344EA" w:rsidRPr="00535E09">
        <w:t xml:space="preserve">the words </w:t>
      </w:r>
      <w:r w:rsidRPr="00535E09">
        <w:t xml:space="preserve">“developing” and “country” </w:t>
      </w:r>
      <w:r w:rsidR="00535E09">
        <w:t>in line with recent trends</w:t>
      </w:r>
      <w:r w:rsidRPr="00535E09">
        <w:t xml:space="preserve">.  </w:t>
      </w:r>
    </w:p>
    <w:p w14:paraId="62837FC5" w14:textId="0AFE7A2D" w:rsidR="00FE7303" w:rsidRDefault="00FE7303" w:rsidP="0002588C">
      <w:pPr>
        <w:pStyle w:val="Normalnumber"/>
        <w:numPr>
          <w:ilvl w:val="0"/>
          <w:numId w:val="1"/>
        </w:numPr>
      </w:pPr>
      <w:r>
        <w:t>Annex I to the present note sets out a draft decision</w:t>
      </w:r>
      <w:r w:rsidR="00906282">
        <w:t>,</w:t>
      </w:r>
      <w:r>
        <w:t xml:space="preserve"> to be </w:t>
      </w:r>
      <w:r w:rsidR="00D1243E" w:rsidRPr="0092157D">
        <w:t>considered</w:t>
      </w:r>
      <w:r w:rsidRPr="0092157D">
        <w:t xml:space="preserve"> </w:t>
      </w:r>
      <w:r>
        <w:t xml:space="preserve">by the Conference </w:t>
      </w:r>
      <w:r w:rsidR="00367FFE">
        <w:t xml:space="preserve">of the Parties </w:t>
      </w:r>
      <w:r w:rsidRPr="002165A0">
        <w:t>at its first meeting</w:t>
      </w:r>
      <w:r w:rsidR="00906282">
        <w:t>,</w:t>
      </w:r>
      <w:r w:rsidRPr="002165A0">
        <w:t xml:space="preserve"> </w:t>
      </w:r>
      <w:r w:rsidR="0059133F">
        <w:t xml:space="preserve">in which the Conference </w:t>
      </w:r>
      <w:r w:rsidR="00D1243E">
        <w:t xml:space="preserve">would </w:t>
      </w:r>
      <w:r>
        <w:t xml:space="preserve">decide to approve </w:t>
      </w:r>
      <w:r w:rsidRPr="002165A0">
        <w:t xml:space="preserve">the </w:t>
      </w:r>
      <w:r>
        <w:t xml:space="preserve">text of the </w:t>
      </w:r>
      <w:r w:rsidRPr="002165A0">
        <w:t xml:space="preserve">memorandum of understanding </w:t>
      </w:r>
      <w:r>
        <w:t xml:space="preserve">and enter into that memorandum of understanding with the GEF Council. The </w:t>
      </w:r>
      <w:r w:rsidRPr="002165A0">
        <w:t xml:space="preserve">updated text </w:t>
      </w:r>
      <w:r>
        <w:t>of</w:t>
      </w:r>
      <w:r w:rsidRPr="002165A0">
        <w:t xml:space="preserve"> the memorandum</w:t>
      </w:r>
      <w:r w:rsidR="002923BE">
        <w:t>,</w:t>
      </w:r>
      <w:r w:rsidRPr="002165A0">
        <w:t xml:space="preserve"> </w:t>
      </w:r>
      <w:r w:rsidR="002923BE">
        <w:t xml:space="preserve">integrating </w:t>
      </w:r>
      <w:r>
        <w:t>the above</w:t>
      </w:r>
      <w:r w:rsidR="006D6146">
        <w:t>-</w:t>
      </w:r>
      <w:r>
        <w:t xml:space="preserve">mentioned </w:t>
      </w:r>
      <w:r w:rsidR="002923BE">
        <w:t>revisions</w:t>
      </w:r>
      <w:r>
        <w:t xml:space="preserve">, without further editing, is set out in annex II to the present note. </w:t>
      </w:r>
      <w:r w:rsidRPr="002165A0">
        <w:t xml:space="preserve">Upon </w:t>
      </w:r>
      <w:r>
        <w:t xml:space="preserve">the adoption </w:t>
      </w:r>
      <w:r w:rsidRPr="002165A0">
        <w:t xml:space="preserve">of the memorandum by </w:t>
      </w:r>
      <w:r>
        <w:t>the Conference</w:t>
      </w:r>
      <w:r w:rsidR="002C5C69">
        <w:t>,</w:t>
      </w:r>
      <w:r>
        <w:t xml:space="preserve"> </w:t>
      </w:r>
      <w:r w:rsidRPr="002165A0">
        <w:t xml:space="preserve">it </w:t>
      </w:r>
      <w:r w:rsidR="00D1243E">
        <w:t>would</w:t>
      </w:r>
      <w:r w:rsidR="002C5C69">
        <w:t xml:space="preserve"> be </w:t>
      </w:r>
      <w:r w:rsidRPr="002165A0">
        <w:t xml:space="preserve">transmitted to the GEF Council for its approval. The first GEF Council to </w:t>
      </w:r>
      <w:r w:rsidR="00D1243E">
        <w:t>be held</w:t>
      </w:r>
      <w:r w:rsidRPr="002165A0">
        <w:t xml:space="preserve"> after the </w:t>
      </w:r>
      <w:r>
        <w:t xml:space="preserve">first meeting of the </w:t>
      </w:r>
      <w:r w:rsidR="00C70AFE">
        <w:t>Conference</w:t>
      </w:r>
      <w:r w:rsidR="00C70AFE" w:rsidRPr="002165A0">
        <w:t xml:space="preserve"> </w:t>
      </w:r>
      <w:r w:rsidRPr="002165A0">
        <w:t xml:space="preserve">will consider the memorandum </w:t>
      </w:r>
      <w:r w:rsidR="00D1243E">
        <w:t>with a view to</w:t>
      </w:r>
      <w:r w:rsidRPr="002165A0">
        <w:t xml:space="preserve"> its approval. Once </w:t>
      </w:r>
      <w:r>
        <w:t xml:space="preserve">both </w:t>
      </w:r>
      <w:r w:rsidRPr="002165A0">
        <w:t xml:space="preserve">the Conference and the GEF Council </w:t>
      </w:r>
      <w:r w:rsidR="00CD7A30">
        <w:t xml:space="preserve">have </w:t>
      </w:r>
      <w:r w:rsidRPr="002165A0">
        <w:t>approve</w:t>
      </w:r>
      <w:r w:rsidR="00CD7A30">
        <w:t>d</w:t>
      </w:r>
      <w:r w:rsidRPr="002165A0">
        <w:t xml:space="preserve"> the memorandum</w:t>
      </w:r>
      <w:r w:rsidR="00C70AFE">
        <w:t>,</w:t>
      </w:r>
      <w:r w:rsidRPr="002165A0">
        <w:t xml:space="preserve"> </w:t>
      </w:r>
      <w:r w:rsidRPr="00780D0B">
        <w:t xml:space="preserve">it </w:t>
      </w:r>
      <w:r w:rsidR="00C70AFE">
        <w:t xml:space="preserve">will come </w:t>
      </w:r>
      <w:r w:rsidRPr="00780D0B">
        <w:t xml:space="preserve">into effect. </w:t>
      </w:r>
    </w:p>
    <w:p w14:paraId="252BACE1" w14:textId="77777777" w:rsidR="00FE7303" w:rsidRPr="00FE7303" w:rsidRDefault="00FE7303" w:rsidP="00FE7303">
      <w:pPr>
        <w:pStyle w:val="CH2"/>
      </w:pPr>
      <w:r>
        <w:tab/>
      </w:r>
      <w:r>
        <w:tab/>
      </w:r>
      <w:r w:rsidRPr="00FE7303">
        <w:t>Suggested action by the Conference of the Parties</w:t>
      </w:r>
    </w:p>
    <w:p w14:paraId="1793F5E7" w14:textId="71E1C6A5" w:rsidR="00FE7303" w:rsidRPr="00DB4A8C" w:rsidRDefault="00FE7303" w:rsidP="0002588C">
      <w:pPr>
        <w:pStyle w:val="Normalnumber"/>
        <w:numPr>
          <w:ilvl w:val="0"/>
          <w:numId w:val="1"/>
        </w:numPr>
      </w:pPr>
      <w:r>
        <w:t>Having considered the draft memorandum of understanding, t</w:t>
      </w:r>
      <w:r w:rsidRPr="00DB4A8C">
        <w:t xml:space="preserve">he Conference may wish to </w:t>
      </w:r>
      <w:r w:rsidRPr="002165A0">
        <w:t xml:space="preserve">formally </w:t>
      </w:r>
      <w:r>
        <w:t xml:space="preserve">adopt a decision to </w:t>
      </w:r>
      <w:r w:rsidRPr="002165A0">
        <w:t xml:space="preserve">approve </w:t>
      </w:r>
      <w:r w:rsidR="00D1243E">
        <w:t>the</w:t>
      </w:r>
      <w:r w:rsidRPr="002165A0">
        <w:t xml:space="preserve"> </w:t>
      </w:r>
      <w:r>
        <w:t xml:space="preserve">text </w:t>
      </w:r>
      <w:r w:rsidRPr="002165A0">
        <w:t xml:space="preserve">and </w:t>
      </w:r>
      <w:r>
        <w:t xml:space="preserve">to enter into that </w:t>
      </w:r>
      <w:r w:rsidRPr="002165A0">
        <w:t xml:space="preserve">memorandum </w:t>
      </w:r>
      <w:r w:rsidR="00667388">
        <w:t xml:space="preserve">of understanding </w:t>
      </w:r>
      <w:r>
        <w:t>with</w:t>
      </w:r>
      <w:r w:rsidRPr="002165A0">
        <w:t xml:space="preserve"> the GEF Council</w:t>
      </w:r>
      <w:r w:rsidRPr="00DB4A8C">
        <w:t xml:space="preserve">. </w:t>
      </w:r>
    </w:p>
    <w:p w14:paraId="224D614E" w14:textId="77777777" w:rsidR="00FE7303" w:rsidRDefault="00FE7303" w:rsidP="00FE7303">
      <w:pPr>
        <w:pStyle w:val="Normalnumber"/>
        <w:numPr>
          <w:ilvl w:val="0"/>
          <w:numId w:val="0"/>
        </w:numPr>
        <w:ind w:left="1247"/>
      </w:pPr>
      <w:r>
        <w:br w:type="page"/>
      </w:r>
    </w:p>
    <w:p w14:paraId="0D9AC4A1" w14:textId="77777777" w:rsidR="00FE7303" w:rsidRPr="007A48DC" w:rsidRDefault="00FE7303" w:rsidP="00FE7303">
      <w:pPr>
        <w:pStyle w:val="ZZAnxheader"/>
      </w:pPr>
      <w:r w:rsidRPr="007A48DC">
        <w:lastRenderedPageBreak/>
        <w:t xml:space="preserve">Annex I </w:t>
      </w:r>
    </w:p>
    <w:p w14:paraId="1FA017ED" w14:textId="751C1355" w:rsidR="00FE7303" w:rsidRPr="005E2A4D" w:rsidRDefault="0002588C" w:rsidP="005E2A4D">
      <w:pPr>
        <w:pStyle w:val="ZZAnxtitle"/>
      </w:pPr>
      <w:r w:rsidRPr="005E2A4D">
        <w:t xml:space="preserve">Draft decision </w:t>
      </w:r>
      <w:r w:rsidR="00FE7303" w:rsidRPr="005E2A4D">
        <w:t>MC-1</w:t>
      </w:r>
      <w:proofErr w:type="gramStart"/>
      <w:r w:rsidR="00FE7303" w:rsidRPr="005E2A4D">
        <w:t>/</w:t>
      </w:r>
      <w:r w:rsidR="00604142" w:rsidRPr="005E2A4D">
        <w:t>[</w:t>
      </w:r>
      <w:proofErr w:type="gramEnd"/>
      <w:r w:rsidR="00FE7303" w:rsidRPr="005E2A4D">
        <w:t>X</w:t>
      </w:r>
      <w:r w:rsidR="00604142" w:rsidRPr="005E2A4D">
        <w:t>X]</w:t>
      </w:r>
      <w:r w:rsidR="00FE7303" w:rsidRPr="005E2A4D">
        <w:t xml:space="preserve">: Memorandum of </w:t>
      </w:r>
      <w:r w:rsidR="00310A32" w:rsidRPr="005E2A4D">
        <w:t>u</w:t>
      </w:r>
      <w:r w:rsidR="00FE7303" w:rsidRPr="005E2A4D">
        <w:t xml:space="preserve">nderstanding between the Conference of the Parties to the </w:t>
      </w:r>
      <w:proofErr w:type="spellStart"/>
      <w:r w:rsidR="00FE7303" w:rsidRPr="005E2A4D">
        <w:t>Minamata</w:t>
      </w:r>
      <w:proofErr w:type="spellEnd"/>
      <w:r w:rsidR="00FE7303" w:rsidRPr="005E2A4D">
        <w:t xml:space="preserve"> Convention on Mercury and the Council of the Global Environment Facility</w:t>
      </w:r>
    </w:p>
    <w:p w14:paraId="5BC2A095" w14:textId="08ACBD9C" w:rsidR="00FE7303" w:rsidRPr="006E749E" w:rsidRDefault="00FE7303" w:rsidP="00FE7303">
      <w:pPr>
        <w:pStyle w:val="Normal-pool"/>
        <w:tabs>
          <w:tab w:val="clear" w:pos="1247"/>
          <w:tab w:val="clear" w:pos="1814"/>
          <w:tab w:val="clear" w:pos="2381"/>
          <w:tab w:val="clear" w:pos="2948"/>
          <w:tab w:val="clear" w:pos="3515"/>
          <w:tab w:val="clear" w:pos="4082"/>
          <w:tab w:val="left" w:pos="624"/>
        </w:tabs>
        <w:spacing w:after="120"/>
        <w:ind w:left="1247" w:firstLine="624"/>
      </w:pPr>
      <w:r w:rsidRPr="006E749E">
        <w:rPr>
          <w:i/>
        </w:rPr>
        <w:t>The Conference of the Parties</w:t>
      </w:r>
    </w:p>
    <w:p w14:paraId="4FEC82D8" w14:textId="6EF004F7" w:rsidR="00FE7303" w:rsidRPr="006E749E" w:rsidRDefault="00FE7303" w:rsidP="00FE7303">
      <w:pPr>
        <w:pStyle w:val="Normal-pool"/>
        <w:tabs>
          <w:tab w:val="clear" w:pos="1247"/>
          <w:tab w:val="clear" w:pos="1814"/>
          <w:tab w:val="clear" w:pos="2381"/>
          <w:tab w:val="clear" w:pos="2948"/>
          <w:tab w:val="clear" w:pos="3515"/>
          <w:tab w:val="clear" w:pos="4082"/>
          <w:tab w:val="left" w:pos="624"/>
        </w:tabs>
        <w:spacing w:after="120"/>
        <w:ind w:left="1247" w:firstLine="624"/>
      </w:pPr>
      <w:proofErr w:type="gramStart"/>
      <w:r w:rsidRPr="002165A0">
        <w:rPr>
          <w:i/>
        </w:rPr>
        <w:t xml:space="preserve">Decides </w:t>
      </w:r>
      <w:r w:rsidRPr="002165A0">
        <w:t xml:space="preserve">to approve the </w:t>
      </w:r>
      <w:r>
        <w:t xml:space="preserve">text of the </w:t>
      </w:r>
      <w:r w:rsidRPr="00B40056">
        <w:t xml:space="preserve">memorandum of understanding between the Conference of Parties </w:t>
      </w:r>
      <w:r w:rsidR="00A94539">
        <w:t xml:space="preserve">to the </w:t>
      </w:r>
      <w:proofErr w:type="spellStart"/>
      <w:r w:rsidR="00A94539">
        <w:t>Minamata</w:t>
      </w:r>
      <w:proofErr w:type="spellEnd"/>
      <w:r w:rsidR="00A94539">
        <w:t xml:space="preserve"> Convention </w:t>
      </w:r>
      <w:r w:rsidRPr="00B40056">
        <w:t>and the Council of the Global Environment Facility, as contained in the annex to the present decision, and to enter into that memorandum of understanding with the Council of the Global Environment Facility.</w:t>
      </w:r>
      <w:proofErr w:type="gramEnd"/>
    </w:p>
    <w:p w14:paraId="3F648664" w14:textId="77777777" w:rsidR="00FE7303" w:rsidRPr="0096723C" w:rsidRDefault="00FE7303" w:rsidP="00FE7303">
      <w:pPr>
        <w:pStyle w:val="ZZAnxheader"/>
      </w:pPr>
      <w:r>
        <w:br w:type="page"/>
      </w:r>
      <w:r w:rsidRPr="0096723C">
        <w:t xml:space="preserve">Annex II </w:t>
      </w:r>
    </w:p>
    <w:p w14:paraId="09BE7A9A" w14:textId="77777777" w:rsidR="00FE7303" w:rsidRPr="005E2A4D" w:rsidRDefault="00FE7303" w:rsidP="005E2A4D">
      <w:pPr>
        <w:pStyle w:val="ZZAnxtitle"/>
      </w:pPr>
      <w:r w:rsidRPr="005E2A4D">
        <w:t xml:space="preserve">Draft memorandum of understanding between the Conference of the Parties to the </w:t>
      </w:r>
      <w:proofErr w:type="spellStart"/>
      <w:r w:rsidRPr="005E2A4D">
        <w:t>Minamata</w:t>
      </w:r>
      <w:proofErr w:type="spellEnd"/>
      <w:r w:rsidRPr="005E2A4D">
        <w:t xml:space="preserve"> Convention on Mercury and the Council of the Global Environment Facility</w:t>
      </w:r>
    </w:p>
    <w:p w14:paraId="6B72257B" w14:textId="77777777" w:rsidR="00FE7303" w:rsidRPr="00D66653" w:rsidRDefault="00FE7303" w:rsidP="00FE7303">
      <w:pPr>
        <w:pStyle w:val="Normal-pool"/>
        <w:tabs>
          <w:tab w:val="clear" w:pos="1247"/>
          <w:tab w:val="clear" w:pos="1814"/>
          <w:tab w:val="clear" w:pos="2381"/>
          <w:tab w:val="clear" w:pos="2948"/>
          <w:tab w:val="clear" w:pos="3515"/>
          <w:tab w:val="clear" w:pos="4082"/>
          <w:tab w:val="left" w:pos="624"/>
        </w:tabs>
        <w:spacing w:after="120"/>
        <w:ind w:left="1247" w:firstLine="624"/>
        <w:rPr>
          <w:rStyle w:val="Inget"/>
          <w:bCs/>
        </w:rPr>
      </w:pPr>
      <w:r w:rsidRPr="00D66653">
        <w:t xml:space="preserve">The Conference of the Parties to the Minamata Convention on Mercury (hereinafter the “Conference of the Parties”) and the Council of the Global Environment Facility (hereinafter the “Council”), </w:t>
      </w:r>
    </w:p>
    <w:p w14:paraId="1514E116" w14:textId="51ED2103" w:rsidR="00FE7303" w:rsidRPr="00A308C3" w:rsidRDefault="00FE7303" w:rsidP="00FE7303">
      <w:pPr>
        <w:pStyle w:val="Normal-pool"/>
        <w:tabs>
          <w:tab w:val="clear" w:pos="1247"/>
          <w:tab w:val="clear" w:pos="1814"/>
          <w:tab w:val="clear" w:pos="2381"/>
          <w:tab w:val="clear" w:pos="2948"/>
          <w:tab w:val="clear" w:pos="3515"/>
          <w:tab w:val="clear" w:pos="4082"/>
          <w:tab w:val="left" w:pos="624"/>
        </w:tabs>
        <w:spacing w:after="120"/>
        <w:ind w:left="1247" w:firstLine="624"/>
      </w:pPr>
      <w:r w:rsidRPr="00D66653">
        <w:rPr>
          <w:rStyle w:val="Inget"/>
          <w:i/>
          <w:iCs/>
        </w:rPr>
        <w:t>Recalling</w:t>
      </w:r>
      <w:r w:rsidRPr="00D66653">
        <w:t xml:space="preserve"> paragraph 5 of Article 13 of the Convention, which defines a Mechanism for the provision of adequate, predictable and timely financial resources to support developing country Parties and Parties with economies in transition in implementing their </w:t>
      </w:r>
      <w:r w:rsidRPr="00A308C3">
        <w:t>obligations under the Convention, and paragraph 6 of Article 13, which establishes that the Mechanism “shall include the Global Environment Facility Trust Fund; and a specific international Programme to support capacity</w:t>
      </w:r>
      <w:r w:rsidR="00C80767">
        <w:t>-</w:t>
      </w:r>
      <w:r w:rsidRPr="00A308C3">
        <w:t>building and technical assistance”;</w:t>
      </w:r>
    </w:p>
    <w:p w14:paraId="5D0BD724" w14:textId="77777777" w:rsidR="00FE7303" w:rsidRPr="0096723C" w:rsidRDefault="00FE7303" w:rsidP="00FE7303">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5E2A4D">
        <w:rPr>
          <w:i/>
        </w:rPr>
        <w:t>R</w:t>
      </w:r>
      <w:r w:rsidRPr="00A308C3">
        <w:rPr>
          <w:rStyle w:val="Inget"/>
          <w:i/>
          <w:iCs/>
        </w:rPr>
        <w:t>ecallin</w:t>
      </w:r>
      <w:r w:rsidRPr="00A308C3">
        <w:t xml:space="preserve">g </w:t>
      </w:r>
      <w:r w:rsidRPr="00A308C3">
        <w:rPr>
          <w:rStyle w:val="Inget"/>
          <w:i/>
          <w:iCs/>
        </w:rPr>
        <w:t>also</w:t>
      </w:r>
      <w:r w:rsidRPr="00A308C3">
        <w:t xml:space="preserve"> paragraph 7 of Article 13 of the Convention, which states that the Global Environment Facility Trust Fund “shall provide new, predictable, adequate and timely financial resources to meet costs in support of implementation of this Convention as agreed by the Conference of the Parties” and that it “shall be operated under the guidance of and be accountable to the Conference of the Parties”, which “shall provide guidance on overall strategies, policies, programme priorities and eligibility for access to and utilization of financial resources” as well as “guidance on an indicative list of categories of activities that could receive support from the Global Environment Facility Trust Fund”;</w:t>
      </w:r>
    </w:p>
    <w:p w14:paraId="2A496B3A" w14:textId="77777777" w:rsidR="00FE7303" w:rsidRPr="00D66653" w:rsidRDefault="00FE7303" w:rsidP="00FE7303">
      <w:pPr>
        <w:pStyle w:val="Normal-pool"/>
        <w:tabs>
          <w:tab w:val="clear" w:pos="1247"/>
          <w:tab w:val="clear" w:pos="1814"/>
          <w:tab w:val="clear" w:pos="2381"/>
          <w:tab w:val="clear" w:pos="2948"/>
          <w:tab w:val="clear" w:pos="3515"/>
          <w:tab w:val="clear" w:pos="4082"/>
          <w:tab w:val="left" w:pos="624"/>
        </w:tabs>
        <w:spacing w:after="120"/>
        <w:ind w:left="1247" w:firstLine="624"/>
      </w:pPr>
      <w:r w:rsidRPr="00A308C3">
        <w:rPr>
          <w:rStyle w:val="Inget"/>
          <w:i/>
          <w:iCs/>
        </w:rPr>
        <w:t>Recalling further</w:t>
      </w:r>
      <w:r w:rsidRPr="00A308C3">
        <w:t xml:space="preserve"> paragraph 7 of Article 13 of the Convention, which stipulates that the Global Environment Facility Trust Fund “shall provide resources to meet</w:t>
      </w:r>
      <w:r w:rsidRPr="00D66653">
        <w:t xml:space="preserve"> the agreed incremental costs of global environmental benefits and the agreed full costs of some enabling activities”, and paragraph 8 of Article 13, which specifies that in providing resources for an activity, the Global Environment Facility Trust Fund “should take into account the potential mercury reductions of a proposed activity relative to its costs”;</w:t>
      </w:r>
    </w:p>
    <w:p w14:paraId="5DA3602B" w14:textId="77777777" w:rsidR="00FE7303" w:rsidRPr="00D66653" w:rsidRDefault="00FE7303" w:rsidP="00FE7303">
      <w:pPr>
        <w:pStyle w:val="Normal-pool"/>
        <w:tabs>
          <w:tab w:val="clear" w:pos="1247"/>
          <w:tab w:val="clear" w:pos="1814"/>
          <w:tab w:val="clear" w:pos="2381"/>
          <w:tab w:val="clear" w:pos="2948"/>
          <w:tab w:val="clear" w:pos="3515"/>
          <w:tab w:val="clear" w:pos="4082"/>
          <w:tab w:val="left" w:pos="624"/>
        </w:tabs>
        <w:spacing w:after="120"/>
        <w:ind w:left="1247" w:firstLine="624"/>
      </w:pPr>
      <w:r w:rsidRPr="00D66653">
        <w:rPr>
          <w:rStyle w:val="Inget"/>
          <w:i/>
          <w:iCs/>
        </w:rPr>
        <w:t>Recalling</w:t>
      </w:r>
      <w:r w:rsidRPr="00D66653">
        <w:t xml:space="preserve"> paragraph 6 of the Instrument for the Establishment of the Restructured Global Environment Facility, as amended at the fifth Assembly of the Global Environment Facility, held in May 2014, which provides that the Global Environment Facility will “[o]perate as one of the entities comprising the financial mechanism of the Minamata Convention on Mercury…”;</w:t>
      </w:r>
    </w:p>
    <w:p w14:paraId="5FAD3221" w14:textId="77777777" w:rsidR="00FE7303" w:rsidRPr="00D66653" w:rsidRDefault="00FE7303" w:rsidP="00FE7303">
      <w:pPr>
        <w:pStyle w:val="Normal-pool"/>
        <w:tabs>
          <w:tab w:val="clear" w:pos="1247"/>
          <w:tab w:val="clear" w:pos="1814"/>
          <w:tab w:val="clear" w:pos="2381"/>
          <w:tab w:val="clear" w:pos="2948"/>
          <w:tab w:val="clear" w:pos="3515"/>
          <w:tab w:val="clear" w:pos="4082"/>
          <w:tab w:val="left" w:pos="624"/>
        </w:tabs>
        <w:spacing w:after="120"/>
        <w:ind w:left="1247" w:firstLine="624"/>
      </w:pPr>
      <w:r w:rsidRPr="00D66653">
        <w:t>Having consulted each other and taking into account the relevant aspects of their governance structures as reflected in their constituent instruments,</w:t>
      </w:r>
    </w:p>
    <w:p w14:paraId="1268F408" w14:textId="77777777" w:rsidR="00FE7303" w:rsidRPr="00D66653" w:rsidRDefault="00FE7303" w:rsidP="00FE7303">
      <w:pPr>
        <w:pStyle w:val="Normal-pool"/>
        <w:tabs>
          <w:tab w:val="clear" w:pos="1247"/>
          <w:tab w:val="clear" w:pos="1814"/>
          <w:tab w:val="clear" w:pos="2381"/>
          <w:tab w:val="clear" w:pos="2948"/>
          <w:tab w:val="clear" w:pos="3515"/>
          <w:tab w:val="clear" w:pos="4082"/>
          <w:tab w:val="left" w:pos="624"/>
        </w:tabs>
        <w:spacing w:after="120"/>
        <w:ind w:left="1247" w:firstLine="624"/>
      </w:pPr>
      <w:r w:rsidRPr="00D66653">
        <w:t>Have reached the following understanding:</w:t>
      </w:r>
    </w:p>
    <w:p w14:paraId="5F669ACA" w14:textId="77777777" w:rsidR="00FE7303" w:rsidRPr="00D66653" w:rsidRDefault="00FE7303" w:rsidP="00FE7303">
      <w:pPr>
        <w:pStyle w:val="CH2"/>
      </w:pPr>
      <w:r w:rsidRPr="00D66653">
        <w:rPr>
          <w:rFonts w:cs="Arial Unicode MS"/>
        </w:rPr>
        <w:tab/>
      </w:r>
      <w:r w:rsidRPr="00D66653">
        <w:rPr>
          <w:rFonts w:cs="Arial Unicode MS"/>
        </w:rPr>
        <w:tab/>
        <w:t>Definitions</w:t>
      </w:r>
    </w:p>
    <w:p w14:paraId="7E4D26F3" w14:textId="77777777" w:rsidR="00FE7303" w:rsidRPr="00D66653" w:rsidRDefault="00FE7303" w:rsidP="00FE7303">
      <w:pPr>
        <w:pStyle w:val="Normalnumber"/>
        <w:numPr>
          <w:ilvl w:val="0"/>
          <w:numId w:val="22"/>
        </w:numPr>
      </w:pPr>
      <w:r w:rsidRPr="00D66653">
        <w:t>For the purpose of the present memorandum of understanding:</w:t>
      </w:r>
    </w:p>
    <w:p w14:paraId="70DC23DF" w14:textId="77777777" w:rsidR="00FE7303" w:rsidRPr="00D66653" w:rsidRDefault="00FE7303" w:rsidP="00FE7303">
      <w:pPr>
        <w:pStyle w:val="Normalnumber"/>
        <w:numPr>
          <w:ilvl w:val="1"/>
          <w:numId w:val="22"/>
        </w:numPr>
      </w:pPr>
      <w:r w:rsidRPr="00D66653">
        <w:t>“Assembly” means the Assembly of the Global Environment Facility (GEF) as defined in the Instrument for the Establishment of the Restructured Global Environment Facility;</w:t>
      </w:r>
    </w:p>
    <w:p w14:paraId="48591BEB" w14:textId="77777777" w:rsidR="00FE7303" w:rsidRPr="00D66653" w:rsidRDefault="00FE7303" w:rsidP="00FE7303">
      <w:pPr>
        <w:pStyle w:val="Normalnumber"/>
        <w:numPr>
          <w:ilvl w:val="1"/>
          <w:numId w:val="22"/>
        </w:numPr>
      </w:pPr>
      <w:r w:rsidRPr="00D66653">
        <w:t>“Conference of the Parties” means the Conference of the Parties to the Minamata Convention on Mercury;</w:t>
      </w:r>
    </w:p>
    <w:p w14:paraId="1D90F498" w14:textId="77777777" w:rsidR="00FE7303" w:rsidRPr="00D66653" w:rsidRDefault="00FE7303" w:rsidP="00FE7303">
      <w:pPr>
        <w:pStyle w:val="Normalnumber"/>
        <w:numPr>
          <w:ilvl w:val="1"/>
          <w:numId w:val="22"/>
        </w:numPr>
      </w:pPr>
      <w:r w:rsidRPr="00D66653">
        <w:t>“Convention” means the Minamata Convention on Mercury;</w:t>
      </w:r>
    </w:p>
    <w:p w14:paraId="5D04261C" w14:textId="77777777" w:rsidR="00FE7303" w:rsidRPr="00D66653" w:rsidRDefault="00FE7303" w:rsidP="00FE7303">
      <w:pPr>
        <w:pStyle w:val="Normalnumber"/>
        <w:numPr>
          <w:ilvl w:val="1"/>
          <w:numId w:val="22"/>
        </w:numPr>
      </w:pPr>
      <w:r w:rsidRPr="00D66653">
        <w:t>“Council” means the Council of the GEF as defined in the Instrument for the Establishment of the Restructured Global Environment Facility;</w:t>
      </w:r>
    </w:p>
    <w:p w14:paraId="0336F789" w14:textId="77777777" w:rsidR="00FE7303" w:rsidRPr="00D66653" w:rsidRDefault="00FE7303" w:rsidP="00FE7303">
      <w:pPr>
        <w:pStyle w:val="Normalnumber"/>
        <w:numPr>
          <w:ilvl w:val="1"/>
          <w:numId w:val="22"/>
        </w:numPr>
      </w:pPr>
      <w:r w:rsidRPr="00D66653">
        <w:t xml:space="preserve">“GEF” means the mechanism established by the Instrument for the Establishment of the Restructured Global Environment Facility; </w:t>
      </w:r>
    </w:p>
    <w:p w14:paraId="6EC303CE" w14:textId="77777777" w:rsidR="00FE7303" w:rsidRPr="00D66653" w:rsidRDefault="00FE7303" w:rsidP="00FE7303">
      <w:pPr>
        <w:pStyle w:val="Normalnumber"/>
        <w:numPr>
          <w:ilvl w:val="1"/>
          <w:numId w:val="22"/>
        </w:numPr>
      </w:pPr>
      <w:r w:rsidRPr="00D66653">
        <w:t xml:space="preserve">“GEF Instrument” means the Instrument for the Establishment of the Restructured Global Environment Facility; </w:t>
      </w:r>
    </w:p>
    <w:p w14:paraId="4A75E927" w14:textId="77777777" w:rsidR="00FE7303" w:rsidRPr="00D66653" w:rsidRDefault="00FE7303" w:rsidP="00FE7303">
      <w:pPr>
        <w:pStyle w:val="Normalnumber"/>
        <w:numPr>
          <w:ilvl w:val="1"/>
          <w:numId w:val="22"/>
        </w:numPr>
      </w:pPr>
      <w:r w:rsidRPr="00D66653">
        <w:t>“Party” means Party to the Minamata Convention on Mercury; and</w:t>
      </w:r>
    </w:p>
    <w:p w14:paraId="287E5C8E" w14:textId="77777777" w:rsidR="00FE7303" w:rsidRPr="00D66653" w:rsidRDefault="00FE7303" w:rsidP="00FE7303">
      <w:pPr>
        <w:pStyle w:val="Normalnumber"/>
        <w:numPr>
          <w:ilvl w:val="1"/>
          <w:numId w:val="22"/>
        </w:numPr>
      </w:pPr>
      <w:r w:rsidRPr="00D66653">
        <w:t>“Mercury” means the substances covered under the Minamata Convention on Mercury.</w:t>
      </w:r>
    </w:p>
    <w:p w14:paraId="12B16FD5" w14:textId="77777777" w:rsidR="00FE7303" w:rsidRPr="00D66653" w:rsidRDefault="00FE7303" w:rsidP="00FE7303">
      <w:pPr>
        <w:pStyle w:val="CH2"/>
      </w:pPr>
      <w:r w:rsidRPr="00D66653">
        <w:rPr>
          <w:rFonts w:cs="Arial Unicode MS"/>
        </w:rPr>
        <w:tab/>
      </w:r>
      <w:r w:rsidRPr="00D66653">
        <w:rPr>
          <w:rFonts w:cs="Arial Unicode MS"/>
        </w:rPr>
        <w:tab/>
        <w:t>Purpose</w:t>
      </w:r>
    </w:p>
    <w:p w14:paraId="3C1BF35B" w14:textId="77777777" w:rsidR="00FE7303" w:rsidRPr="00091D87" w:rsidRDefault="00FE7303" w:rsidP="00FE7303">
      <w:pPr>
        <w:pStyle w:val="Normalnumber"/>
        <w:numPr>
          <w:ilvl w:val="0"/>
          <w:numId w:val="22"/>
        </w:numPr>
      </w:pPr>
      <w:r w:rsidRPr="00A308C3">
        <w:t>The purpose of the present memorandum of understanding is to make provision for the relationship between the Conference of the Parties and the Council in order to give effect to the provisions relating to the GEF Trust Fund in paragraphs</w:t>
      </w:r>
      <w:r w:rsidRPr="00D66653">
        <w:t xml:space="preserve"> 5, 6, 7, 8, 10 and 11 of Article 13 of the Convention and paragraphs 6, 26 and 27 </w:t>
      </w:r>
      <w:r w:rsidRPr="00091D87">
        <w:t>of the GEF Instrument.</w:t>
      </w:r>
    </w:p>
    <w:p w14:paraId="1753ADA6" w14:textId="77777777" w:rsidR="00FE7303" w:rsidRPr="00D66653" w:rsidRDefault="00FE7303" w:rsidP="00FE7303">
      <w:pPr>
        <w:pStyle w:val="CH2"/>
      </w:pPr>
      <w:r w:rsidRPr="00091D87">
        <w:rPr>
          <w:rFonts w:cs="Arial Unicode MS"/>
        </w:rPr>
        <w:tab/>
      </w:r>
      <w:r w:rsidRPr="00091D87">
        <w:rPr>
          <w:rFonts w:cs="Arial Unicode MS"/>
        </w:rPr>
        <w:tab/>
        <w:t>Guidance from the Conference of the Parties</w:t>
      </w:r>
    </w:p>
    <w:p w14:paraId="003966A4" w14:textId="77777777" w:rsidR="00FE7303" w:rsidRPr="005E2A4D" w:rsidRDefault="00FE7303" w:rsidP="00FE7303">
      <w:pPr>
        <w:pStyle w:val="Normalnumber"/>
        <w:numPr>
          <w:ilvl w:val="0"/>
          <w:numId w:val="22"/>
        </w:numPr>
        <w:rPr>
          <w:rStyle w:val="Inget"/>
          <w:rFonts w:ascii="Times" w:hAnsi="Times" w:cs="Times"/>
        </w:rPr>
      </w:pPr>
      <w:r w:rsidRPr="00D66653">
        <w:rPr>
          <w:rStyle w:val="Inget"/>
          <w:rFonts w:ascii="Times" w:hAnsi="Times" w:cs="Times"/>
        </w:rPr>
        <w:t xml:space="preserve">The Conference of the Parties will provide GEF with appropriate guidance in accordance with </w:t>
      </w:r>
      <w:r w:rsidRPr="00C80767">
        <w:rPr>
          <w:rStyle w:val="Inget"/>
          <w:rFonts w:ascii="Times" w:hAnsi="Times" w:cs="Times"/>
        </w:rPr>
        <w:t xml:space="preserve">paragraph 7 of Article 13 of the Convention. The guidance will address overall strategies, policies, programme priorities and eligibility for access to and utilization of financial resources, as well as an indicative list of categories of activities that could receive support from the GEF Trust Fund. No later than at its third meeting, and thereafter on a regular basis, the Conference of the Parties will review such guidance pursuant to paragraph 11 of Article 13 and may on the basis of such review decide to update or revise it. Subsequently, the Conference of the Parties will agree with GEF upon any additional arrangements beyond the present memorandum of understanding that may be necessary. </w:t>
      </w:r>
    </w:p>
    <w:p w14:paraId="352350EF" w14:textId="77777777" w:rsidR="00FE7303" w:rsidRPr="005E2A4D" w:rsidRDefault="00FE7303" w:rsidP="00FE7303">
      <w:pPr>
        <w:pStyle w:val="CH2"/>
        <w:rPr>
          <w:rStyle w:val="Inget"/>
          <w:rFonts w:ascii="Times" w:hAnsi="Times" w:cs="Times"/>
        </w:rPr>
      </w:pPr>
      <w:r w:rsidRPr="00C80767">
        <w:rPr>
          <w:rFonts w:cs="Arial Unicode MS"/>
        </w:rPr>
        <w:tab/>
      </w:r>
      <w:r w:rsidRPr="00C80767">
        <w:rPr>
          <w:rFonts w:cs="Arial Unicode MS"/>
        </w:rPr>
        <w:tab/>
        <w:t>Conformity with guidance from the Conference of the Parties</w:t>
      </w:r>
    </w:p>
    <w:p w14:paraId="26E4B2E0" w14:textId="77777777" w:rsidR="00FE7303" w:rsidRPr="00C80767" w:rsidRDefault="00FE7303" w:rsidP="00FE7303">
      <w:pPr>
        <w:pStyle w:val="Normalnumber"/>
        <w:numPr>
          <w:ilvl w:val="0"/>
          <w:numId w:val="22"/>
        </w:numPr>
      </w:pPr>
      <w:r w:rsidRPr="00C80767">
        <w:t xml:space="preserve">The Council will ensure the effective operation of GEF as a source of funding for activities for the purposes of the Convention in conformity with the guidance provided to it by the Conference of the Parties. </w:t>
      </w:r>
    </w:p>
    <w:p w14:paraId="2EAEF944" w14:textId="77777777" w:rsidR="00FE7303" w:rsidRPr="00C80767" w:rsidRDefault="00FE7303" w:rsidP="00FE7303">
      <w:pPr>
        <w:pStyle w:val="Normalnumber"/>
        <w:numPr>
          <w:ilvl w:val="0"/>
          <w:numId w:val="22"/>
        </w:numPr>
      </w:pPr>
      <w:r w:rsidRPr="00C80767">
        <w:t xml:space="preserve">The Council may </w:t>
      </w:r>
      <w:proofErr w:type="gramStart"/>
      <w:r w:rsidRPr="00C80767">
        <w:t>raise</w:t>
      </w:r>
      <w:proofErr w:type="gramEnd"/>
      <w:r w:rsidRPr="00C80767">
        <w:t xml:space="preserve"> with the Conference of the Parties any matter arising from the guidance adopted by the Conference of the Parties. In particular, if the Conference of the Parties provides guidance to GEF subsequent to its first meeting, the Council may consult with the Conference of the Parties to update and clarify existing guidance in light of any new or additional guidance that it receives.</w:t>
      </w:r>
    </w:p>
    <w:p w14:paraId="099D80E5" w14:textId="77777777" w:rsidR="00FE7303" w:rsidRPr="00D66653" w:rsidRDefault="00FE7303" w:rsidP="00FE7303">
      <w:pPr>
        <w:pStyle w:val="Normalnumber"/>
        <w:numPr>
          <w:ilvl w:val="0"/>
          <w:numId w:val="22"/>
        </w:numPr>
        <w:rPr>
          <w:rStyle w:val="Inget"/>
          <w:rFonts w:ascii="Times" w:hAnsi="Times" w:cs="Times"/>
        </w:rPr>
      </w:pPr>
      <w:r w:rsidRPr="00C80767">
        <w:rPr>
          <w:rStyle w:val="Inget"/>
          <w:rFonts w:ascii="Times" w:hAnsi="Times" w:cs="Times"/>
        </w:rPr>
        <w:t>Funding decisions for specific projects and activities should be agreed between the developing country Party or the Party</w:t>
      </w:r>
      <w:r w:rsidRPr="00D66653">
        <w:rPr>
          <w:rStyle w:val="Inget"/>
          <w:rFonts w:ascii="Times" w:hAnsi="Times" w:cs="Times"/>
        </w:rPr>
        <w:t xml:space="preserve"> with an economy in transition concerned and GEF in accordance</w:t>
      </w:r>
      <w:r w:rsidRPr="00D66653">
        <w:rPr>
          <w:rStyle w:val="Inget"/>
          <w:rFonts w:ascii="Times" w:hAnsi="Times" w:cs="Times"/>
          <w:sz w:val="22"/>
          <w:szCs w:val="22"/>
        </w:rPr>
        <w:t xml:space="preserve"> </w:t>
      </w:r>
      <w:r w:rsidRPr="00D66653">
        <w:rPr>
          <w:rStyle w:val="Inget"/>
          <w:rFonts w:ascii="Times" w:hAnsi="Times" w:cs="Times"/>
        </w:rPr>
        <w:t>with the overall strategies, policies, programme priorities and eligibility for access to and utilization of financial resources established by the Conference of the Parties. The GEF Council is responsible for approving the GEF work programmes. If a Party considers that a decision of the Council regarding a specific project is not consistent with the guidance provided by the Conference of the Parties in the context of the Convention, and if after consideration the Conference of the Parties decides that the concern of the relevant Party has merit, the Conference of the Parties will seek clarification from GEF and analyse the observations presented to it by the concerned Party and the response by GEF. In the event that the Conference of the Parties considers that the project decision by the GEF Council is not consistent with the overall strategies, policies, programme priorities and eligibility for access to and utilization of financial resources established by the Conference of the Parties, it may request GEF to propose and implement a course of action to address the concern regarding the project in question.</w:t>
      </w:r>
    </w:p>
    <w:p w14:paraId="7A6686D6" w14:textId="77777777" w:rsidR="00FE7303" w:rsidRPr="00D66653" w:rsidRDefault="00FE7303" w:rsidP="00FE7303">
      <w:pPr>
        <w:pStyle w:val="CH2"/>
      </w:pPr>
      <w:r w:rsidRPr="00D66653">
        <w:rPr>
          <w:rFonts w:cs="Arial Unicode MS"/>
        </w:rPr>
        <w:tab/>
      </w:r>
      <w:r w:rsidRPr="00D66653">
        <w:rPr>
          <w:rFonts w:cs="Arial Unicode MS"/>
        </w:rPr>
        <w:tab/>
        <w:t>Reporting</w:t>
      </w:r>
    </w:p>
    <w:p w14:paraId="4A4FC20B" w14:textId="77777777" w:rsidR="00FE7303" w:rsidRPr="00D66653" w:rsidRDefault="00FE7303" w:rsidP="00FE7303">
      <w:pPr>
        <w:pStyle w:val="Normalnumber"/>
        <w:numPr>
          <w:ilvl w:val="0"/>
          <w:numId w:val="22"/>
        </w:numPr>
      </w:pPr>
      <w:r w:rsidRPr="00D66653">
        <w:t>In order to meet the requirements of accountability to the Conference of the Parties, the Council will prepare and submit reports for consideration by the Conference of the Parties at each of its ordinary meetings. The reports of the Council will be official documents of the meetings of the Conference of the Parties.</w:t>
      </w:r>
    </w:p>
    <w:p w14:paraId="70D3F509" w14:textId="77777777" w:rsidR="00FE7303" w:rsidRPr="00D66653" w:rsidRDefault="00FE7303" w:rsidP="00FE7303">
      <w:pPr>
        <w:pStyle w:val="Normalnumber"/>
        <w:numPr>
          <w:ilvl w:val="0"/>
          <w:numId w:val="22"/>
        </w:numPr>
      </w:pPr>
      <w:r w:rsidRPr="00D66653">
        <w:t>The reports of the Council will include information on GEF activities related to the Convention and on the consistency of those activities with the guidance provided by the Conference of the Parties, as well as any decision of the Conference of the Parties communicated to GEF, under Article 13 of the Convention.</w:t>
      </w:r>
    </w:p>
    <w:p w14:paraId="0E6C60B2" w14:textId="77777777" w:rsidR="00FE7303" w:rsidRPr="00D66653" w:rsidRDefault="00FE7303" w:rsidP="00FE7303">
      <w:pPr>
        <w:pStyle w:val="Normalnumber"/>
        <w:numPr>
          <w:ilvl w:val="0"/>
          <w:numId w:val="22"/>
        </w:numPr>
      </w:pPr>
      <w:r w:rsidRPr="00D66653">
        <w:t>In particular, the reports will provide:</w:t>
      </w:r>
    </w:p>
    <w:p w14:paraId="6EC63B0B" w14:textId="77777777" w:rsidR="00FE7303" w:rsidRPr="00D66653" w:rsidRDefault="00FE7303" w:rsidP="00FE7303">
      <w:pPr>
        <w:pStyle w:val="Normalnumber"/>
        <w:numPr>
          <w:ilvl w:val="1"/>
          <w:numId w:val="22"/>
        </w:numPr>
      </w:pPr>
      <w:r w:rsidRPr="00D66653">
        <w:t xml:space="preserve">Information on how GEF has responded to the guidance provided by the Conference of the Parties, including, where appropriate, through the incorporation of the guidance into the strategies and operational policies of GEF; </w:t>
      </w:r>
    </w:p>
    <w:p w14:paraId="45D3FF8B" w14:textId="77777777" w:rsidR="00FE7303" w:rsidRPr="00D66653" w:rsidRDefault="00FE7303" w:rsidP="00FE7303">
      <w:pPr>
        <w:pStyle w:val="Normalnumber"/>
        <w:numPr>
          <w:ilvl w:val="1"/>
          <w:numId w:val="22"/>
        </w:numPr>
      </w:pPr>
      <w:r w:rsidRPr="00D66653">
        <w:t>A synthesis of projects approved by the Council and projects being implemented during the reporting period in relation to mercury, with an indication of GEF and other resources allocated to each such project and the implementation status of each project;</w:t>
      </w:r>
    </w:p>
    <w:p w14:paraId="70FF5CB9" w14:textId="77777777" w:rsidR="00FE7303" w:rsidRPr="00D66653" w:rsidRDefault="00FE7303" w:rsidP="00FE7303">
      <w:pPr>
        <w:pStyle w:val="Normalnumber"/>
        <w:numPr>
          <w:ilvl w:val="1"/>
          <w:numId w:val="22"/>
        </w:numPr>
      </w:pPr>
      <w:r w:rsidRPr="00D66653">
        <w:t>In the case of any project proposal included in a work programme that is not approved by the Council, an explanation of why it was not approved.</w:t>
      </w:r>
    </w:p>
    <w:p w14:paraId="0F950E43" w14:textId="77777777" w:rsidR="00FE7303" w:rsidRPr="00D66653" w:rsidRDefault="00FE7303" w:rsidP="00FE7303">
      <w:pPr>
        <w:pStyle w:val="Normalnumber"/>
        <w:numPr>
          <w:ilvl w:val="0"/>
          <w:numId w:val="22"/>
        </w:numPr>
      </w:pPr>
      <w:r w:rsidRPr="00D66653">
        <w:t>The Council will also report on GEF monitoring and evaluation activities concerning projects in the chemicals and waste focal area in relation to mercury.</w:t>
      </w:r>
    </w:p>
    <w:p w14:paraId="6450C6ED" w14:textId="77777777" w:rsidR="00FE7303" w:rsidRPr="00D66653" w:rsidRDefault="00FE7303" w:rsidP="00FE7303">
      <w:pPr>
        <w:pStyle w:val="Normalnumber"/>
        <w:numPr>
          <w:ilvl w:val="0"/>
          <w:numId w:val="22"/>
        </w:numPr>
      </w:pPr>
      <w:r w:rsidRPr="00D66653">
        <w:t xml:space="preserve">The Council will also provide information on other matters concerning the discharge of functions under paragraph 5 of Article 13 as it relates to the GEF Trust Fund as may be requested by the Conference of the Parties. If the Council has difficulties in responding to any such request, it will explain its concerns to the Conference of the Parties, and the Conference of the Parties and the Council will find a mutually </w:t>
      </w:r>
      <w:r>
        <w:t>acceptable</w:t>
      </w:r>
      <w:r w:rsidRPr="00D66653">
        <w:t xml:space="preserve"> solution.</w:t>
      </w:r>
    </w:p>
    <w:p w14:paraId="09EC60D8" w14:textId="77777777" w:rsidR="00FE7303" w:rsidRPr="00D66653" w:rsidRDefault="00FE7303" w:rsidP="00FE7303">
      <w:pPr>
        <w:pStyle w:val="Normalnumber"/>
        <w:numPr>
          <w:ilvl w:val="0"/>
          <w:numId w:val="22"/>
        </w:numPr>
      </w:pPr>
      <w:r w:rsidRPr="00D66653">
        <w:t>The Council will include in its reports to the Conference of the Parties any views that it may have regarding the guidance provided by the Conference of the Parties.</w:t>
      </w:r>
    </w:p>
    <w:p w14:paraId="4C4C03C7" w14:textId="77777777" w:rsidR="00FE7303" w:rsidRPr="00D66653" w:rsidRDefault="00FE7303" w:rsidP="00FE7303">
      <w:pPr>
        <w:pStyle w:val="Normalnumber"/>
        <w:numPr>
          <w:ilvl w:val="0"/>
          <w:numId w:val="22"/>
        </w:numPr>
      </w:pPr>
      <w:r w:rsidRPr="00D66653">
        <w:t xml:space="preserve">The Conference of the Parties may </w:t>
      </w:r>
      <w:proofErr w:type="gramStart"/>
      <w:r w:rsidRPr="00D66653">
        <w:t>raise</w:t>
      </w:r>
      <w:proofErr w:type="gramEnd"/>
      <w:r w:rsidRPr="00D66653">
        <w:t xml:space="preserve"> with the Council any matter arising from the reports received from the Council and seek GEF clarification and explanation. </w:t>
      </w:r>
    </w:p>
    <w:p w14:paraId="1B39C3CF" w14:textId="77777777" w:rsidR="00FE7303" w:rsidRPr="00D66653" w:rsidRDefault="00FE7303" w:rsidP="00FE7303">
      <w:pPr>
        <w:pStyle w:val="CH2"/>
      </w:pPr>
      <w:r w:rsidRPr="00D66653">
        <w:rPr>
          <w:rFonts w:cs="Arial Unicode MS"/>
        </w:rPr>
        <w:tab/>
      </w:r>
      <w:r w:rsidRPr="00D66653">
        <w:rPr>
          <w:rFonts w:cs="Arial Unicode MS"/>
        </w:rPr>
        <w:tab/>
        <w:t>Monitoring and evaluation</w:t>
      </w:r>
    </w:p>
    <w:p w14:paraId="12199FDD" w14:textId="77777777" w:rsidR="00FE7303" w:rsidRPr="00D66653" w:rsidRDefault="00FE7303" w:rsidP="00FE7303">
      <w:pPr>
        <w:pStyle w:val="Normalnumber"/>
        <w:numPr>
          <w:ilvl w:val="0"/>
          <w:numId w:val="22"/>
        </w:numPr>
      </w:pPr>
      <w:r w:rsidRPr="00D66653">
        <w:t>As provided for in paragraph 11 of Article 13 of the Convention, the Conference of the Parties will review, no later than at its third meeting, and thereafter on a regular basis, the level of funding, the guidance provided by the Conference of the Parties to GEF as one of the two entities entrusted to operationalize the Mechanism established under Article 13, and the effectiveness of GEF and its ability to address t</w:t>
      </w:r>
      <w:r>
        <w:t xml:space="preserve">he changing needs of developing </w:t>
      </w:r>
      <w:r w:rsidRPr="00D66653">
        <w:t xml:space="preserve">country Parties and Parties with economies in transition. The Conference of </w:t>
      </w:r>
      <w:r w:rsidRPr="00A308C3">
        <w:t>the Parties shall, based on such</w:t>
      </w:r>
      <w:r w:rsidRPr="00D66653">
        <w:t xml:space="preserve"> review, take appropriate action to improve the effectiveness of the Mechanism.</w:t>
      </w:r>
    </w:p>
    <w:p w14:paraId="7C169595" w14:textId="77777777" w:rsidR="00FE7303" w:rsidRPr="00D66653" w:rsidRDefault="00FE7303" w:rsidP="00FE7303">
      <w:pPr>
        <w:pStyle w:val="Normalnumber"/>
        <w:numPr>
          <w:ilvl w:val="0"/>
          <w:numId w:val="22"/>
        </w:numPr>
      </w:pPr>
      <w:r w:rsidRPr="00D66653">
        <w:t>In preparing its review of GEF as one of the two entities of the financial Mechanism under the Convention, the Conference of the Parties will, as appropriate, take into account the reports of the GEF Independent Evaluation Office and the views of GEF. The GEF Independent Evaluation Office will consult, as appropriate, the secretariat of the Convention when preparing evaluations of the activities of GEF related to mercury.</w:t>
      </w:r>
    </w:p>
    <w:p w14:paraId="09756D18" w14:textId="77777777" w:rsidR="00FE7303" w:rsidRPr="00D66653" w:rsidRDefault="00FE7303" w:rsidP="00FE7303">
      <w:pPr>
        <w:pStyle w:val="Normalnumber"/>
        <w:numPr>
          <w:ilvl w:val="0"/>
          <w:numId w:val="22"/>
        </w:numPr>
      </w:pPr>
      <w:r w:rsidRPr="00D66653">
        <w:t>The Conference of the Parties will, on the basis of the above-mentioned reviews, communicate to the Council relevant decisions taken by the Conference of the Parties as a result of such reviews to improve the performance and effectiveness</w:t>
      </w:r>
      <w:r>
        <w:t xml:space="preserve"> of GEF in assisting developing </w:t>
      </w:r>
      <w:r w:rsidRPr="00D66653">
        <w:t>country Parties and Parties with economies in transition in the implementation of their obligations under the Convention.</w:t>
      </w:r>
    </w:p>
    <w:p w14:paraId="78E6DDD9" w14:textId="77777777" w:rsidR="00FE7303" w:rsidRPr="00D66653" w:rsidRDefault="00FE7303" w:rsidP="00FE7303">
      <w:pPr>
        <w:pStyle w:val="CH2"/>
        <w:keepNext w:val="0"/>
        <w:keepLines w:val="0"/>
      </w:pPr>
      <w:r w:rsidRPr="00D66653">
        <w:tab/>
      </w:r>
      <w:r w:rsidRPr="00D66653">
        <w:tab/>
        <w:t xml:space="preserve">Cooperation between secretariats </w:t>
      </w:r>
    </w:p>
    <w:p w14:paraId="4BD9CD82" w14:textId="77777777" w:rsidR="00FE7303" w:rsidRPr="00D66653" w:rsidRDefault="00FE7303" w:rsidP="00FE7303">
      <w:pPr>
        <w:pStyle w:val="Normalnumber"/>
        <w:numPr>
          <w:ilvl w:val="0"/>
          <w:numId w:val="22"/>
        </w:numPr>
        <w:rPr>
          <w:rStyle w:val="Inget"/>
        </w:rPr>
      </w:pPr>
      <w:r w:rsidRPr="00D66653">
        <w:t>The secretariat of the Convention and the secretariat of GEF will communicate and cooperate with each other and consult on a regular basis to facilitate the effectiveness</w:t>
      </w:r>
      <w:r>
        <w:t xml:space="preserve"> of GEF in assisting developing </w:t>
      </w:r>
      <w:r w:rsidRPr="00D66653">
        <w:t xml:space="preserve">country Parties and Parties with economies in transition to implement their obligations </w:t>
      </w:r>
      <w:r w:rsidRPr="00D66653">
        <w:rPr>
          <w:rStyle w:val="Inget"/>
        </w:rPr>
        <w:t>under the Convention.</w:t>
      </w:r>
    </w:p>
    <w:p w14:paraId="7DADE1D8" w14:textId="77777777" w:rsidR="00FE7303" w:rsidRPr="00D66653" w:rsidRDefault="00FE7303" w:rsidP="00FE7303">
      <w:pPr>
        <w:pStyle w:val="Normalnumber"/>
        <w:numPr>
          <w:ilvl w:val="0"/>
          <w:numId w:val="22"/>
        </w:numPr>
        <w:rPr>
          <w:rStyle w:val="Inget"/>
        </w:rPr>
      </w:pPr>
      <w:r w:rsidRPr="00D66653">
        <w:rPr>
          <w:rStyle w:val="Inget"/>
        </w:rPr>
        <w:t>In particular, in accordance with the GEF project cycle the secretariat of the Convention will be invited to comment on the project proposals related to mercury under consideration for inclusion in a proposed work programme, especially with regard to their consistency with the guidance provided by the Conference of the Parties.</w:t>
      </w:r>
    </w:p>
    <w:p w14:paraId="12BE11B5" w14:textId="77777777" w:rsidR="00FE7303" w:rsidRPr="00D66653" w:rsidRDefault="00FE7303" w:rsidP="00FE7303">
      <w:pPr>
        <w:pStyle w:val="Normalnumber"/>
        <w:numPr>
          <w:ilvl w:val="0"/>
          <w:numId w:val="22"/>
        </w:numPr>
        <w:rPr>
          <w:rStyle w:val="Inget"/>
        </w:rPr>
      </w:pPr>
      <w:r w:rsidRPr="00D66653">
        <w:rPr>
          <w:rStyle w:val="Inget"/>
        </w:rPr>
        <w:t>The secretariats of the Convention and GEF will consult each other on draft texts of documents relevant to both the Convention and GEF prior to issuing the final texts of such documents and take any comments into account in their finalization.</w:t>
      </w:r>
    </w:p>
    <w:p w14:paraId="20BA1882" w14:textId="77777777" w:rsidR="00FE7303" w:rsidRPr="00D66653" w:rsidRDefault="00FE7303" w:rsidP="00FE7303">
      <w:pPr>
        <w:pStyle w:val="Normalnumber"/>
        <w:numPr>
          <w:ilvl w:val="0"/>
          <w:numId w:val="22"/>
        </w:numPr>
        <w:rPr>
          <w:rStyle w:val="Inget"/>
        </w:rPr>
      </w:pPr>
      <w:r w:rsidRPr="00D66653">
        <w:rPr>
          <w:rStyle w:val="Inget"/>
        </w:rPr>
        <w:t xml:space="preserve">Official documentation of GEF, including information on project activities, and of the Convention will be made available on the respective websites of GEF and the Convention. </w:t>
      </w:r>
    </w:p>
    <w:p w14:paraId="1E4AFF35" w14:textId="77777777" w:rsidR="00FE7303" w:rsidRPr="00D66653" w:rsidRDefault="00FE7303" w:rsidP="00FE7303">
      <w:pPr>
        <w:pStyle w:val="CH2"/>
        <w:keepNext w:val="0"/>
        <w:keepLines w:val="0"/>
        <w:rPr>
          <w:rStyle w:val="Inget"/>
          <w:rFonts w:ascii="Times" w:hAnsi="Times" w:cs="Times"/>
          <w:sz w:val="23"/>
          <w:szCs w:val="23"/>
        </w:rPr>
      </w:pPr>
      <w:r w:rsidRPr="00D66653">
        <w:tab/>
      </w:r>
      <w:r w:rsidRPr="00D66653">
        <w:tab/>
        <w:t>Reciprocal representation</w:t>
      </w:r>
    </w:p>
    <w:p w14:paraId="3E2D4EC6" w14:textId="77777777" w:rsidR="00FE7303" w:rsidRPr="00D66653" w:rsidRDefault="00FE7303" w:rsidP="00FE7303">
      <w:pPr>
        <w:pStyle w:val="Normalnumber"/>
        <w:numPr>
          <w:ilvl w:val="0"/>
          <w:numId w:val="22"/>
        </w:numPr>
        <w:rPr>
          <w:rStyle w:val="Inget"/>
          <w:u w:val="single"/>
        </w:rPr>
      </w:pPr>
      <w:r w:rsidRPr="00D66653">
        <w:t>On a reciprocal basis, representatives of GEF will be invited to attend meetings of the Conference of the Parties and relevant subsidiary bodies as appropriate, and representatives of the Convention will be invited to attend meetings of the Council and Assembly and other relevant meetings.</w:t>
      </w:r>
    </w:p>
    <w:p w14:paraId="6B33D672" w14:textId="77777777" w:rsidR="00FE7303" w:rsidRPr="00A308C3" w:rsidRDefault="00FE7303" w:rsidP="00FE7303">
      <w:pPr>
        <w:pStyle w:val="CH2"/>
        <w:keepLines w:val="0"/>
        <w:rPr>
          <w:rStyle w:val="Inget"/>
          <w:u w:val="single"/>
        </w:rPr>
      </w:pPr>
      <w:r w:rsidRPr="00D66653">
        <w:tab/>
      </w:r>
      <w:r w:rsidRPr="00D66653">
        <w:tab/>
      </w:r>
      <w:r w:rsidRPr="00A308C3">
        <w:t>Amendments</w:t>
      </w:r>
    </w:p>
    <w:p w14:paraId="3EB6CF6C" w14:textId="77777777" w:rsidR="00FE7303" w:rsidRPr="00A308C3" w:rsidRDefault="00FE7303" w:rsidP="00FE7303">
      <w:pPr>
        <w:pStyle w:val="Normalnumber"/>
        <w:numPr>
          <w:ilvl w:val="0"/>
          <w:numId w:val="22"/>
        </w:numPr>
        <w:rPr>
          <w:rStyle w:val="Inget"/>
          <w:sz w:val="24"/>
          <w:szCs w:val="24"/>
          <w:u w:val="single"/>
        </w:rPr>
      </w:pPr>
      <w:r w:rsidRPr="00A308C3">
        <w:t xml:space="preserve">The present memorandum of understanding may be amended at any time by written </w:t>
      </w:r>
      <w:r w:rsidRPr="00C80E5E">
        <w:t>consent</w:t>
      </w:r>
      <w:r w:rsidRPr="00A308C3">
        <w:t xml:space="preserve"> between the Conference of the Parties and the Council.</w:t>
      </w:r>
    </w:p>
    <w:p w14:paraId="06402D64" w14:textId="77777777" w:rsidR="00FE7303" w:rsidRPr="00D66653" w:rsidRDefault="00FE7303" w:rsidP="00FE7303">
      <w:pPr>
        <w:pStyle w:val="CH2"/>
        <w:rPr>
          <w:rStyle w:val="Inget"/>
          <w:rFonts w:ascii="Times" w:hAnsi="Times" w:cs="Times"/>
          <w:sz w:val="23"/>
          <w:szCs w:val="23"/>
        </w:rPr>
      </w:pPr>
      <w:r w:rsidRPr="00D66653">
        <w:rPr>
          <w:rFonts w:cs="Arial Unicode MS"/>
        </w:rPr>
        <w:tab/>
      </w:r>
      <w:r w:rsidRPr="00D66653">
        <w:rPr>
          <w:rFonts w:cs="Arial Unicode MS"/>
        </w:rPr>
        <w:tab/>
        <w:t>Interpretation</w:t>
      </w:r>
    </w:p>
    <w:p w14:paraId="671A0FEC" w14:textId="77777777" w:rsidR="00FE7303" w:rsidRPr="00D66653" w:rsidRDefault="00FE7303" w:rsidP="00FE7303">
      <w:pPr>
        <w:pStyle w:val="Normalnumber"/>
        <w:keepNext/>
        <w:keepLines/>
        <w:numPr>
          <w:ilvl w:val="0"/>
          <w:numId w:val="22"/>
        </w:numPr>
        <w:rPr>
          <w:rStyle w:val="Inget"/>
          <w:u w:val="single"/>
        </w:rPr>
      </w:pPr>
      <w:r w:rsidRPr="00D66653">
        <w:t xml:space="preserve">If differences arise in the interpretation of the present memorandum of understanding, any issue may be referred, as appropriate, to the Conference of the Parties and the Council of GEF for consideration. The Conference of the Parties and the Council will make every effort to reach a mutually acceptable solution. </w:t>
      </w:r>
    </w:p>
    <w:p w14:paraId="6DE1AC38" w14:textId="77777777" w:rsidR="00FE7303" w:rsidRPr="00D66653" w:rsidRDefault="00FE7303" w:rsidP="00FE7303">
      <w:pPr>
        <w:pStyle w:val="CH2"/>
        <w:keepNext w:val="0"/>
        <w:keepLines w:val="0"/>
        <w:rPr>
          <w:rStyle w:val="Inget"/>
          <w:rFonts w:ascii="Times" w:hAnsi="Times" w:cs="Times"/>
          <w:sz w:val="23"/>
          <w:szCs w:val="23"/>
        </w:rPr>
      </w:pPr>
      <w:r w:rsidRPr="00D66653">
        <w:tab/>
      </w:r>
      <w:r w:rsidRPr="00D66653">
        <w:tab/>
        <w:t>Entry into effect</w:t>
      </w:r>
    </w:p>
    <w:p w14:paraId="0598D83C" w14:textId="77777777" w:rsidR="00FE7303" w:rsidRPr="00D66653" w:rsidRDefault="00FE7303" w:rsidP="00FE7303">
      <w:pPr>
        <w:pStyle w:val="Normalnumber"/>
        <w:numPr>
          <w:ilvl w:val="0"/>
          <w:numId w:val="22"/>
        </w:numPr>
        <w:rPr>
          <w:rStyle w:val="Inget"/>
          <w:u w:val="single"/>
        </w:rPr>
      </w:pPr>
      <w:r w:rsidRPr="00D66653">
        <w:t xml:space="preserve">The present memorandum of understanding will </w:t>
      </w:r>
      <w:r>
        <w:t>enter</w:t>
      </w:r>
      <w:r w:rsidRPr="00D66653">
        <w:t xml:space="preserve"> into effect upon approval by the Conference of the Parties and by the Council.</w:t>
      </w:r>
    </w:p>
    <w:p w14:paraId="53AC1AE3" w14:textId="77777777" w:rsidR="00FE7303" w:rsidRPr="00D66653" w:rsidRDefault="00FE7303" w:rsidP="00FE7303">
      <w:pPr>
        <w:pStyle w:val="CH2"/>
        <w:keepNext w:val="0"/>
        <w:keepLines w:val="0"/>
        <w:rPr>
          <w:rStyle w:val="Inget"/>
          <w:rFonts w:ascii="Times" w:hAnsi="Times" w:cs="Times"/>
          <w:sz w:val="23"/>
          <w:szCs w:val="23"/>
        </w:rPr>
      </w:pPr>
      <w:r w:rsidRPr="00D66653">
        <w:tab/>
      </w:r>
      <w:r w:rsidRPr="00D66653">
        <w:tab/>
      </w:r>
      <w:r>
        <w:t>Termination</w:t>
      </w:r>
    </w:p>
    <w:p w14:paraId="0C904CF0" w14:textId="77777777" w:rsidR="00FE7303" w:rsidRDefault="00FE7303" w:rsidP="00FE7303">
      <w:pPr>
        <w:pStyle w:val="Normalnumber"/>
        <w:numPr>
          <w:ilvl w:val="0"/>
          <w:numId w:val="22"/>
        </w:numPr>
      </w:pPr>
      <w:r w:rsidRPr="00D66653">
        <w:t xml:space="preserve">Either the Conference of the Parties or the Council may terminate the present memorandum of understanding at any time upon </w:t>
      </w:r>
      <w:r w:rsidRPr="006F2A11">
        <w:t>written notification to the other. The termination will take effect six months after such notification and will not</w:t>
      </w:r>
      <w:r w:rsidRPr="00D66653">
        <w:t xml:space="preserve"> affect the validity or duration of activities initiated before such termination.</w:t>
      </w:r>
    </w:p>
    <w:p w14:paraId="215C4E95" w14:textId="571A4897" w:rsidR="00D013F5" w:rsidRPr="00D25175" w:rsidRDefault="00D013F5" w:rsidP="00FE7303">
      <w:pPr>
        <w:pStyle w:val="Normal-pool"/>
      </w:pPr>
    </w:p>
    <w:tbl>
      <w:tblPr>
        <w:tblW w:w="0" w:type="auto"/>
        <w:tblLook w:val="04A0" w:firstRow="1" w:lastRow="0" w:firstColumn="1" w:lastColumn="0" w:noHBand="0" w:noVBand="1"/>
      </w:tblPr>
      <w:tblGrid>
        <w:gridCol w:w="1942"/>
        <w:gridCol w:w="1942"/>
        <w:gridCol w:w="1942"/>
        <w:gridCol w:w="1943"/>
        <w:gridCol w:w="1943"/>
      </w:tblGrid>
      <w:tr w:rsidR="00E976AB" w:rsidRPr="00D25175" w14:paraId="6DB0CABC" w14:textId="77777777" w:rsidTr="00990918">
        <w:tc>
          <w:tcPr>
            <w:tcW w:w="1942" w:type="dxa"/>
            <w:shd w:val="clear" w:color="auto" w:fill="auto"/>
          </w:tcPr>
          <w:p w14:paraId="6D3F7C2C" w14:textId="77777777" w:rsidR="00E976AB" w:rsidRPr="00D25175" w:rsidRDefault="00E976AB" w:rsidP="00990918">
            <w:pPr>
              <w:pStyle w:val="Normal-pool"/>
              <w:spacing w:before="520"/>
            </w:pPr>
          </w:p>
        </w:tc>
        <w:tc>
          <w:tcPr>
            <w:tcW w:w="1942" w:type="dxa"/>
            <w:shd w:val="clear" w:color="auto" w:fill="auto"/>
          </w:tcPr>
          <w:p w14:paraId="378BA037" w14:textId="77777777" w:rsidR="00E976AB" w:rsidRPr="00D25175" w:rsidRDefault="00E976AB" w:rsidP="00990918">
            <w:pPr>
              <w:pStyle w:val="Normal-pool"/>
              <w:spacing w:before="520"/>
            </w:pPr>
          </w:p>
        </w:tc>
        <w:tc>
          <w:tcPr>
            <w:tcW w:w="1942" w:type="dxa"/>
            <w:tcBorders>
              <w:bottom w:val="single" w:sz="4" w:space="0" w:color="auto"/>
            </w:tcBorders>
            <w:shd w:val="clear" w:color="auto" w:fill="auto"/>
          </w:tcPr>
          <w:p w14:paraId="028E3E1E" w14:textId="77777777" w:rsidR="00E976AB" w:rsidRPr="00D25175" w:rsidRDefault="00E976AB" w:rsidP="00990918">
            <w:pPr>
              <w:pStyle w:val="Normal-pool"/>
              <w:spacing w:before="520"/>
            </w:pPr>
          </w:p>
        </w:tc>
        <w:tc>
          <w:tcPr>
            <w:tcW w:w="1943" w:type="dxa"/>
            <w:shd w:val="clear" w:color="auto" w:fill="auto"/>
          </w:tcPr>
          <w:p w14:paraId="25F1BA19" w14:textId="77777777" w:rsidR="00E976AB" w:rsidRPr="00D25175" w:rsidRDefault="00E976AB" w:rsidP="00990918">
            <w:pPr>
              <w:pStyle w:val="Normal-pool"/>
              <w:spacing w:before="520"/>
            </w:pPr>
            <w:bookmarkStart w:id="4" w:name="_GoBack"/>
            <w:bookmarkEnd w:id="4"/>
          </w:p>
        </w:tc>
        <w:tc>
          <w:tcPr>
            <w:tcW w:w="1943" w:type="dxa"/>
            <w:shd w:val="clear" w:color="auto" w:fill="auto"/>
          </w:tcPr>
          <w:p w14:paraId="457D2993" w14:textId="77777777" w:rsidR="00E976AB" w:rsidRPr="00D25175" w:rsidRDefault="00E976AB" w:rsidP="00990918">
            <w:pPr>
              <w:pStyle w:val="Normal-pool"/>
              <w:spacing w:before="520"/>
            </w:pPr>
          </w:p>
        </w:tc>
      </w:tr>
    </w:tbl>
    <w:p w14:paraId="065ED8F2" w14:textId="77777777" w:rsidR="00FE7303" w:rsidRPr="00D25175" w:rsidRDefault="00FE7303" w:rsidP="00FE7303">
      <w:pPr>
        <w:pStyle w:val="Normal-pool"/>
      </w:pPr>
    </w:p>
    <w:sectPr w:rsidR="00FE7303" w:rsidRPr="00D25175"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1BCA3" w15:done="0"/>
  <w15:commentEx w15:paraId="003B42EB" w15:done="0"/>
  <w15:commentEx w15:paraId="30436286" w15:done="0"/>
  <w15:commentEx w15:paraId="6223EB43" w15:done="0"/>
  <w15:commentEx w15:paraId="28518C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68F87" w14:textId="77777777" w:rsidR="00367FFE" w:rsidRDefault="00367FFE">
      <w:r>
        <w:separator/>
      </w:r>
    </w:p>
  </w:endnote>
  <w:endnote w:type="continuationSeparator" w:id="0">
    <w:p w14:paraId="3E5E3677" w14:textId="77777777" w:rsidR="00367FFE" w:rsidRDefault="0036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77777777" w:rsidR="00367FFE" w:rsidRDefault="00367FFE">
    <w:pPr>
      <w:pStyle w:val="Footer"/>
    </w:pPr>
    <w:r>
      <w:rPr>
        <w:rStyle w:val="PageNumber"/>
      </w:rPr>
      <w:fldChar w:fldCharType="begin"/>
    </w:r>
    <w:r>
      <w:rPr>
        <w:rStyle w:val="PageNumber"/>
      </w:rPr>
      <w:instrText xml:space="preserve"> PAGE </w:instrText>
    </w:r>
    <w:r>
      <w:rPr>
        <w:rStyle w:val="PageNumber"/>
      </w:rPr>
      <w:fldChar w:fldCharType="separate"/>
    </w:r>
    <w:r w:rsidR="00096083">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77777777" w:rsidR="00367FFE" w:rsidRDefault="00367FF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096083">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9573" w14:textId="23D5D7D4" w:rsidR="00367FFE" w:rsidRPr="00D25175" w:rsidRDefault="00367FFE">
    <w:pPr>
      <w:pStyle w:val="Footer"/>
      <w:rPr>
        <w:sz w:val="20"/>
      </w:rPr>
    </w:pPr>
    <w:r w:rsidRPr="00D25175">
      <w:rPr>
        <w:sz w:val="20"/>
      </w:rPr>
      <w:t>K170</w:t>
    </w:r>
    <w:r>
      <w:rPr>
        <w:sz w:val="20"/>
      </w:rPr>
      <w:t>6589</w:t>
    </w:r>
    <w:r w:rsidRPr="00D25175">
      <w:rPr>
        <w:sz w:val="20"/>
      </w:rPr>
      <w:tab/>
    </w:r>
    <w:r w:rsidR="00532D35">
      <w:rPr>
        <w:sz w:val="20"/>
      </w:rPr>
      <w:t>20</w:t>
    </w:r>
    <w:r>
      <w:rPr>
        <w:sz w:val="20"/>
      </w:rPr>
      <w:t>06</w:t>
    </w:r>
    <w:r w:rsidRPr="00D25175">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4177C" w14:textId="77777777" w:rsidR="00367FFE" w:rsidRDefault="00367FFE" w:rsidP="00D92DE0">
      <w:pPr>
        <w:ind w:left="624"/>
      </w:pPr>
      <w:r>
        <w:separator/>
      </w:r>
    </w:p>
  </w:footnote>
  <w:footnote w:type="continuationSeparator" w:id="0">
    <w:p w14:paraId="690B130F" w14:textId="77777777" w:rsidR="00367FFE" w:rsidRDefault="00367FFE">
      <w:r>
        <w:continuationSeparator/>
      </w:r>
    </w:p>
  </w:footnote>
  <w:footnote w:id="1">
    <w:p w14:paraId="4C3E9309" w14:textId="5D42E3DD" w:rsidR="00367FFE" w:rsidRPr="00067B00" w:rsidRDefault="00367FFE" w:rsidP="00FE7303">
      <w:pPr>
        <w:tabs>
          <w:tab w:val="left" w:pos="624"/>
        </w:tabs>
        <w:spacing w:before="20" w:after="40"/>
        <w:ind w:left="1247"/>
        <w:rPr>
          <w:sz w:val="18"/>
          <w:szCs w:val="18"/>
        </w:rPr>
      </w:pPr>
      <w:proofErr w:type="gramStart"/>
      <w:r w:rsidRPr="00036ACD">
        <w:rPr>
          <w:sz w:val="18"/>
          <w:szCs w:val="18"/>
        </w:rPr>
        <w:t>* UNEP</w:t>
      </w:r>
      <w:r>
        <w:rPr>
          <w:sz w:val="18"/>
          <w:szCs w:val="18"/>
        </w:rPr>
        <w:t>/MC</w:t>
      </w:r>
      <w:r w:rsidRPr="00036ACD">
        <w:rPr>
          <w:sz w:val="18"/>
          <w:szCs w:val="18"/>
        </w:rPr>
        <w:t>/</w:t>
      </w:r>
      <w:r>
        <w:rPr>
          <w:sz w:val="18"/>
          <w:szCs w:val="18"/>
        </w:rPr>
        <w:t>COP</w:t>
      </w:r>
      <w:r w:rsidRPr="00036ACD">
        <w:rPr>
          <w:sz w:val="18"/>
          <w:szCs w:val="18"/>
        </w:rPr>
        <w:t>.</w:t>
      </w:r>
      <w:r>
        <w:rPr>
          <w:sz w:val="18"/>
          <w:szCs w:val="18"/>
        </w:rPr>
        <w:t>1</w:t>
      </w:r>
      <w:r w:rsidRPr="00036ACD">
        <w:rPr>
          <w:sz w:val="18"/>
          <w:szCs w:val="18"/>
        </w:rPr>
        <w:t>/</w:t>
      </w:r>
      <w:r>
        <w:rPr>
          <w:sz w:val="18"/>
          <w:szCs w:val="18"/>
        </w:rPr>
        <w:t>1</w:t>
      </w:r>
      <w:r w:rsidRPr="00036ACD">
        <w:rPr>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416A1B40" w:rsidR="00367FFE" w:rsidRPr="00CA5CA9" w:rsidRDefault="00367FFE"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1EA440FE" w:rsidR="00367FFE" w:rsidRPr="00CA5CA9" w:rsidRDefault="00367FFE"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8784" w14:textId="5FD31F71" w:rsidR="00367FFE" w:rsidRDefault="00367FFE"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4F8E3EBF"/>
    <w:multiLevelType w:val="multilevel"/>
    <w:tmpl w:val="B18CB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5FE34526"/>
    <w:multiLevelType w:val="hybridMultilevel"/>
    <w:tmpl w:val="D07A6E4C"/>
    <w:numStyleLink w:val="Normallist"/>
  </w:abstractNum>
  <w:num w:numId="1">
    <w:abstractNumId w:val="4"/>
  </w:num>
  <w:num w:numId="2">
    <w:abstractNumId w:val="0"/>
  </w:num>
  <w:num w:numId="3">
    <w:abstractNumId w:val="2"/>
  </w:num>
  <w:num w:numId="4">
    <w:abstractNumId w:val="4"/>
  </w:num>
  <w:num w:numId="5">
    <w:abstractNumId w:val="4"/>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5"/>
    <w:lvlOverride w:ilvl="0">
      <w:startOverride w:val="1"/>
      <w:lvl w:ilvl="0" w:tplc="5A5E1C44">
        <w:start w:val="1"/>
        <w:numFmt w:val="decimal"/>
        <w:lvlText w:val="%1."/>
        <w:lvlJc w:val="left"/>
        <w:pPr>
          <w:tabs>
            <w:tab w:val="left" w:pos="624"/>
            <w:tab w:val="left" w:pos="1134"/>
            <w:tab w:val="left" w:pos="1247"/>
            <w:tab w:val="num" w:pos="1871"/>
            <w:tab w:val="left" w:pos="2495"/>
            <w:tab w:val="left" w:pos="3119"/>
          </w:tabs>
          <w:ind w:left="1247"/>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1">
      <w:startOverride w:val="1"/>
      <w:lvl w:ilvl="1" w:tplc="A6EC25D4">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80DCD8E6">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992A766A">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2F24BFB8">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A22CE8D0">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F9CCAB9A">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05EBD2A">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9EF22B52">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3">
    <w:abstractNumId w:val="5"/>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N HAVE">
    <w15:presenceInfo w15:providerId="AD" w15:userId="S-1-5-21-1645522239-1177238915-839522115-41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6"/>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995"/>
    <w:rsid w:val="00000E4A"/>
    <w:rsid w:val="0000222A"/>
    <w:rsid w:val="000024A3"/>
    <w:rsid w:val="000077AD"/>
    <w:rsid w:val="000078CE"/>
    <w:rsid w:val="00011A16"/>
    <w:rsid w:val="000149E6"/>
    <w:rsid w:val="00023DA9"/>
    <w:rsid w:val="000247B0"/>
    <w:rsid w:val="0002588C"/>
    <w:rsid w:val="00026997"/>
    <w:rsid w:val="00026A08"/>
    <w:rsid w:val="00032E4E"/>
    <w:rsid w:val="00033E0B"/>
    <w:rsid w:val="00035EDE"/>
    <w:rsid w:val="0005075A"/>
    <w:rsid w:val="000509B4"/>
    <w:rsid w:val="00051DC8"/>
    <w:rsid w:val="0006035B"/>
    <w:rsid w:val="0006096F"/>
    <w:rsid w:val="000649C5"/>
    <w:rsid w:val="00066CC0"/>
    <w:rsid w:val="00071886"/>
    <w:rsid w:val="000742BC"/>
    <w:rsid w:val="00076CC6"/>
    <w:rsid w:val="000803B0"/>
    <w:rsid w:val="000813F1"/>
    <w:rsid w:val="00082A0C"/>
    <w:rsid w:val="00083504"/>
    <w:rsid w:val="00085EFC"/>
    <w:rsid w:val="00091D87"/>
    <w:rsid w:val="00095A76"/>
    <w:rsid w:val="00096083"/>
    <w:rsid w:val="0009640C"/>
    <w:rsid w:val="000B20E4"/>
    <w:rsid w:val="000B22A2"/>
    <w:rsid w:val="000B541B"/>
    <w:rsid w:val="000B73F9"/>
    <w:rsid w:val="000C262E"/>
    <w:rsid w:val="000C2A52"/>
    <w:rsid w:val="000C2A88"/>
    <w:rsid w:val="000C7417"/>
    <w:rsid w:val="000D33C0"/>
    <w:rsid w:val="000D4CF6"/>
    <w:rsid w:val="000D59BC"/>
    <w:rsid w:val="000D6941"/>
    <w:rsid w:val="000F4829"/>
    <w:rsid w:val="00102AAC"/>
    <w:rsid w:val="001030C9"/>
    <w:rsid w:val="00103368"/>
    <w:rsid w:val="001202E3"/>
    <w:rsid w:val="00123699"/>
    <w:rsid w:val="001241FB"/>
    <w:rsid w:val="0013059D"/>
    <w:rsid w:val="00132FAC"/>
    <w:rsid w:val="00136187"/>
    <w:rsid w:val="0014074F"/>
    <w:rsid w:val="00141A55"/>
    <w:rsid w:val="0014293F"/>
    <w:rsid w:val="0014397D"/>
    <w:rsid w:val="00143F8B"/>
    <w:rsid w:val="001446A3"/>
    <w:rsid w:val="00152B6B"/>
    <w:rsid w:val="00155395"/>
    <w:rsid w:val="00155A2F"/>
    <w:rsid w:val="00156B6B"/>
    <w:rsid w:val="00160D74"/>
    <w:rsid w:val="001646EA"/>
    <w:rsid w:val="00167D02"/>
    <w:rsid w:val="001759D8"/>
    <w:rsid w:val="00177D7F"/>
    <w:rsid w:val="00180C3F"/>
    <w:rsid w:val="00181EC8"/>
    <w:rsid w:val="00181F66"/>
    <w:rsid w:val="00184349"/>
    <w:rsid w:val="001875E9"/>
    <w:rsid w:val="001933B0"/>
    <w:rsid w:val="00195F33"/>
    <w:rsid w:val="001A1DFE"/>
    <w:rsid w:val="001B1617"/>
    <w:rsid w:val="001B504B"/>
    <w:rsid w:val="001B6F98"/>
    <w:rsid w:val="001C191A"/>
    <w:rsid w:val="001D3874"/>
    <w:rsid w:val="001D7E75"/>
    <w:rsid w:val="001E0D73"/>
    <w:rsid w:val="001E45BD"/>
    <w:rsid w:val="001E56D2"/>
    <w:rsid w:val="001E7D56"/>
    <w:rsid w:val="001F75DE"/>
    <w:rsid w:val="00200D58"/>
    <w:rsid w:val="002011C1"/>
    <w:rsid w:val="002013BE"/>
    <w:rsid w:val="00201EDC"/>
    <w:rsid w:val="002063A4"/>
    <w:rsid w:val="0021145B"/>
    <w:rsid w:val="00220C23"/>
    <w:rsid w:val="00222EFD"/>
    <w:rsid w:val="002244E3"/>
    <w:rsid w:val="002247F6"/>
    <w:rsid w:val="00225E21"/>
    <w:rsid w:val="00225E44"/>
    <w:rsid w:val="00226D2C"/>
    <w:rsid w:val="00234E78"/>
    <w:rsid w:val="00243D36"/>
    <w:rsid w:val="00246151"/>
    <w:rsid w:val="00247707"/>
    <w:rsid w:val="00252456"/>
    <w:rsid w:val="0026018E"/>
    <w:rsid w:val="00266723"/>
    <w:rsid w:val="0027136D"/>
    <w:rsid w:val="0027451E"/>
    <w:rsid w:val="002761B1"/>
    <w:rsid w:val="002769ED"/>
    <w:rsid w:val="002810BA"/>
    <w:rsid w:val="00286740"/>
    <w:rsid w:val="00291EAE"/>
    <w:rsid w:val="002923BE"/>
    <w:rsid w:val="002929D8"/>
    <w:rsid w:val="00296E5F"/>
    <w:rsid w:val="002A1D06"/>
    <w:rsid w:val="002A237D"/>
    <w:rsid w:val="002A4C53"/>
    <w:rsid w:val="002A783B"/>
    <w:rsid w:val="002B0672"/>
    <w:rsid w:val="002B247F"/>
    <w:rsid w:val="002B50D4"/>
    <w:rsid w:val="002B58BF"/>
    <w:rsid w:val="002B5AC1"/>
    <w:rsid w:val="002C145D"/>
    <w:rsid w:val="002C2C3E"/>
    <w:rsid w:val="002C533E"/>
    <w:rsid w:val="002C5C69"/>
    <w:rsid w:val="002D027F"/>
    <w:rsid w:val="002D3E15"/>
    <w:rsid w:val="002D7A85"/>
    <w:rsid w:val="002D7B60"/>
    <w:rsid w:val="002E7FBE"/>
    <w:rsid w:val="002F08DB"/>
    <w:rsid w:val="002F123A"/>
    <w:rsid w:val="002F4761"/>
    <w:rsid w:val="002F5C79"/>
    <w:rsid w:val="002F68EE"/>
    <w:rsid w:val="003019E2"/>
    <w:rsid w:val="00310A32"/>
    <w:rsid w:val="00310B32"/>
    <w:rsid w:val="00310BEB"/>
    <w:rsid w:val="0031413F"/>
    <w:rsid w:val="00314854"/>
    <w:rsid w:val="003148BB"/>
    <w:rsid w:val="00317976"/>
    <w:rsid w:val="00320F2F"/>
    <w:rsid w:val="0032457E"/>
    <w:rsid w:val="00325D38"/>
    <w:rsid w:val="00334792"/>
    <w:rsid w:val="003410C9"/>
    <w:rsid w:val="00347C79"/>
    <w:rsid w:val="0035277E"/>
    <w:rsid w:val="00355EA9"/>
    <w:rsid w:val="003578DE"/>
    <w:rsid w:val="00361688"/>
    <w:rsid w:val="00367FFE"/>
    <w:rsid w:val="00380A39"/>
    <w:rsid w:val="0038536E"/>
    <w:rsid w:val="003877D5"/>
    <w:rsid w:val="003929B8"/>
    <w:rsid w:val="00393432"/>
    <w:rsid w:val="00396257"/>
    <w:rsid w:val="00397EB8"/>
    <w:rsid w:val="003A4FD0"/>
    <w:rsid w:val="003A5430"/>
    <w:rsid w:val="003A69D1"/>
    <w:rsid w:val="003A7705"/>
    <w:rsid w:val="003A77F1"/>
    <w:rsid w:val="003B0920"/>
    <w:rsid w:val="003B1545"/>
    <w:rsid w:val="003B208C"/>
    <w:rsid w:val="003C3219"/>
    <w:rsid w:val="003C409D"/>
    <w:rsid w:val="003C4544"/>
    <w:rsid w:val="003C5583"/>
    <w:rsid w:val="003C5BA6"/>
    <w:rsid w:val="003C74CF"/>
    <w:rsid w:val="003D0AA5"/>
    <w:rsid w:val="003D3752"/>
    <w:rsid w:val="003E35DA"/>
    <w:rsid w:val="003E455D"/>
    <w:rsid w:val="003F0E85"/>
    <w:rsid w:val="00410C55"/>
    <w:rsid w:val="00416854"/>
    <w:rsid w:val="00417725"/>
    <w:rsid w:val="0042266F"/>
    <w:rsid w:val="00422B0C"/>
    <w:rsid w:val="00425695"/>
    <w:rsid w:val="00437F26"/>
    <w:rsid w:val="00444097"/>
    <w:rsid w:val="00445487"/>
    <w:rsid w:val="00447E0D"/>
    <w:rsid w:val="00453EA8"/>
    <w:rsid w:val="00454769"/>
    <w:rsid w:val="00466991"/>
    <w:rsid w:val="0047064C"/>
    <w:rsid w:val="004742F5"/>
    <w:rsid w:val="00477A02"/>
    <w:rsid w:val="004822B7"/>
    <w:rsid w:val="0049469E"/>
    <w:rsid w:val="004A1D8F"/>
    <w:rsid w:val="004A2217"/>
    <w:rsid w:val="004A24F9"/>
    <w:rsid w:val="004A42E1"/>
    <w:rsid w:val="004B033D"/>
    <w:rsid w:val="004B162C"/>
    <w:rsid w:val="004B2ABE"/>
    <w:rsid w:val="004C3A6C"/>
    <w:rsid w:val="004C3DBE"/>
    <w:rsid w:val="004C5C96"/>
    <w:rsid w:val="004C768A"/>
    <w:rsid w:val="004D06A4"/>
    <w:rsid w:val="004F1A81"/>
    <w:rsid w:val="004F2DBC"/>
    <w:rsid w:val="004F4A4F"/>
    <w:rsid w:val="004F78FD"/>
    <w:rsid w:val="00501354"/>
    <w:rsid w:val="005050D2"/>
    <w:rsid w:val="0051062C"/>
    <w:rsid w:val="005218D9"/>
    <w:rsid w:val="00525403"/>
    <w:rsid w:val="00532D35"/>
    <w:rsid w:val="00535E09"/>
    <w:rsid w:val="00536186"/>
    <w:rsid w:val="00544CBB"/>
    <w:rsid w:val="005464D2"/>
    <w:rsid w:val="00551B65"/>
    <w:rsid w:val="00556704"/>
    <w:rsid w:val="005656D7"/>
    <w:rsid w:val="0057315F"/>
    <w:rsid w:val="00576104"/>
    <w:rsid w:val="00586418"/>
    <w:rsid w:val="0059133F"/>
    <w:rsid w:val="00592B21"/>
    <w:rsid w:val="005B44BF"/>
    <w:rsid w:val="005B7421"/>
    <w:rsid w:val="005C67C8"/>
    <w:rsid w:val="005D0249"/>
    <w:rsid w:val="005D18FA"/>
    <w:rsid w:val="005D4FD4"/>
    <w:rsid w:val="005D6E8C"/>
    <w:rsid w:val="005D709B"/>
    <w:rsid w:val="005E2A4D"/>
    <w:rsid w:val="005E3004"/>
    <w:rsid w:val="005E3357"/>
    <w:rsid w:val="005F100C"/>
    <w:rsid w:val="005F68DA"/>
    <w:rsid w:val="005F7419"/>
    <w:rsid w:val="00601BC9"/>
    <w:rsid w:val="00603EC1"/>
    <w:rsid w:val="00604142"/>
    <w:rsid w:val="0060773B"/>
    <w:rsid w:val="006110FA"/>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9D"/>
    <w:rsid w:val="00656DF0"/>
    <w:rsid w:val="00663DDB"/>
    <w:rsid w:val="00665A4B"/>
    <w:rsid w:val="00667388"/>
    <w:rsid w:val="00670FAE"/>
    <w:rsid w:val="00692E2A"/>
    <w:rsid w:val="006946EE"/>
    <w:rsid w:val="0069496A"/>
    <w:rsid w:val="00696C1C"/>
    <w:rsid w:val="006A76F2"/>
    <w:rsid w:val="006B7D29"/>
    <w:rsid w:val="006D071F"/>
    <w:rsid w:val="006D19D4"/>
    <w:rsid w:val="006D5644"/>
    <w:rsid w:val="006D6146"/>
    <w:rsid w:val="006D7EFB"/>
    <w:rsid w:val="006E17D2"/>
    <w:rsid w:val="006E6672"/>
    <w:rsid w:val="006E6722"/>
    <w:rsid w:val="006F7AFF"/>
    <w:rsid w:val="007027B9"/>
    <w:rsid w:val="0070374D"/>
    <w:rsid w:val="007066B5"/>
    <w:rsid w:val="007072C8"/>
    <w:rsid w:val="007145DA"/>
    <w:rsid w:val="00715E88"/>
    <w:rsid w:val="00734CAA"/>
    <w:rsid w:val="00740EE2"/>
    <w:rsid w:val="00742134"/>
    <w:rsid w:val="00742680"/>
    <w:rsid w:val="00747058"/>
    <w:rsid w:val="00747081"/>
    <w:rsid w:val="0075473D"/>
    <w:rsid w:val="0075533C"/>
    <w:rsid w:val="00755A18"/>
    <w:rsid w:val="00757581"/>
    <w:rsid w:val="007602F5"/>
    <w:rsid w:val="00760D36"/>
    <w:rsid w:val="007611A0"/>
    <w:rsid w:val="00772574"/>
    <w:rsid w:val="00773E54"/>
    <w:rsid w:val="00781BE0"/>
    <w:rsid w:val="00783B0C"/>
    <w:rsid w:val="00787688"/>
    <w:rsid w:val="007901C3"/>
    <w:rsid w:val="007935E6"/>
    <w:rsid w:val="00794326"/>
    <w:rsid w:val="00796D3F"/>
    <w:rsid w:val="007A1683"/>
    <w:rsid w:val="007A5C12"/>
    <w:rsid w:val="007A681D"/>
    <w:rsid w:val="007A7CB0"/>
    <w:rsid w:val="007B68A3"/>
    <w:rsid w:val="007C2541"/>
    <w:rsid w:val="007C4CBC"/>
    <w:rsid w:val="007D66A8"/>
    <w:rsid w:val="007E003F"/>
    <w:rsid w:val="007E5F26"/>
    <w:rsid w:val="007F0CF8"/>
    <w:rsid w:val="007F62CB"/>
    <w:rsid w:val="008068A6"/>
    <w:rsid w:val="008142EC"/>
    <w:rsid w:val="008164F2"/>
    <w:rsid w:val="00821395"/>
    <w:rsid w:val="00830E26"/>
    <w:rsid w:val="00833602"/>
    <w:rsid w:val="00834368"/>
    <w:rsid w:val="0083441A"/>
    <w:rsid w:val="00843576"/>
    <w:rsid w:val="00843B64"/>
    <w:rsid w:val="00845261"/>
    <w:rsid w:val="008478FC"/>
    <w:rsid w:val="00851C51"/>
    <w:rsid w:val="00852097"/>
    <w:rsid w:val="00867BFF"/>
    <w:rsid w:val="00867FD2"/>
    <w:rsid w:val="00871542"/>
    <w:rsid w:val="00872BF6"/>
    <w:rsid w:val="0088480A"/>
    <w:rsid w:val="008874BC"/>
    <w:rsid w:val="0088757A"/>
    <w:rsid w:val="00891849"/>
    <w:rsid w:val="0089283F"/>
    <w:rsid w:val="0089431B"/>
    <w:rsid w:val="00895668"/>
    <w:rsid w:val="008957DD"/>
    <w:rsid w:val="00897D98"/>
    <w:rsid w:val="008A6DF2"/>
    <w:rsid w:val="008A7807"/>
    <w:rsid w:val="008B4CC9"/>
    <w:rsid w:val="008C0B15"/>
    <w:rsid w:val="008D75E4"/>
    <w:rsid w:val="008D7C99"/>
    <w:rsid w:val="008E0FCB"/>
    <w:rsid w:val="008E22C4"/>
    <w:rsid w:val="008E6E64"/>
    <w:rsid w:val="008F49A8"/>
    <w:rsid w:val="008F6DFE"/>
    <w:rsid w:val="0090529F"/>
    <w:rsid w:val="00906282"/>
    <w:rsid w:val="0092157D"/>
    <w:rsid w:val="0092178C"/>
    <w:rsid w:val="00930B88"/>
    <w:rsid w:val="00935376"/>
    <w:rsid w:val="00940DCC"/>
    <w:rsid w:val="0094179A"/>
    <w:rsid w:val="0094459E"/>
    <w:rsid w:val="00944806"/>
    <w:rsid w:val="00944DBC"/>
    <w:rsid w:val="00950977"/>
    <w:rsid w:val="00951A7B"/>
    <w:rsid w:val="00955512"/>
    <w:rsid w:val="009564A6"/>
    <w:rsid w:val="00957EF8"/>
    <w:rsid w:val="00957FA0"/>
    <w:rsid w:val="00966A53"/>
    <w:rsid w:val="00967621"/>
    <w:rsid w:val="00967E6A"/>
    <w:rsid w:val="00972302"/>
    <w:rsid w:val="009771B5"/>
    <w:rsid w:val="00984E5F"/>
    <w:rsid w:val="009907B9"/>
    <w:rsid w:val="00990918"/>
    <w:rsid w:val="009A3A83"/>
    <w:rsid w:val="009B4A0F"/>
    <w:rsid w:val="009C11D2"/>
    <w:rsid w:val="009C3B5E"/>
    <w:rsid w:val="009C3E45"/>
    <w:rsid w:val="009C6C70"/>
    <w:rsid w:val="009C7B0A"/>
    <w:rsid w:val="009D0B63"/>
    <w:rsid w:val="009D5CB8"/>
    <w:rsid w:val="009E307E"/>
    <w:rsid w:val="009F2730"/>
    <w:rsid w:val="00A07870"/>
    <w:rsid w:val="00A07C54"/>
    <w:rsid w:val="00A07F19"/>
    <w:rsid w:val="00A1348D"/>
    <w:rsid w:val="00A13C99"/>
    <w:rsid w:val="00A232EE"/>
    <w:rsid w:val="00A4175F"/>
    <w:rsid w:val="00A43FA6"/>
    <w:rsid w:val="00A44411"/>
    <w:rsid w:val="00A469FA"/>
    <w:rsid w:val="00A53662"/>
    <w:rsid w:val="00A55B01"/>
    <w:rsid w:val="00A56B5B"/>
    <w:rsid w:val="00A603FF"/>
    <w:rsid w:val="00A619B6"/>
    <w:rsid w:val="00A648CA"/>
    <w:rsid w:val="00A657DD"/>
    <w:rsid w:val="00A66474"/>
    <w:rsid w:val="00A666A6"/>
    <w:rsid w:val="00A675FD"/>
    <w:rsid w:val="00A72437"/>
    <w:rsid w:val="00A8048B"/>
    <w:rsid w:val="00A80611"/>
    <w:rsid w:val="00A80B86"/>
    <w:rsid w:val="00A94539"/>
    <w:rsid w:val="00A96321"/>
    <w:rsid w:val="00AA5BF4"/>
    <w:rsid w:val="00AB5340"/>
    <w:rsid w:val="00AC0A89"/>
    <w:rsid w:val="00AC7C96"/>
    <w:rsid w:val="00AE0812"/>
    <w:rsid w:val="00AE237D"/>
    <w:rsid w:val="00AE502A"/>
    <w:rsid w:val="00AF0010"/>
    <w:rsid w:val="00AF1AA8"/>
    <w:rsid w:val="00AF2C1F"/>
    <w:rsid w:val="00AF5B8A"/>
    <w:rsid w:val="00AF7C07"/>
    <w:rsid w:val="00B06C64"/>
    <w:rsid w:val="00B07D8E"/>
    <w:rsid w:val="00B11CAC"/>
    <w:rsid w:val="00B15A29"/>
    <w:rsid w:val="00B22C93"/>
    <w:rsid w:val="00B27589"/>
    <w:rsid w:val="00B3462A"/>
    <w:rsid w:val="00B3712A"/>
    <w:rsid w:val="00B40056"/>
    <w:rsid w:val="00B405B7"/>
    <w:rsid w:val="00B468C0"/>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0658"/>
    <w:rsid w:val="00BC62BA"/>
    <w:rsid w:val="00BE5B5F"/>
    <w:rsid w:val="00BE7993"/>
    <w:rsid w:val="00BF0620"/>
    <w:rsid w:val="00BF6C58"/>
    <w:rsid w:val="00C02CDC"/>
    <w:rsid w:val="00C06BE8"/>
    <w:rsid w:val="00C15963"/>
    <w:rsid w:val="00C169FE"/>
    <w:rsid w:val="00C179DE"/>
    <w:rsid w:val="00C26F55"/>
    <w:rsid w:val="00C30C63"/>
    <w:rsid w:val="00C30FF3"/>
    <w:rsid w:val="00C34D5C"/>
    <w:rsid w:val="00C36B8B"/>
    <w:rsid w:val="00C376CF"/>
    <w:rsid w:val="00C415C1"/>
    <w:rsid w:val="00C47DBF"/>
    <w:rsid w:val="00C552FF"/>
    <w:rsid w:val="00C558DA"/>
    <w:rsid w:val="00C55AF3"/>
    <w:rsid w:val="00C70AFE"/>
    <w:rsid w:val="00C771A9"/>
    <w:rsid w:val="00C80767"/>
    <w:rsid w:val="00C84759"/>
    <w:rsid w:val="00C91E8D"/>
    <w:rsid w:val="00C925E5"/>
    <w:rsid w:val="00C93096"/>
    <w:rsid w:val="00CA5CA9"/>
    <w:rsid w:val="00CA664E"/>
    <w:rsid w:val="00CA6C7F"/>
    <w:rsid w:val="00CB007D"/>
    <w:rsid w:val="00CB60CA"/>
    <w:rsid w:val="00CC0FC7"/>
    <w:rsid w:val="00CC10A6"/>
    <w:rsid w:val="00CC111E"/>
    <w:rsid w:val="00CD5EB8"/>
    <w:rsid w:val="00CD7044"/>
    <w:rsid w:val="00CD7A30"/>
    <w:rsid w:val="00CE08B9"/>
    <w:rsid w:val="00CE3515"/>
    <w:rsid w:val="00CE524C"/>
    <w:rsid w:val="00CE59A0"/>
    <w:rsid w:val="00CE6405"/>
    <w:rsid w:val="00CF141F"/>
    <w:rsid w:val="00CF4777"/>
    <w:rsid w:val="00CF65C8"/>
    <w:rsid w:val="00D013F5"/>
    <w:rsid w:val="00D05E3F"/>
    <w:rsid w:val="00D062B6"/>
    <w:rsid w:val="00D067BB"/>
    <w:rsid w:val="00D1243E"/>
    <w:rsid w:val="00D1352A"/>
    <w:rsid w:val="00D1638E"/>
    <w:rsid w:val="00D169AF"/>
    <w:rsid w:val="00D200EF"/>
    <w:rsid w:val="00D24A52"/>
    <w:rsid w:val="00D25175"/>
    <w:rsid w:val="00D25249"/>
    <w:rsid w:val="00D26854"/>
    <w:rsid w:val="00D40F7A"/>
    <w:rsid w:val="00D42000"/>
    <w:rsid w:val="00D44172"/>
    <w:rsid w:val="00D47BE3"/>
    <w:rsid w:val="00D5006A"/>
    <w:rsid w:val="00D63B8C"/>
    <w:rsid w:val="00D67794"/>
    <w:rsid w:val="00D67FF7"/>
    <w:rsid w:val="00D739CC"/>
    <w:rsid w:val="00D806F9"/>
    <w:rsid w:val="00D8093D"/>
    <w:rsid w:val="00D8108C"/>
    <w:rsid w:val="00D842AE"/>
    <w:rsid w:val="00D9211C"/>
    <w:rsid w:val="00D92DE0"/>
    <w:rsid w:val="00D92FEF"/>
    <w:rsid w:val="00D931F9"/>
    <w:rsid w:val="00D93A0F"/>
    <w:rsid w:val="00DA1BCA"/>
    <w:rsid w:val="00DA3663"/>
    <w:rsid w:val="00DB1FA1"/>
    <w:rsid w:val="00DC46FF"/>
    <w:rsid w:val="00DC5254"/>
    <w:rsid w:val="00DC569D"/>
    <w:rsid w:val="00DD1A4F"/>
    <w:rsid w:val="00DD3107"/>
    <w:rsid w:val="00DD7C2C"/>
    <w:rsid w:val="00DE5BDA"/>
    <w:rsid w:val="00DF433C"/>
    <w:rsid w:val="00DF519F"/>
    <w:rsid w:val="00E0035A"/>
    <w:rsid w:val="00E06100"/>
    <w:rsid w:val="00E06797"/>
    <w:rsid w:val="00E1265B"/>
    <w:rsid w:val="00E12E09"/>
    <w:rsid w:val="00E13B48"/>
    <w:rsid w:val="00E1404F"/>
    <w:rsid w:val="00E21C83"/>
    <w:rsid w:val="00E24ADA"/>
    <w:rsid w:val="00E32F59"/>
    <w:rsid w:val="00E3646D"/>
    <w:rsid w:val="00E37CA8"/>
    <w:rsid w:val="00E41908"/>
    <w:rsid w:val="00E46D9A"/>
    <w:rsid w:val="00E5132F"/>
    <w:rsid w:val="00E52927"/>
    <w:rsid w:val="00E565FF"/>
    <w:rsid w:val="00E65388"/>
    <w:rsid w:val="00E7563E"/>
    <w:rsid w:val="00E7741D"/>
    <w:rsid w:val="00E808CD"/>
    <w:rsid w:val="00E8348F"/>
    <w:rsid w:val="00E85B7D"/>
    <w:rsid w:val="00E9121B"/>
    <w:rsid w:val="00E9302E"/>
    <w:rsid w:val="00E956DC"/>
    <w:rsid w:val="00E976AB"/>
    <w:rsid w:val="00EA0AE2"/>
    <w:rsid w:val="00EA39E5"/>
    <w:rsid w:val="00EA57A3"/>
    <w:rsid w:val="00EB47FE"/>
    <w:rsid w:val="00EB6B2D"/>
    <w:rsid w:val="00EC2813"/>
    <w:rsid w:val="00EC5A46"/>
    <w:rsid w:val="00EC63E2"/>
    <w:rsid w:val="00ED0225"/>
    <w:rsid w:val="00ED366A"/>
    <w:rsid w:val="00ED3A07"/>
    <w:rsid w:val="00ED6BB7"/>
    <w:rsid w:val="00EF22B3"/>
    <w:rsid w:val="00EF3A61"/>
    <w:rsid w:val="00F03B69"/>
    <w:rsid w:val="00F07A50"/>
    <w:rsid w:val="00F113DA"/>
    <w:rsid w:val="00F151EA"/>
    <w:rsid w:val="00F2463D"/>
    <w:rsid w:val="00F2638C"/>
    <w:rsid w:val="00F266FC"/>
    <w:rsid w:val="00F3037A"/>
    <w:rsid w:val="00F344EA"/>
    <w:rsid w:val="00F3465A"/>
    <w:rsid w:val="00F37DC8"/>
    <w:rsid w:val="00F439B3"/>
    <w:rsid w:val="00F62F77"/>
    <w:rsid w:val="00F650C3"/>
    <w:rsid w:val="00F65D85"/>
    <w:rsid w:val="00F6700B"/>
    <w:rsid w:val="00F7137B"/>
    <w:rsid w:val="00F8091E"/>
    <w:rsid w:val="00F8615C"/>
    <w:rsid w:val="00F969E5"/>
    <w:rsid w:val="00FA0390"/>
    <w:rsid w:val="00FA4972"/>
    <w:rsid w:val="00FA6BB0"/>
    <w:rsid w:val="00FB2DBD"/>
    <w:rsid w:val="00FC41EF"/>
    <w:rsid w:val="00FD17F9"/>
    <w:rsid w:val="00FD48DF"/>
    <w:rsid w:val="00FD5860"/>
    <w:rsid w:val="00FD632E"/>
    <w:rsid w:val="00FE352D"/>
    <w:rsid w:val="00FE40EB"/>
    <w:rsid w:val="00FE4D02"/>
    <w:rsid w:val="00FE7303"/>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E7303"/>
    <w:rPr>
      <w:b/>
      <w:sz w:val="28"/>
      <w:szCs w:val="28"/>
      <w:lang w:eastAsia="en-US"/>
    </w:rPr>
  </w:style>
  <w:style w:type="character" w:customStyle="1" w:styleId="CH2Char">
    <w:name w:val="CH2 Char"/>
    <w:link w:val="CH2"/>
    <w:rsid w:val="00FE7303"/>
    <w:rPr>
      <w:b/>
      <w:sz w:val="24"/>
      <w:szCs w:val="24"/>
      <w:lang w:eastAsia="en-US"/>
    </w:rPr>
  </w:style>
  <w:style w:type="character" w:customStyle="1" w:styleId="ZZAnxtitleChar">
    <w:name w:val="ZZ_Anx_title Char"/>
    <w:link w:val="ZZAnxtitle"/>
    <w:rsid w:val="00FE7303"/>
    <w:rPr>
      <w:b/>
      <w:bCs/>
      <w:sz w:val="28"/>
      <w:szCs w:val="26"/>
      <w:lang w:eastAsia="en-US"/>
    </w:rPr>
  </w:style>
  <w:style w:type="character" w:customStyle="1" w:styleId="ZZAnxheaderChar">
    <w:name w:val="ZZ_Anx_header Char"/>
    <w:link w:val="ZZAnxheader"/>
    <w:rsid w:val="00FE7303"/>
    <w:rPr>
      <w:b/>
      <w:bCs/>
      <w:sz w:val="28"/>
      <w:szCs w:val="22"/>
      <w:lang w:eastAsia="en-US"/>
    </w:rPr>
  </w:style>
  <w:style w:type="character" w:customStyle="1" w:styleId="Normal-poolChar">
    <w:name w:val="Normal-pool Char"/>
    <w:link w:val="Normal-pool"/>
    <w:rsid w:val="00FE7303"/>
    <w:rPr>
      <w:lang w:eastAsia="en-US"/>
    </w:rPr>
  </w:style>
  <w:style w:type="character" w:customStyle="1" w:styleId="Inget">
    <w:name w:val="Inget"/>
    <w:rsid w:val="00FE7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E7303"/>
    <w:rPr>
      <w:b/>
      <w:sz w:val="28"/>
      <w:szCs w:val="28"/>
      <w:lang w:eastAsia="en-US"/>
    </w:rPr>
  </w:style>
  <w:style w:type="character" w:customStyle="1" w:styleId="CH2Char">
    <w:name w:val="CH2 Char"/>
    <w:link w:val="CH2"/>
    <w:rsid w:val="00FE7303"/>
    <w:rPr>
      <w:b/>
      <w:sz w:val="24"/>
      <w:szCs w:val="24"/>
      <w:lang w:eastAsia="en-US"/>
    </w:rPr>
  </w:style>
  <w:style w:type="character" w:customStyle="1" w:styleId="ZZAnxtitleChar">
    <w:name w:val="ZZ_Anx_title Char"/>
    <w:link w:val="ZZAnxtitle"/>
    <w:rsid w:val="00FE7303"/>
    <w:rPr>
      <w:b/>
      <w:bCs/>
      <w:sz w:val="28"/>
      <w:szCs w:val="26"/>
      <w:lang w:eastAsia="en-US"/>
    </w:rPr>
  </w:style>
  <w:style w:type="character" w:customStyle="1" w:styleId="ZZAnxheaderChar">
    <w:name w:val="ZZ_Anx_header Char"/>
    <w:link w:val="ZZAnxheader"/>
    <w:rsid w:val="00FE7303"/>
    <w:rPr>
      <w:b/>
      <w:bCs/>
      <w:sz w:val="28"/>
      <w:szCs w:val="22"/>
      <w:lang w:eastAsia="en-US"/>
    </w:rPr>
  </w:style>
  <w:style w:type="character" w:customStyle="1" w:styleId="Normal-poolChar">
    <w:name w:val="Normal-pool Char"/>
    <w:link w:val="Normal-pool"/>
    <w:rsid w:val="00FE7303"/>
    <w:rPr>
      <w:lang w:eastAsia="en-US"/>
    </w:rPr>
  </w:style>
  <w:style w:type="character" w:customStyle="1" w:styleId="Inget">
    <w:name w:val="Inget"/>
    <w:rsid w:val="00FE7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711A-F017-4859-B246-70B8063A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B71CCC05.dotm</Template>
  <TotalTime>10</TotalTime>
  <Pages>7</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Jane Mbau</cp:lastModifiedBy>
  <cp:revision>8</cp:revision>
  <cp:lastPrinted>2017-06-20T07:01:00Z</cp:lastPrinted>
  <dcterms:created xsi:type="dcterms:W3CDTF">2017-06-19T14:36:00Z</dcterms:created>
  <dcterms:modified xsi:type="dcterms:W3CDTF">2017-06-20T07:05:00Z</dcterms:modified>
</cp:coreProperties>
</file>