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7E304A" w14:paraId="73055160" w14:textId="77777777" w:rsidTr="006C5226">
        <w:trPr>
          <w:cantSplit/>
          <w:trHeight w:val="850"/>
          <w:jc w:val="right"/>
        </w:trPr>
        <w:tc>
          <w:tcPr>
            <w:tcW w:w="1549" w:type="dxa"/>
          </w:tcPr>
          <w:p w14:paraId="2C204163" w14:textId="77777777" w:rsidR="00032E4E" w:rsidRPr="007E304A" w:rsidRDefault="00032E4E" w:rsidP="00023DA9">
            <w:pPr>
              <w:rPr>
                <w:rFonts w:ascii="Univers" w:hAnsi="Univers"/>
                <w:b/>
                <w:noProof/>
                <w:sz w:val="27"/>
                <w:szCs w:val="27"/>
              </w:rPr>
            </w:pPr>
            <w:bookmarkStart w:id="0" w:name="_GoBack"/>
            <w:bookmarkEnd w:id="0"/>
            <w:r w:rsidRPr="007E304A">
              <w:rPr>
                <w:rFonts w:ascii="Arial" w:hAnsi="Arial" w:cs="Arial"/>
                <w:b/>
                <w:noProof/>
                <w:sz w:val="27"/>
                <w:szCs w:val="27"/>
              </w:rPr>
              <w:t>UNITED</w:t>
            </w:r>
            <w:r w:rsidRPr="007E304A">
              <w:rPr>
                <w:rFonts w:ascii="Arial" w:hAnsi="Arial" w:cs="Arial"/>
                <w:b/>
                <w:noProof/>
                <w:sz w:val="27"/>
                <w:szCs w:val="27"/>
              </w:rPr>
              <w:br/>
              <w:t>NATIONS</w:t>
            </w:r>
          </w:p>
        </w:tc>
        <w:tc>
          <w:tcPr>
            <w:tcW w:w="4748" w:type="dxa"/>
          </w:tcPr>
          <w:p w14:paraId="6C792CCF" w14:textId="77777777" w:rsidR="00032E4E" w:rsidRPr="007E304A" w:rsidRDefault="00032E4E" w:rsidP="00023DA9">
            <w:pPr>
              <w:rPr>
                <w:rFonts w:ascii="Univers" w:hAnsi="Univers"/>
                <w:b/>
                <w:sz w:val="27"/>
                <w:szCs w:val="27"/>
              </w:rPr>
            </w:pPr>
          </w:p>
        </w:tc>
        <w:tc>
          <w:tcPr>
            <w:tcW w:w="3409" w:type="dxa"/>
          </w:tcPr>
          <w:p w14:paraId="7FB8E3BA" w14:textId="77777777" w:rsidR="00032E4E" w:rsidRPr="007E304A" w:rsidRDefault="00787688" w:rsidP="00023DA9">
            <w:pPr>
              <w:jc w:val="right"/>
              <w:rPr>
                <w:rFonts w:ascii="Arial" w:hAnsi="Arial" w:cs="Arial"/>
                <w:b/>
                <w:sz w:val="64"/>
                <w:szCs w:val="64"/>
              </w:rPr>
            </w:pPr>
            <w:r w:rsidRPr="007E304A">
              <w:rPr>
                <w:rFonts w:ascii="Arial" w:hAnsi="Arial" w:cs="Arial"/>
                <w:b/>
                <w:sz w:val="64"/>
                <w:szCs w:val="64"/>
              </w:rPr>
              <w:t>MC</w:t>
            </w:r>
          </w:p>
        </w:tc>
      </w:tr>
      <w:tr w:rsidR="00032E4E" w:rsidRPr="007E304A" w14:paraId="0DAFF7E0" w14:textId="77777777" w:rsidTr="006C5226">
        <w:trPr>
          <w:cantSplit/>
          <w:trHeight w:val="281"/>
          <w:jc w:val="right"/>
        </w:trPr>
        <w:tc>
          <w:tcPr>
            <w:tcW w:w="1549" w:type="dxa"/>
            <w:tcBorders>
              <w:bottom w:val="single" w:sz="4" w:space="0" w:color="auto"/>
            </w:tcBorders>
          </w:tcPr>
          <w:p w14:paraId="2E0FC4FD" w14:textId="77777777" w:rsidR="00032E4E" w:rsidRPr="007E304A" w:rsidRDefault="00032E4E" w:rsidP="00023DA9">
            <w:pPr>
              <w:rPr>
                <w:noProof/>
                <w:sz w:val="18"/>
                <w:szCs w:val="18"/>
              </w:rPr>
            </w:pPr>
          </w:p>
        </w:tc>
        <w:tc>
          <w:tcPr>
            <w:tcW w:w="4748" w:type="dxa"/>
            <w:tcBorders>
              <w:bottom w:val="single" w:sz="4" w:space="0" w:color="auto"/>
            </w:tcBorders>
          </w:tcPr>
          <w:p w14:paraId="2E04F427" w14:textId="77777777" w:rsidR="00032E4E" w:rsidRPr="007E304A" w:rsidRDefault="00032E4E" w:rsidP="00023DA9">
            <w:pPr>
              <w:rPr>
                <w:rFonts w:ascii="Univers" w:hAnsi="Univers"/>
                <w:b/>
                <w:sz w:val="18"/>
                <w:szCs w:val="18"/>
              </w:rPr>
            </w:pPr>
          </w:p>
        </w:tc>
        <w:tc>
          <w:tcPr>
            <w:tcW w:w="3409" w:type="dxa"/>
            <w:tcBorders>
              <w:bottom w:val="single" w:sz="4" w:space="0" w:color="auto"/>
            </w:tcBorders>
          </w:tcPr>
          <w:p w14:paraId="0F1758A2" w14:textId="08C83840" w:rsidR="00032E4E" w:rsidRPr="007E304A" w:rsidRDefault="00032E4E" w:rsidP="000F35D8">
            <w:pPr>
              <w:rPr>
                <w:noProof/>
                <w:sz w:val="18"/>
                <w:szCs w:val="18"/>
              </w:rPr>
            </w:pPr>
            <w:r w:rsidRPr="007E304A">
              <w:rPr>
                <w:b/>
                <w:bCs/>
                <w:sz w:val="28"/>
              </w:rPr>
              <w:t>UNEP</w:t>
            </w:r>
            <w:bookmarkStart w:id="1" w:name="OLE_LINK1"/>
            <w:bookmarkStart w:id="2" w:name="OLE_LINK2"/>
            <w:r w:rsidR="00787688" w:rsidRPr="007E304A">
              <w:rPr>
                <w:b/>
                <w:bCs/>
                <w:sz w:val="28"/>
              </w:rPr>
              <w:t>/</w:t>
            </w:r>
            <w:r w:rsidR="00787688" w:rsidRPr="007E304A">
              <w:t>MC</w:t>
            </w:r>
            <w:r w:rsidRPr="007E304A">
              <w:t>/</w:t>
            </w:r>
            <w:bookmarkEnd w:id="1"/>
            <w:bookmarkEnd w:id="2"/>
            <w:r w:rsidR="00787688" w:rsidRPr="007E304A">
              <w:t>COP.1</w:t>
            </w:r>
            <w:r w:rsidRPr="007E304A">
              <w:t>/</w:t>
            </w:r>
            <w:r w:rsidR="00951FA8" w:rsidRPr="007E304A">
              <w:t>14</w:t>
            </w:r>
          </w:p>
        </w:tc>
      </w:tr>
      <w:bookmarkStart w:id="3" w:name="_MON_1021710510"/>
      <w:bookmarkEnd w:id="3"/>
      <w:bookmarkStart w:id="4" w:name="_MON_1021710482"/>
      <w:bookmarkEnd w:id="4"/>
      <w:tr w:rsidR="00032E4E" w:rsidRPr="007E304A" w14:paraId="35DC53D9" w14:textId="77777777" w:rsidTr="006C5226">
        <w:trPr>
          <w:cantSplit/>
          <w:trHeight w:val="2549"/>
          <w:jc w:val="right"/>
        </w:trPr>
        <w:tc>
          <w:tcPr>
            <w:tcW w:w="1549" w:type="dxa"/>
            <w:tcBorders>
              <w:top w:val="single" w:sz="4" w:space="0" w:color="auto"/>
              <w:bottom w:val="single" w:sz="24" w:space="0" w:color="auto"/>
            </w:tcBorders>
          </w:tcPr>
          <w:p w14:paraId="32C5089E" w14:textId="77777777" w:rsidR="00032E4E" w:rsidRPr="007E304A" w:rsidRDefault="00032E4E" w:rsidP="00023DA9">
            <w:pPr>
              <w:rPr>
                <w:noProof/>
              </w:rPr>
            </w:pPr>
            <w:r w:rsidRPr="00311F46">
              <w:rPr>
                <w:noProof/>
              </w:rPr>
              <w:object w:dxaOrig="1831" w:dyaOrig="1726" w14:anchorId="29FD9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1.8pt" o:ole="" fillcolor="window">
                  <v:imagedata r:id="rId9" o:title=""/>
                </v:shape>
                <o:OLEObject Type="Embed" ProgID="Word.Picture.8" ShapeID="_x0000_i1025" DrawAspect="Content" ObjectID="_1567586343" r:id="rId10"/>
              </w:object>
            </w:r>
            <w:r w:rsidR="00011A16" w:rsidRPr="00311F46">
              <w:rPr>
                <w:noProof/>
                <w:lang w:eastAsia="zh-CN"/>
              </w:rPr>
              <w:drawing>
                <wp:inline distT="0" distB="0" distL="0" distR="0" wp14:anchorId="0090FE65" wp14:editId="557C09F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4BE870BC" w14:textId="77777777" w:rsidR="00032E4E" w:rsidRPr="007E304A" w:rsidRDefault="00032E4E" w:rsidP="00023DA9">
            <w:pPr>
              <w:spacing w:before="1200"/>
              <w:rPr>
                <w:rFonts w:ascii="Arial" w:hAnsi="Arial" w:cs="Arial"/>
                <w:b/>
                <w:sz w:val="28"/>
              </w:rPr>
            </w:pPr>
            <w:r w:rsidRPr="007E304A">
              <w:rPr>
                <w:rFonts w:ascii="Arial" w:hAnsi="Arial" w:cs="Arial"/>
                <w:b/>
                <w:sz w:val="32"/>
                <w:szCs w:val="32"/>
              </w:rPr>
              <w:t>United Nations</w:t>
            </w:r>
            <w:r w:rsidRPr="007E304A">
              <w:rPr>
                <w:rFonts w:ascii="Arial" w:hAnsi="Arial" w:cs="Arial"/>
                <w:b/>
                <w:sz w:val="32"/>
                <w:szCs w:val="32"/>
              </w:rPr>
              <w:br w:type="textWrapping" w:clear="all"/>
              <w:t>Environment</w:t>
            </w:r>
            <w:r w:rsidRPr="007E304A">
              <w:rPr>
                <w:rFonts w:ascii="Arial" w:hAnsi="Arial" w:cs="Arial"/>
                <w:b/>
                <w:sz w:val="32"/>
                <w:szCs w:val="32"/>
              </w:rPr>
              <w:br w:type="textWrapping" w:clear="all"/>
              <w:t>Programme</w:t>
            </w:r>
          </w:p>
        </w:tc>
        <w:tc>
          <w:tcPr>
            <w:tcW w:w="3409" w:type="dxa"/>
            <w:tcBorders>
              <w:top w:val="single" w:sz="4" w:space="0" w:color="auto"/>
              <w:bottom w:val="single" w:sz="24" w:space="0" w:color="auto"/>
            </w:tcBorders>
          </w:tcPr>
          <w:p w14:paraId="2F39C63F" w14:textId="553DD4C7" w:rsidR="00032E4E" w:rsidRPr="007E304A" w:rsidRDefault="00032E4E" w:rsidP="00787688">
            <w:pPr>
              <w:spacing w:before="120"/>
            </w:pPr>
            <w:r w:rsidRPr="007E304A">
              <w:t>Distr.: General</w:t>
            </w:r>
            <w:r w:rsidRPr="007E304A">
              <w:br w:type="textWrapping" w:clear="all"/>
            </w:r>
            <w:r w:rsidR="00951FA8" w:rsidRPr="007E304A">
              <w:t>16 August</w:t>
            </w:r>
            <w:r w:rsidR="006E549D" w:rsidRPr="007E304A">
              <w:t xml:space="preserve"> 2017</w:t>
            </w:r>
          </w:p>
          <w:p w14:paraId="56773295" w14:textId="77777777" w:rsidR="00032E4E" w:rsidRPr="007E304A" w:rsidRDefault="00032E4E" w:rsidP="00023DA9">
            <w:pPr>
              <w:spacing w:before="240"/>
            </w:pPr>
            <w:r w:rsidRPr="007E304A">
              <w:t>Original: English</w:t>
            </w:r>
          </w:p>
        </w:tc>
      </w:tr>
    </w:tbl>
    <w:p w14:paraId="750DF2CE" w14:textId="3C03319E" w:rsidR="006C5226" w:rsidRPr="007E304A" w:rsidRDefault="006C5226" w:rsidP="006C5226">
      <w:pPr>
        <w:pStyle w:val="AATitle"/>
        <w:keepNext w:val="0"/>
        <w:keepLines w:val="0"/>
      </w:pPr>
      <w:r w:rsidRPr="007E304A">
        <w:t>Conference of the Parties to the</w:t>
      </w:r>
    </w:p>
    <w:p w14:paraId="60897DE0" w14:textId="77777777" w:rsidR="00E976AB" w:rsidRPr="007E304A" w:rsidRDefault="00787688" w:rsidP="00161024">
      <w:pPr>
        <w:pStyle w:val="AATitle"/>
        <w:keepNext w:val="0"/>
        <w:keepLines w:val="0"/>
        <w:outlineLvl w:val="0"/>
      </w:pPr>
      <w:r w:rsidRPr="007E304A">
        <w:t>Minamata Convention on Mercury</w:t>
      </w:r>
    </w:p>
    <w:p w14:paraId="7437784A" w14:textId="77777777" w:rsidR="00E976AB" w:rsidRPr="007E304A" w:rsidRDefault="00787688" w:rsidP="00161024">
      <w:pPr>
        <w:pStyle w:val="AATitle"/>
        <w:keepNext w:val="0"/>
        <w:keepLines w:val="0"/>
        <w:outlineLvl w:val="0"/>
      </w:pPr>
      <w:r w:rsidRPr="007E304A">
        <w:t>First meeting</w:t>
      </w:r>
    </w:p>
    <w:p w14:paraId="0F0EA2E0" w14:textId="333A2EDD" w:rsidR="00E976AB" w:rsidRPr="007E304A" w:rsidRDefault="00787688" w:rsidP="00161024">
      <w:pPr>
        <w:pStyle w:val="AATitle"/>
        <w:outlineLvl w:val="0"/>
        <w:rPr>
          <w:b w:val="0"/>
        </w:rPr>
      </w:pPr>
      <w:r w:rsidRPr="007E304A">
        <w:rPr>
          <w:b w:val="0"/>
        </w:rPr>
        <w:t>Geneva</w:t>
      </w:r>
      <w:r w:rsidR="00E976AB" w:rsidRPr="007E304A">
        <w:rPr>
          <w:b w:val="0"/>
        </w:rPr>
        <w:t xml:space="preserve">, </w:t>
      </w:r>
      <w:r w:rsidR="00325D38" w:rsidRPr="007E304A">
        <w:rPr>
          <w:b w:val="0"/>
        </w:rPr>
        <w:t xml:space="preserve">24–29 September </w:t>
      </w:r>
      <w:r w:rsidRPr="007E304A">
        <w:rPr>
          <w:b w:val="0"/>
        </w:rPr>
        <w:t>2017</w:t>
      </w:r>
    </w:p>
    <w:p w14:paraId="227B424A" w14:textId="693A8B37" w:rsidR="0041238C" w:rsidRPr="007E304A" w:rsidRDefault="0041238C" w:rsidP="0041238C">
      <w:pPr>
        <w:pStyle w:val="AATitle"/>
        <w:keepNext w:val="0"/>
        <w:keepLines w:val="0"/>
        <w:rPr>
          <w:b w:val="0"/>
        </w:rPr>
      </w:pPr>
      <w:r w:rsidRPr="007E304A">
        <w:rPr>
          <w:b w:val="0"/>
        </w:rPr>
        <w:t>Item 5 (b)</w:t>
      </w:r>
      <w:r w:rsidR="006670E3" w:rsidRPr="007E304A">
        <w:rPr>
          <w:b w:val="0"/>
        </w:rPr>
        <w:t xml:space="preserve"> </w:t>
      </w:r>
      <w:r w:rsidRPr="007E304A">
        <w:rPr>
          <w:b w:val="0"/>
        </w:rPr>
        <w:t>(i) of the provisional agenda</w:t>
      </w:r>
      <w:r w:rsidRPr="007E304A">
        <w:rPr>
          <w:b w:val="0"/>
        </w:rPr>
        <w:footnoteReference w:customMarkFollows="1" w:id="1"/>
        <w:t>*</w:t>
      </w:r>
    </w:p>
    <w:p w14:paraId="6DAAD870" w14:textId="1FE20114" w:rsidR="0041238C" w:rsidRPr="007E304A" w:rsidRDefault="0041238C" w:rsidP="0041238C">
      <w:pPr>
        <w:pStyle w:val="AATitle2"/>
      </w:pPr>
      <w:r w:rsidRPr="007E304A">
        <w:t>Matters for action by the Conference of the Parties at its first meeting: matters stipulated by the Conference of Plenipotentiaries: provisions for the functions of the permanent secretariat of the Minamata Convention</w:t>
      </w:r>
    </w:p>
    <w:p w14:paraId="4E3E2C6F" w14:textId="77777777" w:rsidR="0041238C" w:rsidRPr="007E304A" w:rsidRDefault="0041238C" w:rsidP="0041238C">
      <w:pPr>
        <w:pStyle w:val="BBTitle"/>
      </w:pPr>
      <w:r w:rsidRPr="007E304A">
        <w:t>Revised report on proposals on how the Executive Director of the United Nations Environment Programme would perform the functions of the permanent secretariat for the Minamata Convention on Mercury</w:t>
      </w:r>
    </w:p>
    <w:p w14:paraId="423B7FF5" w14:textId="77777777" w:rsidR="0041238C" w:rsidRPr="007E304A" w:rsidRDefault="0041238C" w:rsidP="00161024">
      <w:pPr>
        <w:pStyle w:val="CH2"/>
        <w:outlineLvl w:val="0"/>
      </w:pPr>
      <w:r w:rsidRPr="007E304A">
        <w:tab/>
      </w:r>
      <w:r w:rsidRPr="007E304A">
        <w:tab/>
        <w:t>Note by the secretariat</w:t>
      </w:r>
    </w:p>
    <w:p w14:paraId="7FA8A77A" w14:textId="25D31F41" w:rsidR="0041238C" w:rsidRPr="007E304A" w:rsidRDefault="0041238C" w:rsidP="0041238C">
      <w:pPr>
        <w:pStyle w:val="Normalnumber"/>
        <w:numPr>
          <w:ilvl w:val="0"/>
          <w:numId w:val="94"/>
        </w:numPr>
        <w:tabs>
          <w:tab w:val="clear" w:pos="6457"/>
          <w:tab w:val="num" w:pos="1134"/>
        </w:tabs>
        <w:ind w:left="1247"/>
      </w:pPr>
      <w:r w:rsidRPr="007E304A">
        <w:t xml:space="preserve">In paragraph 9 of the resolution on arrangements in the interim period, adopted within the Final Act (UNEP(DTIE)/Hg/CONF/4, annex I), the Conference of Plenipotentiaries on the Minamata Convention on Mercury, held in Kumamoto, Japan, on 10 and 11 October 2013, requested </w:t>
      </w:r>
      <w:r w:rsidRPr="006432A8">
        <w:t xml:space="preserve">the Executive Director </w:t>
      </w:r>
      <w:r w:rsidR="00AD4E2B" w:rsidRPr="007E304A">
        <w:t xml:space="preserve">of the United Nations Environment Programme (UNEP) </w:t>
      </w:r>
      <w:r w:rsidRPr="006432A8">
        <w:t xml:space="preserve">to present and the </w:t>
      </w:r>
      <w:r w:rsidR="00874F0F">
        <w:t xml:space="preserve">intergovernmental negotiating </w:t>
      </w:r>
      <w:r w:rsidR="00F36BCD" w:rsidRPr="007E304A">
        <w:t>committee</w:t>
      </w:r>
      <w:r w:rsidR="00514A73" w:rsidRPr="007E304A">
        <w:t xml:space="preserve"> to prepare a global legally binding instrument on mercury</w:t>
      </w:r>
      <w:r w:rsidR="00F36BCD" w:rsidRPr="006432A8">
        <w:t xml:space="preserve"> </w:t>
      </w:r>
      <w:r w:rsidRPr="006432A8">
        <w:t xml:space="preserve">to consider, before the first meeting of the Conference of the Parties, a report on proposals on how he or she </w:t>
      </w:r>
      <w:r w:rsidR="00F04E7A" w:rsidRPr="007E304A">
        <w:t xml:space="preserve">would </w:t>
      </w:r>
      <w:r w:rsidRPr="006432A8">
        <w:t xml:space="preserve">perform the functions of the permanent secretariat for the Convention, including an analysis of options that, inter alia, </w:t>
      </w:r>
      <w:r w:rsidR="00AD4E2B" w:rsidRPr="007E304A">
        <w:t>addresse</w:t>
      </w:r>
      <w:r w:rsidR="00170B2F" w:rsidRPr="007E304A">
        <w:t>d</w:t>
      </w:r>
      <w:r w:rsidR="00AD4E2B" w:rsidRPr="006432A8">
        <w:t xml:space="preserve"> </w:t>
      </w:r>
      <w:r w:rsidRPr="006432A8">
        <w:t>effectiveness, cost-benefit, different locations for the secretariat, merging the secretariat with the secretariat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and utilizing the interim secretariat.</w:t>
      </w:r>
    </w:p>
    <w:p w14:paraId="042DEC7C" w14:textId="299FABD2" w:rsidR="0041238C" w:rsidRPr="007058E6" w:rsidRDefault="0041238C" w:rsidP="0041238C">
      <w:pPr>
        <w:pStyle w:val="Normalnumber"/>
        <w:numPr>
          <w:ilvl w:val="0"/>
          <w:numId w:val="94"/>
        </w:numPr>
        <w:tabs>
          <w:tab w:val="clear" w:pos="6457"/>
          <w:tab w:val="num" w:pos="1134"/>
        </w:tabs>
        <w:ind w:left="1247"/>
      </w:pPr>
      <w:r w:rsidRPr="007E304A">
        <w:t>As requested by the Conference of Plenipotentiaries, the Executive Director</w:t>
      </w:r>
      <w:r w:rsidR="00AD4E2B" w:rsidRPr="007E304A">
        <w:t xml:space="preserve"> of UNEP</w:t>
      </w:r>
      <w:r w:rsidRPr="007E304A">
        <w:t xml:space="preserve">, through the interim secretariat of the Minamata Convention and in consultation with the secretariat of the Basel, Rotterdam and Stockholm conventions, prepared a report on proposals on how the Executive Director would perform the functions </w:t>
      </w:r>
      <w:r w:rsidRPr="007058E6">
        <w:t xml:space="preserve">of the permanent secretariat of the </w:t>
      </w:r>
      <w:r w:rsidR="0094649F" w:rsidRPr="007058E6">
        <w:t xml:space="preserve">Minamata </w:t>
      </w:r>
      <w:r w:rsidRPr="007058E6">
        <w:t>Convention</w:t>
      </w:r>
      <w:r w:rsidR="0094649F" w:rsidRPr="007058E6">
        <w:t>, for consideration by the intergovernmental negotiating committee at its seventh session</w:t>
      </w:r>
      <w:r w:rsidRPr="007058E6">
        <w:t>.</w:t>
      </w:r>
    </w:p>
    <w:p w14:paraId="70D5F995" w14:textId="74DF07B1" w:rsidR="0041238C" w:rsidRPr="007058E6" w:rsidRDefault="0041238C" w:rsidP="0041238C">
      <w:pPr>
        <w:pStyle w:val="Normalnumber"/>
        <w:numPr>
          <w:ilvl w:val="0"/>
          <w:numId w:val="94"/>
        </w:numPr>
        <w:tabs>
          <w:tab w:val="clear" w:pos="6457"/>
          <w:tab w:val="num" w:pos="1134"/>
        </w:tabs>
        <w:ind w:left="1247"/>
      </w:pPr>
      <w:r w:rsidRPr="007058E6">
        <w:t xml:space="preserve">At its sixth session, held in Bangkok </w:t>
      </w:r>
      <w:r w:rsidR="0094649F" w:rsidRPr="007058E6">
        <w:t xml:space="preserve">from </w:t>
      </w:r>
      <w:r w:rsidRPr="007058E6">
        <w:t>3</w:t>
      </w:r>
      <w:r w:rsidR="0094649F" w:rsidRPr="007058E6">
        <w:t xml:space="preserve"> to </w:t>
      </w:r>
      <w:r w:rsidRPr="007058E6">
        <w:t xml:space="preserve">7 November 2014, the intergovernmental negotiating committee requested the interim secretariat to invite offers by Governments interested in hosting the permanent secretariat of the Minamata Convention and to compile and analyse any such offers for consideration by the committee at its seventh session. In June 2015, </w:t>
      </w:r>
      <w:r w:rsidR="00D06142" w:rsidRPr="007058E6">
        <w:t xml:space="preserve">an </w:t>
      </w:r>
      <w:r w:rsidRPr="007058E6">
        <w:t>offer was received from the Government of Switzerland to physically host the secretariat in Geneva</w:t>
      </w:r>
      <w:r w:rsidR="00FA073D" w:rsidRPr="007058E6">
        <w:t xml:space="preserve"> and to provide </w:t>
      </w:r>
      <w:r w:rsidRPr="007058E6">
        <w:t xml:space="preserve">financial support to the Minamata Convention on Mercury in the case of its permanent secretariat being fully merged into the secretariat of the Basel, Rotterdam and Stockholm conventions. </w:t>
      </w:r>
    </w:p>
    <w:p w14:paraId="5BD4AD3B" w14:textId="62AC1FE4" w:rsidR="0041238C" w:rsidRPr="006432A8" w:rsidRDefault="00CE2F22" w:rsidP="0041238C">
      <w:pPr>
        <w:pStyle w:val="Normalnumber"/>
        <w:numPr>
          <w:ilvl w:val="0"/>
          <w:numId w:val="94"/>
        </w:numPr>
        <w:tabs>
          <w:tab w:val="clear" w:pos="6457"/>
          <w:tab w:val="num" w:pos="1134"/>
        </w:tabs>
        <w:ind w:left="1247"/>
      </w:pPr>
      <w:r w:rsidRPr="007E304A">
        <w:lastRenderedPageBreak/>
        <w:t>A</w:t>
      </w:r>
      <w:r w:rsidR="0041238C" w:rsidRPr="007E304A">
        <w:t xml:space="preserve">t its seventh session, the intergovernmental negotiating committee had before it </w:t>
      </w:r>
      <w:r w:rsidR="00FA073D" w:rsidRPr="007E304A">
        <w:t xml:space="preserve">the following documents </w:t>
      </w:r>
      <w:r w:rsidR="0041238C" w:rsidRPr="007E304A">
        <w:t>for its consideration</w:t>
      </w:r>
      <w:r w:rsidR="0041238C" w:rsidRPr="006432A8">
        <w:t xml:space="preserve">: </w:t>
      </w:r>
    </w:p>
    <w:p w14:paraId="0906A40D" w14:textId="31D8DF0F" w:rsidR="0041238C" w:rsidRPr="006432A8" w:rsidRDefault="00976E69" w:rsidP="0041238C">
      <w:pPr>
        <w:pStyle w:val="Normalnumber"/>
        <w:numPr>
          <w:ilvl w:val="1"/>
          <w:numId w:val="94"/>
        </w:numPr>
        <w:tabs>
          <w:tab w:val="clear" w:pos="6516"/>
        </w:tabs>
        <w:ind w:left="1247" w:firstLine="624"/>
      </w:pPr>
      <w:r w:rsidRPr="007E304A">
        <w:t>The</w:t>
      </w:r>
      <w:r w:rsidR="00B34B9C" w:rsidRPr="007E304A">
        <w:t xml:space="preserve"> report on proposals on how the Executive Director of </w:t>
      </w:r>
      <w:r w:rsidR="00116451" w:rsidRPr="007E304A">
        <w:t>UNEP</w:t>
      </w:r>
      <w:r w:rsidR="00B34B9C" w:rsidRPr="007E304A">
        <w:t xml:space="preserve"> would perform the functions of the permanent secretariat for the Minamata Convention on Mercury (</w:t>
      </w:r>
      <w:r w:rsidR="0041238C" w:rsidRPr="006432A8">
        <w:t>UNEP(DTIE)/Hg/INC.7/15</w:t>
      </w:r>
      <w:r w:rsidR="00B34B9C" w:rsidRPr="007E304A">
        <w:t>)</w:t>
      </w:r>
      <w:r w:rsidR="00462534" w:rsidRPr="007E304A">
        <w:t>, which</w:t>
      </w:r>
      <w:r w:rsidR="00F70BBF" w:rsidRPr="007E304A">
        <w:t xml:space="preserve"> </w:t>
      </w:r>
      <w:r w:rsidR="00B34B9C" w:rsidRPr="007E304A">
        <w:t xml:space="preserve">includes </w:t>
      </w:r>
      <w:r w:rsidR="0041238C" w:rsidRPr="006432A8">
        <w:t xml:space="preserve">an analysis of options that, inter alia, </w:t>
      </w:r>
      <w:r w:rsidR="00462534" w:rsidRPr="007E304A">
        <w:t xml:space="preserve">addresses </w:t>
      </w:r>
      <w:r w:rsidR="0041238C" w:rsidRPr="006432A8">
        <w:t>effectiveness, cost</w:t>
      </w:r>
      <w:r w:rsidR="00A14471" w:rsidRPr="007E304A">
        <w:t>–</w:t>
      </w:r>
      <w:r w:rsidR="0041238C" w:rsidRPr="006432A8">
        <w:t>benefit, different locations for the secretariat, merging the secretariat with the secretariat of the Basel, Rotterdam and Stockholm conventions and utili</w:t>
      </w:r>
      <w:r w:rsidR="00A14471" w:rsidRPr="007E304A">
        <w:t>z</w:t>
      </w:r>
      <w:r w:rsidR="0041238C" w:rsidRPr="006432A8">
        <w:t xml:space="preserve">ing the interim secretariat. The report </w:t>
      </w:r>
      <w:r w:rsidR="007A591F" w:rsidRPr="007E304A">
        <w:t>contains the</w:t>
      </w:r>
      <w:r w:rsidR="0041238C" w:rsidRPr="006432A8">
        <w:t xml:space="preserve"> following options for the permanent secretariat of the Minamata Convention: </w:t>
      </w:r>
      <w:r w:rsidR="00A14471" w:rsidRPr="007E304A">
        <w:t xml:space="preserve">option </w:t>
      </w:r>
      <w:r w:rsidR="0041238C" w:rsidRPr="006432A8">
        <w:t>1</w:t>
      </w:r>
      <w:r w:rsidR="00A14471" w:rsidRPr="007E304A">
        <w:t xml:space="preserve"> (</w:t>
      </w:r>
      <w:r w:rsidR="0041238C" w:rsidRPr="006432A8">
        <w:t>a</w:t>
      </w:r>
      <w:r w:rsidR="00A14471" w:rsidRPr="007E304A">
        <w:t>)</w:t>
      </w:r>
      <w:r w:rsidR="0041238C" w:rsidRPr="006432A8">
        <w:t xml:space="preserve">: </w:t>
      </w:r>
      <w:r w:rsidR="00A14471" w:rsidRPr="007E304A">
        <w:t>a m</w:t>
      </w:r>
      <w:r w:rsidR="0041238C" w:rsidRPr="006432A8">
        <w:t>erger into the secretariat of the Basel, Rotterdam and Stockholm conventions utilizing its current structure (</w:t>
      </w:r>
      <w:r w:rsidR="00A14471" w:rsidRPr="007E304A">
        <w:t>l</w:t>
      </w:r>
      <w:r w:rsidR="0041238C" w:rsidRPr="006432A8">
        <w:t xml:space="preserve">ocation: Geneva); </w:t>
      </w:r>
      <w:r w:rsidR="00A14471" w:rsidRPr="007E304A">
        <w:t>o</w:t>
      </w:r>
      <w:r w:rsidR="0041238C" w:rsidRPr="006432A8">
        <w:t>ption 1</w:t>
      </w:r>
      <w:r w:rsidR="00A14471" w:rsidRPr="007E304A">
        <w:t xml:space="preserve"> (</w:t>
      </w:r>
      <w:r w:rsidR="0041238C" w:rsidRPr="006432A8">
        <w:t>b</w:t>
      </w:r>
      <w:r w:rsidR="00A14471" w:rsidRPr="007E304A">
        <w:t>)</w:t>
      </w:r>
      <w:r w:rsidR="0041238C" w:rsidRPr="006432A8">
        <w:t xml:space="preserve">: </w:t>
      </w:r>
      <w:r w:rsidR="00F70BBF" w:rsidRPr="007E304A">
        <w:t>a m</w:t>
      </w:r>
      <w:r w:rsidR="0041238C" w:rsidRPr="006432A8">
        <w:t>erger into the secretariat of the Basel, Rotterdam and Stockholm conventions by creating, in the interim, a fourth branch (</w:t>
      </w:r>
      <w:r w:rsidR="00F70BBF" w:rsidRPr="007E304A">
        <w:t>l</w:t>
      </w:r>
      <w:r w:rsidR="0041238C" w:rsidRPr="006432A8">
        <w:t>ocation: Geneva)</w:t>
      </w:r>
      <w:r w:rsidR="00F70BBF" w:rsidRPr="007E304A">
        <w:t>;</w:t>
      </w:r>
      <w:r w:rsidR="0041238C" w:rsidRPr="006432A8">
        <w:t xml:space="preserve"> </w:t>
      </w:r>
      <w:r w:rsidR="00F70BBF" w:rsidRPr="007E304A">
        <w:t>and o</w:t>
      </w:r>
      <w:r w:rsidR="0041238C" w:rsidRPr="006432A8">
        <w:t xml:space="preserve">ption 2: </w:t>
      </w:r>
      <w:r w:rsidR="00F70BBF" w:rsidRPr="007E304A">
        <w:t xml:space="preserve">utilizing </w:t>
      </w:r>
      <w:r w:rsidR="0041238C" w:rsidRPr="006432A8">
        <w:t>the interim secretariat (</w:t>
      </w:r>
      <w:r w:rsidR="00F70BBF" w:rsidRPr="007E304A">
        <w:t>location</w:t>
      </w:r>
      <w:r w:rsidR="0041238C" w:rsidRPr="006432A8">
        <w:t xml:space="preserve">: to be </w:t>
      </w:r>
      <w:r w:rsidR="00F70BBF" w:rsidRPr="007E304A">
        <w:t xml:space="preserve">determined </w:t>
      </w:r>
      <w:r w:rsidR="0041238C" w:rsidRPr="006432A8">
        <w:t>based on an analysis among the following UNEP duty stations: Bangkok</w:t>
      </w:r>
      <w:r w:rsidR="000E0392">
        <w:t>;</w:t>
      </w:r>
      <w:r w:rsidR="0041238C" w:rsidRPr="006432A8">
        <w:t xml:space="preserve"> Geneva</w:t>
      </w:r>
      <w:r w:rsidR="000E0392">
        <w:t>;</w:t>
      </w:r>
      <w:r w:rsidR="0041238C" w:rsidRPr="006432A8">
        <w:t xml:space="preserve"> Nairobi</w:t>
      </w:r>
      <w:r w:rsidR="000E0392">
        <w:t>;</w:t>
      </w:r>
      <w:r w:rsidR="0041238C" w:rsidRPr="006432A8">
        <w:t xml:space="preserve"> Osaka, </w:t>
      </w:r>
      <w:r w:rsidR="000E0392">
        <w:t xml:space="preserve">Japan; </w:t>
      </w:r>
      <w:r w:rsidR="0041238C" w:rsidRPr="006432A8">
        <w:t>Vienna</w:t>
      </w:r>
      <w:r w:rsidR="000E0392">
        <w:t>;</w:t>
      </w:r>
      <w:r w:rsidRPr="007E304A">
        <w:t xml:space="preserve"> </w:t>
      </w:r>
      <w:r w:rsidR="0041238C" w:rsidRPr="006432A8">
        <w:t>Washington</w:t>
      </w:r>
      <w:r w:rsidR="009E64B2" w:rsidRPr="007E304A">
        <w:t>,</w:t>
      </w:r>
      <w:r w:rsidR="00686033" w:rsidRPr="007E304A">
        <w:t xml:space="preserve"> D.C.</w:t>
      </w:r>
      <w:r w:rsidR="0041238C" w:rsidRPr="006432A8">
        <w:t>)</w:t>
      </w:r>
      <w:r w:rsidR="007B60E5">
        <w:t>;</w:t>
      </w:r>
      <w:r w:rsidR="0041238C" w:rsidRPr="006432A8">
        <w:t xml:space="preserve"> </w:t>
      </w:r>
    </w:p>
    <w:p w14:paraId="5ED0449D" w14:textId="67F1FDCA" w:rsidR="0041238C" w:rsidRPr="007E304A" w:rsidRDefault="00126D48" w:rsidP="0041238C">
      <w:pPr>
        <w:pStyle w:val="Normalnumber"/>
        <w:numPr>
          <w:ilvl w:val="1"/>
          <w:numId w:val="94"/>
        </w:numPr>
        <w:tabs>
          <w:tab w:val="clear" w:pos="6516"/>
        </w:tabs>
        <w:ind w:left="1247" w:firstLine="624"/>
      </w:pPr>
      <w:r w:rsidRPr="007E304A">
        <w:t>An</w:t>
      </w:r>
      <w:r w:rsidR="00B34B9C" w:rsidRPr="007E304A">
        <w:t xml:space="preserve"> offer by the Government of Switzerland to host the permanent secretariat of the Minamata Convention on Mercury in Geneva (</w:t>
      </w:r>
      <w:r w:rsidR="0041238C" w:rsidRPr="007E304A">
        <w:t>UNEP(DTIE)/Hg/INC.7/INF/5</w:t>
      </w:r>
      <w:r w:rsidR="00B34B9C" w:rsidRPr="007E304A">
        <w:t>)</w:t>
      </w:r>
      <w:r w:rsidR="00976E69" w:rsidRPr="007E304A">
        <w:t>,</w:t>
      </w:r>
      <w:r w:rsidR="00B34B9C" w:rsidRPr="007E304A">
        <w:t xml:space="preserve"> </w:t>
      </w:r>
      <w:r w:rsidR="0041238C" w:rsidRPr="007E304A">
        <w:t xml:space="preserve">received </w:t>
      </w:r>
      <w:r w:rsidR="00F70BBF" w:rsidRPr="007E304A">
        <w:t>in June 2015</w:t>
      </w:r>
      <w:r w:rsidR="007B60E5">
        <w:t>;</w:t>
      </w:r>
    </w:p>
    <w:p w14:paraId="76E51638" w14:textId="52062E23" w:rsidR="0041238C" w:rsidRPr="007E304A" w:rsidRDefault="00126D48" w:rsidP="0041238C">
      <w:pPr>
        <w:pStyle w:val="Normalnumber"/>
        <w:numPr>
          <w:ilvl w:val="1"/>
          <w:numId w:val="94"/>
        </w:numPr>
        <w:tabs>
          <w:tab w:val="clear" w:pos="6516"/>
        </w:tabs>
        <w:ind w:left="1247" w:firstLine="624"/>
      </w:pPr>
      <w:r w:rsidRPr="007E304A">
        <w:t>An analysis of offers to host the permanent secretariat of the Minamata Convention on Mercury (</w:t>
      </w:r>
      <w:r w:rsidR="0041238C" w:rsidRPr="007E304A">
        <w:t>UNEP(DTIE)/Hg/INC.7/16</w:t>
      </w:r>
      <w:r w:rsidRPr="007E304A">
        <w:t>)</w:t>
      </w:r>
      <w:r w:rsidR="00462534" w:rsidRPr="007E304A">
        <w:t>, which</w:t>
      </w:r>
      <w:r w:rsidR="00F70BBF" w:rsidRPr="007E304A">
        <w:t xml:space="preserve"> sets out </w:t>
      </w:r>
      <w:r w:rsidR="0041238C" w:rsidRPr="007E304A">
        <w:t>an analysis of the offer by the interim secretariat, as requested by the Conference of Plenipotentiaries.</w:t>
      </w:r>
    </w:p>
    <w:p w14:paraId="4D9264B8" w14:textId="5F5CB0CD" w:rsidR="0041238C" w:rsidRPr="007E304A" w:rsidRDefault="0041238C" w:rsidP="0041238C">
      <w:pPr>
        <w:pStyle w:val="Normalnumber"/>
        <w:numPr>
          <w:ilvl w:val="0"/>
          <w:numId w:val="94"/>
        </w:numPr>
        <w:tabs>
          <w:tab w:val="clear" w:pos="6457"/>
          <w:tab w:val="num" w:pos="1134"/>
        </w:tabs>
        <w:ind w:left="1247"/>
      </w:pPr>
      <w:r w:rsidRPr="007E304A">
        <w:t xml:space="preserve">Following </w:t>
      </w:r>
      <w:r w:rsidR="00462534" w:rsidRPr="007E304A">
        <w:t>the discussions at</w:t>
      </w:r>
      <w:r w:rsidRPr="007E304A">
        <w:t xml:space="preserve"> its seventh session, the </w:t>
      </w:r>
      <w:r w:rsidR="00D31C10" w:rsidRPr="007E304A">
        <w:t>c</w:t>
      </w:r>
      <w:r w:rsidRPr="007E304A">
        <w:t xml:space="preserve">ommittee </w:t>
      </w:r>
      <w:r w:rsidR="00F31EFF" w:rsidRPr="007E304A">
        <w:t xml:space="preserve">agreed that </w:t>
      </w:r>
      <w:r w:rsidRPr="007E304A">
        <w:t xml:space="preserve">the report on proposals on how the Executive Director of </w:t>
      </w:r>
      <w:r w:rsidR="00116451" w:rsidRPr="007E304A">
        <w:t>UNEP</w:t>
      </w:r>
      <w:r w:rsidRPr="007E304A">
        <w:t xml:space="preserve"> would perform the functions of the permanent secretariat</w:t>
      </w:r>
      <w:r w:rsidR="00F31EFF" w:rsidRPr="007E304A">
        <w:t xml:space="preserve"> would be revised</w:t>
      </w:r>
      <w:r w:rsidRPr="007E304A">
        <w:t xml:space="preserve"> in </w:t>
      </w:r>
      <w:r w:rsidR="00E67A13" w:rsidRPr="007E304A">
        <w:t xml:space="preserve">the </w:t>
      </w:r>
      <w:r w:rsidRPr="007E304A">
        <w:t xml:space="preserve">light of the discussions that </w:t>
      </w:r>
      <w:r w:rsidR="00E67A13" w:rsidRPr="007E304A">
        <w:t xml:space="preserve">had taken </w:t>
      </w:r>
      <w:r w:rsidRPr="007E304A">
        <w:t>place</w:t>
      </w:r>
      <w:r w:rsidR="00244175" w:rsidRPr="007E304A">
        <w:t>.</w:t>
      </w:r>
      <w:r w:rsidRPr="007E304A">
        <w:t xml:space="preserve"> The </w:t>
      </w:r>
      <w:r w:rsidR="00F31EFF" w:rsidRPr="007E304A">
        <w:t xml:space="preserve">revised report would </w:t>
      </w:r>
      <w:r w:rsidRPr="007E304A">
        <w:t xml:space="preserve">respond to how the required political visibility and appropriate strategic, substantive and technical staff time would be given to the new Minamata Convention. The </w:t>
      </w:r>
      <w:r w:rsidR="00D31C10" w:rsidRPr="007E304A">
        <w:t>c</w:t>
      </w:r>
      <w:r w:rsidRPr="007E304A">
        <w:t>ommittee also requested more information on the full costs of running a permanent secretariat at each</w:t>
      </w:r>
      <w:r w:rsidR="002C1A0C" w:rsidRPr="007E304A">
        <w:t xml:space="preserve"> of the</w:t>
      </w:r>
      <w:r w:rsidRPr="007E304A">
        <w:t xml:space="preserve"> proposed location</w:t>
      </w:r>
      <w:r w:rsidR="002C1A0C" w:rsidRPr="007E304A">
        <w:t>s</w:t>
      </w:r>
      <w:r w:rsidR="00E67A13" w:rsidRPr="007E304A">
        <w:t>;</w:t>
      </w:r>
      <w:r w:rsidRPr="007E304A">
        <w:t xml:space="preserve"> </w:t>
      </w:r>
      <w:r w:rsidR="002C1A0C" w:rsidRPr="007E304A">
        <w:t xml:space="preserve">including </w:t>
      </w:r>
      <w:r w:rsidRPr="007E304A">
        <w:t>the costs of holding meetings at each location</w:t>
      </w:r>
      <w:r w:rsidR="00E67A13" w:rsidRPr="007E304A">
        <w:t>;</w:t>
      </w:r>
      <w:r w:rsidRPr="007E304A">
        <w:t xml:space="preserve"> and the travel costs for staff to participate in key chemicals and waste meetings in Geneva </w:t>
      </w:r>
      <w:r w:rsidR="002C1A0C" w:rsidRPr="007E304A">
        <w:t>were</w:t>
      </w:r>
      <w:r w:rsidRPr="007E304A">
        <w:t xml:space="preserve"> the permanent secretariat </w:t>
      </w:r>
      <w:r w:rsidR="002C1A0C" w:rsidRPr="007E304A">
        <w:t>to be</w:t>
      </w:r>
      <w:r w:rsidR="006F43FC" w:rsidRPr="007E304A">
        <w:t xml:space="preserve"> </w:t>
      </w:r>
      <w:r w:rsidRPr="007E304A">
        <w:t xml:space="preserve">located elsewhere. </w:t>
      </w:r>
    </w:p>
    <w:p w14:paraId="042EC2C9" w14:textId="7392D6E2" w:rsidR="0041238C" w:rsidRPr="006432A8" w:rsidRDefault="0041238C" w:rsidP="0041238C">
      <w:pPr>
        <w:pStyle w:val="Normalnumber"/>
        <w:numPr>
          <w:ilvl w:val="0"/>
          <w:numId w:val="94"/>
        </w:numPr>
        <w:tabs>
          <w:tab w:val="clear" w:pos="6457"/>
          <w:tab w:val="num" w:pos="1134"/>
        </w:tabs>
        <w:ind w:left="1247"/>
      </w:pPr>
      <w:r w:rsidRPr="006432A8">
        <w:t xml:space="preserve">In response to the discussion </w:t>
      </w:r>
      <w:r w:rsidR="00E67A13" w:rsidRPr="007E304A">
        <w:t xml:space="preserve">on </w:t>
      </w:r>
      <w:r w:rsidRPr="007E304A">
        <w:t xml:space="preserve">the offer by the Government of Switzerland to host the permanent secretariat of the Minamata Convention in Geneva, the </w:t>
      </w:r>
      <w:r w:rsidR="00D31C10" w:rsidRPr="007E304A">
        <w:t>c</w:t>
      </w:r>
      <w:r w:rsidRPr="007E304A">
        <w:t>ommittee also requested the Government of Switzerland to further clarify aspects of its offer</w:t>
      </w:r>
      <w:r w:rsidR="004B2710" w:rsidRPr="007E304A">
        <w:t>,</w:t>
      </w:r>
      <w:r w:rsidRPr="007E304A">
        <w:t xml:space="preserve"> particularly with regard to the conditionality of the offer. </w:t>
      </w:r>
    </w:p>
    <w:p w14:paraId="10F347A1" w14:textId="49A22931" w:rsidR="0041238C" w:rsidRPr="006432A8" w:rsidRDefault="0041238C" w:rsidP="0041238C">
      <w:pPr>
        <w:pStyle w:val="Normalnumber"/>
        <w:numPr>
          <w:ilvl w:val="0"/>
          <w:numId w:val="94"/>
        </w:numPr>
        <w:tabs>
          <w:tab w:val="clear" w:pos="6457"/>
          <w:tab w:val="num" w:pos="1134"/>
        </w:tabs>
        <w:ind w:left="1247"/>
      </w:pPr>
      <w:r w:rsidRPr="007E304A">
        <w:t xml:space="preserve">The subsequent clarification from the Government of Switzerland was received on 27 June 2017 </w:t>
      </w:r>
      <w:r w:rsidR="00E67A13" w:rsidRPr="007E304A">
        <w:t>(</w:t>
      </w:r>
      <w:r w:rsidRPr="007E304A">
        <w:t>UNEP/MC/COP.1</w:t>
      </w:r>
      <w:r w:rsidR="000B7606">
        <w:t>/</w:t>
      </w:r>
      <w:r w:rsidRPr="007E304A">
        <w:t>INF/8</w:t>
      </w:r>
      <w:r w:rsidR="00E67A13" w:rsidRPr="007E304A">
        <w:t>)</w:t>
      </w:r>
      <w:r w:rsidRPr="007E304A">
        <w:t xml:space="preserve">. An analysis of </w:t>
      </w:r>
      <w:r w:rsidR="00E67A13" w:rsidRPr="007E304A">
        <w:t xml:space="preserve">the </w:t>
      </w:r>
      <w:r w:rsidRPr="007E304A">
        <w:t xml:space="preserve">clarification is </w:t>
      </w:r>
      <w:r w:rsidR="00E67A13" w:rsidRPr="007E304A">
        <w:t xml:space="preserve">set out </w:t>
      </w:r>
      <w:r w:rsidRPr="007E304A">
        <w:t xml:space="preserve">in </w:t>
      </w:r>
      <w:r w:rsidR="006F43FC" w:rsidRPr="007E304A">
        <w:t xml:space="preserve">document </w:t>
      </w:r>
      <w:r w:rsidRPr="007E304A">
        <w:t>UNEP/MC/COP.1/28.</w:t>
      </w:r>
    </w:p>
    <w:p w14:paraId="600F9E37" w14:textId="6D6F96B7" w:rsidR="0041238C" w:rsidRPr="007E304A" w:rsidRDefault="0041238C" w:rsidP="00912C40">
      <w:pPr>
        <w:pStyle w:val="Normalnumber"/>
        <w:numPr>
          <w:ilvl w:val="0"/>
          <w:numId w:val="94"/>
        </w:numPr>
        <w:tabs>
          <w:tab w:val="clear" w:pos="6457"/>
          <w:tab w:val="num" w:pos="1134"/>
        </w:tabs>
        <w:ind w:left="1247"/>
      </w:pPr>
      <w:r w:rsidRPr="006432A8">
        <w:t>Two further documents are related to the consideration of the permanent secretariat</w:t>
      </w:r>
      <w:r w:rsidR="007F4CF5" w:rsidRPr="007E304A">
        <w:t>:</w:t>
      </w:r>
      <w:r w:rsidR="00E67A13" w:rsidRPr="007E304A">
        <w:t xml:space="preserve"> </w:t>
      </w:r>
      <w:r w:rsidRPr="007E304A">
        <w:t>UNEP/MC/COP.1/18</w:t>
      </w:r>
      <w:r w:rsidR="00A01E96">
        <w:t>/Rev.1</w:t>
      </w:r>
      <w:r w:rsidRPr="007E304A">
        <w:t xml:space="preserve"> sets out a draft decision on the physical location of the permanent secretariat</w:t>
      </w:r>
      <w:r w:rsidR="004B2710" w:rsidRPr="007E304A">
        <w:t xml:space="preserve">, </w:t>
      </w:r>
      <w:r w:rsidRPr="007E304A">
        <w:t>namely</w:t>
      </w:r>
      <w:r w:rsidR="004B2710" w:rsidRPr="007E304A">
        <w:t xml:space="preserve"> </w:t>
      </w:r>
      <w:r w:rsidRPr="007E304A">
        <w:t>Bangkok, Geneva, Nairobi, Osaka, Vienna or Washington</w:t>
      </w:r>
      <w:r w:rsidR="009E64B2" w:rsidRPr="007E304A">
        <w:t>,</w:t>
      </w:r>
      <w:r w:rsidR="00686033" w:rsidRPr="007E304A">
        <w:t xml:space="preserve"> D.C.</w:t>
      </w:r>
      <w:r w:rsidRPr="007E304A">
        <w:t xml:space="preserve">, the six </w:t>
      </w:r>
      <w:r w:rsidR="006A4038" w:rsidRPr="007E304A">
        <w:t xml:space="preserve">locations </w:t>
      </w:r>
      <w:r w:rsidRPr="007E304A">
        <w:t xml:space="preserve">identified in </w:t>
      </w:r>
      <w:r w:rsidR="007F4CF5" w:rsidRPr="007E304A">
        <w:t xml:space="preserve">document </w:t>
      </w:r>
      <w:r w:rsidRPr="006432A8">
        <w:t>UNEP(DTIE)/Hg/INC.7/15</w:t>
      </w:r>
      <w:r w:rsidR="007F4CF5" w:rsidRPr="007E304A">
        <w:t xml:space="preserve">; and </w:t>
      </w:r>
      <w:r w:rsidR="002B2810" w:rsidRPr="007E304A">
        <w:t xml:space="preserve">document </w:t>
      </w:r>
      <w:r w:rsidRPr="007E304A">
        <w:t xml:space="preserve">UNEP/MC/COP.1/21/Add.2, as part of the </w:t>
      </w:r>
      <w:r w:rsidR="007F4CF5" w:rsidRPr="007E304A">
        <w:t xml:space="preserve">programme of work and budget for the biennium </w:t>
      </w:r>
      <w:r w:rsidRPr="007E304A">
        <w:t>2018</w:t>
      </w:r>
      <w:r w:rsidR="007F4CF5" w:rsidRPr="007E304A">
        <w:t>–</w:t>
      </w:r>
      <w:r w:rsidRPr="007E304A">
        <w:t xml:space="preserve">2019, sets out the projected staffing resource requirements needed </w:t>
      </w:r>
      <w:r w:rsidR="007F4CF5" w:rsidRPr="007E304A">
        <w:t xml:space="preserve">to perform the secretariat functions </w:t>
      </w:r>
      <w:r w:rsidR="00912C40" w:rsidRPr="007E304A">
        <w:t>of</w:t>
      </w:r>
      <w:r w:rsidR="007F4CF5" w:rsidRPr="007E304A">
        <w:t xml:space="preserve"> </w:t>
      </w:r>
      <w:r w:rsidRPr="007E304A">
        <w:t xml:space="preserve">the different secretariat arrangement options, </w:t>
      </w:r>
      <w:r w:rsidR="007F4CF5" w:rsidRPr="007E304A">
        <w:t xml:space="preserve">as well as </w:t>
      </w:r>
      <w:r w:rsidRPr="007E304A">
        <w:t xml:space="preserve">the staffing resource requirements </w:t>
      </w:r>
      <w:r w:rsidR="00912C40" w:rsidRPr="007E304A">
        <w:t xml:space="preserve">if </w:t>
      </w:r>
      <w:r w:rsidRPr="007E304A">
        <w:t xml:space="preserve">a </w:t>
      </w:r>
      <w:r w:rsidR="007610B9">
        <w:t>standalone</w:t>
      </w:r>
      <w:r w:rsidR="007610B9" w:rsidRPr="007E304A">
        <w:t xml:space="preserve"> </w:t>
      </w:r>
      <w:r w:rsidRPr="007E304A">
        <w:t xml:space="preserve">secretariat </w:t>
      </w:r>
      <w:r w:rsidR="00912C40" w:rsidRPr="007E304A">
        <w:t>is located in one</w:t>
      </w:r>
      <w:r w:rsidRPr="007E304A">
        <w:t xml:space="preserve"> the other five </w:t>
      </w:r>
      <w:r w:rsidR="00912C40" w:rsidRPr="007E304A">
        <w:t>possible</w:t>
      </w:r>
      <w:r w:rsidRPr="007E304A">
        <w:t xml:space="preserve"> locations. </w:t>
      </w:r>
    </w:p>
    <w:p w14:paraId="68FD94E6" w14:textId="60BA01D4" w:rsidR="0041238C" w:rsidRPr="007E304A" w:rsidRDefault="0041238C" w:rsidP="0041238C">
      <w:pPr>
        <w:pStyle w:val="Normalnumber"/>
        <w:numPr>
          <w:ilvl w:val="0"/>
          <w:numId w:val="94"/>
        </w:numPr>
        <w:tabs>
          <w:tab w:val="clear" w:pos="6457"/>
          <w:tab w:val="num" w:pos="1134"/>
        </w:tabs>
        <w:ind w:left="1247"/>
      </w:pPr>
      <w:r w:rsidRPr="007E304A">
        <w:t xml:space="preserve">As requested by the </w:t>
      </w:r>
      <w:r w:rsidR="00D31C10" w:rsidRPr="007E304A">
        <w:t>c</w:t>
      </w:r>
      <w:r w:rsidRPr="007E304A">
        <w:t xml:space="preserve">ommittee at its seventh session, the annex to the present note sets out the revised report of the Executive Director on proposals on how he would </w:t>
      </w:r>
      <w:r w:rsidRPr="006432A8">
        <w:t>perform the functions of the permanent secretariat for the Convention</w:t>
      </w:r>
      <w:r w:rsidR="005067AA" w:rsidRPr="007E304A">
        <w:t xml:space="preserve">, </w:t>
      </w:r>
      <w:r w:rsidRPr="006432A8">
        <w:t xml:space="preserve">taking into account the discussions at the seventh session of the intergovernmental negotiating committee and responding to requests to provide additional information on specific </w:t>
      </w:r>
      <w:r w:rsidR="004B2710" w:rsidRPr="007E304A">
        <w:t xml:space="preserve">aspects </w:t>
      </w:r>
      <w:r w:rsidRPr="006432A8">
        <w:t xml:space="preserve">to the Conference of the Parties </w:t>
      </w:r>
      <w:r w:rsidR="005067AA" w:rsidRPr="007E304A">
        <w:t xml:space="preserve">to the Minamata Convention on Mercury </w:t>
      </w:r>
      <w:r w:rsidRPr="006432A8">
        <w:t>at its first meeting.</w:t>
      </w:r>
    </w:p>
    <w:p w14:paraId="5CAEEBDB" w14:textId="7234CCBA" w:rsidR="000A6632" w:rsidRPr="007E304A" w:rsidRDefault="000A6632" w:rsidP="0041238C">
      <w:pPr>
        <w:pStyle w:val="Normalnumber"/>
        <w:numPr>
          <w:ilvl w:val="0"/>
          <w:numId w:val="94"/>
        </w:numPr>
        <w:tabs>
          <w:tab w:val="clear" w:pos="6457"/>
          <w:tab w:val="num" w:pos="1134"/>
        </w:tabs>
        <w:ind w:left="1247"/>
      </w:pPr>
      <w:r w:rsidRPr="007E304A">
        <w:t xml:space="preserve">In considering the proposed options, the Conference of the Parties may wish to balance the needs and requirements for secretariat effectiveness in the early period after entry into force, particularly in the period between the first and the second meetings of the Conference of the Parties, with long-term opportunities for cooperation and collaboration. </w:t>
      </w:r>
    </w:p>
    <w:p w14:paraId="63462C65" w14:textId="77777777" w:rsidR="0041238C" w:rsidRPr="00311F46" w:rsidRDefault="0041238C" w:rsidP="006432A8">
      <w:pPr>
        <w:pStyle w:val="CH2"/>
        <w:outlineLvl w:val="0"/>
      </w:pPr>
      <w:r w:rsidRPr="00311F46">
        <w:tab/>
      </w:r>
      <w:r w:rsidRPr="00311F46">
        <w:tab/>
      </w:r>
      <w:r w:rsidRPr="006432A8">
        <w:t>Suggested action by the Conference of the Parties</w:t>
      </w:r>
    </w:p>
    <w:p w14:paraId="181C14AC" w14:textId="2F28251E" w:rsidR="00104E9B" w:rsidRPr="007E304A" w:rsidRDefault="003722E1" w:rsidP="00BE71F1">
      <w:pPr>
        <w:pStyle w:val="Normalnumber"/>
        <w:keepNext/>
        <w:keepLines/>
        <w:numPr>
          <w:ilvl w:val="0"/>
          <w:numId w:val="94"/>
        </w:numPr>
        <w:tabs>
          <w:tab w:val="clear" w:pos="6457"/>
          <w:tab w:val="num" w:pos="1134"/>
        </w:tabs>
        <w:ind w:left="1247"/>
      </w:pPr>
      <w:r w:rsidRPr="007E304A">
        <w:t xml:space="preserve">The Conference of the Parties </w:t>
      </w:r>
      <w:r w:rsidRPr="002C6B92">
        <w:t>may wish to</w:t>
      </w:r>
      <w:r w:rsidRPr="007E304A">
        <w:t xml:space="preserve"> review and </w:t>
      </w:r>
      <w:r w:rsidR="00C2482E" w:rsidRPr="007E304A">
        <w:t>discuss</w:t>
      </w:r>
      <w:r w:rsidRPr="007E304A">
        <w:t xml:space="preserve"> the different proposed options </w:t>
      </w:r>
      <w:r w:rsidR="00C2482E" w:rsidRPr="007E304A">
        <w:t xml:space="preserve">for </w:t>
      </w:r>
      <w:r w:rsidRPr="007E304A">
        <w:t>perform</w:t>
      </w:r>
      <w:r w:rsidR="00C2482E" w:rsidRPr="007E304A">
        <w:t>ing</w:t>
      </w:r>
      <w:r w:rsidRPr="007E304A">
        <w:t xml:space="preserve"> the functions of the secretariat, as well as the options proposed for its location as set out in th</w:t>
      </w:r>
      <w:r w:rsidR="00C2482E" w:rsidRPr="007E304A">
        <w:t>e present</w:t>
      </w:r>
      <w:r w:rsidRPr="007E304A">
        <w:t xml:space="preserve"> </w:t>
      </w:r>
      <w:r w:rsidR="00C2482E" w:rsidRPr="007E304A">
        <w:t>n</w:t>
      </w:r>
      <w:r w:rsidRPr="007E304A">
        <w:t>ote and other document</w:t>
      </w:r>
      <w:r w:rsidR="00C2482E" w:rsidRPr="007E304A">
        <w:t>s</w:t>
      </w:r>
      <w:r w:rsidRPr="007E304A">
        <w:t xml:space="preserve">. In summary, these options are: </w:t>
      </w:r>
      <w:r w:rsidR="001C486D" w:rsidRPr="007E304A">
        <w:t xml:space="preserve">Option </w:t>
      </w:r>
      <w:r w:rsidRPr="007E304A">
        <w:t xml:space="preserve">1 (a) </w:t>
      </w:r>
      <w:r w:rsidR="00C2482E" w:rsidRPr="007E304A">
        <w:t>(merger)</w:t>
      </w:r>
      <w:r w:rsidRPr="007E304A">
        <w:t xml:space="preserve">: </w:t>
      </w:r>
      <w:r w:rsidR="00C2482E" w:rsidRPr="007E304A">
        <w:t>m</w:t>
      </w:r>
      <w:r w:rsidRPr="007E304A">
        <w:t xml:space="preserve">erging the secretariat functions of the Minamata Convention into the secretariat of the Basel, Rotterdam and Stockholm conventions, utilizing its current structure, </w:t>
      </w:r>
      <w:r w:rsidR="001C486D" w:rsidRPr="007E304A">
        <w:t xml:space="preserve">Option </w:t>
      </w:r>
      <w:r w:rsidRPr="007E304A">
        <w:t xml:space="preserve">1 (b) </w:t>
      </w:r>
      <w:r w:rsidR="00C2482E" w:rsidRPr="007E304A">
        <w:t>(branch)</w:t>
      </w:r>
      <w:r w:rsidRPr="007E304A">
        <w:t>: merging the secretariat of the Minamata Convention into the secretariat of the Basel, Rotterdam and Stockholm convention</w:t>
      </w:r>
      <w:r w:rsidR="00C2482E" w:rsidRPr="007E304A">
        <w:t>s</w:t>
      </w:r>
      <w:r w:rsidRPr="007E304A">
        <w:t xml:space="preserve"> by creating, in the interim, a Minamata Convention </w:t>
      </w:r>
      <w:r w:rsidR="00C2482E" w:rsidRPr="007E304A">
        <w:t>b</w:t>
      </w:r>
      <w:r w:rsidRPr="007E304A">
        <w:t>ranch</w:t>
      </w:r>
      <w:r w:rsidR="00104E9B" w:rsidRPr="007E304A">
        <w:t xml:space="preserve">, and </w:t>
      </w:r>
      <w:r w:rsidR="001C486D" w:rsidRPr="007E304A">
        <w:t xml:space="preserve">Option </w:t>
      </w:r>
      <w:r w:rsidR="00104E9B" w:rsidRPr="007E304A">
        <w:t xml:space="preserve">2 </w:t>
      </w:r>
      <w:r w:rsidR="00C2482E" w:rsidRPr="007E304A">
        <w:t>(standalone)</w:t>
      </w:r>
      <w:r w:rsidR="00104E9B" w:rsidRPr="007E304A">
        <w:t xml:space="preserve">: establishing a </w:t>
      </w:r>
      <w:r w:rsidR="007610B9">
        <w:t>standalone</w:t>
      </w:r>
      <w:r w:rsidR="007610B9" w:rsidRPr="007E304A">
        <w:t xml:space="preserve"> </w:t>
      </w:r>
      <w:r w:rsidR="00104E9B" w:rsidRPr="007E304A">
        <w:t xml:space="preserve">secretariat for the Minamata Convention. </w:t>
      </w:r>
    </w:p>
    <w:p w14:paraId="567285CF" w14:textId="1295FCBC" w:rsidR="00CA0EA2" w:rsidRPr="007E304A" w:rsidRDefault="00104E9B" w:rsidP="00104E9B">
      <w:pPr>
        <w:pStyle w:val="Normalnumber"/>
        <w:keepNext/>
        <w:keepLines/>
        <w:numPr>
          <w:ilvl w:val="0"/>
          <w:numId w:val="94"/>
        </w:numPr>
        <w:tabs>
          <w:tab w:val="clear" w:pos="6457"/>
          <w:tab w:val="num" w:pos="1134"/>
        </w:tabs>
        <w:ind w:left="1247"/>
      </w:pPr>
      <w:r w:rsidRPr="007E304A">
        <w:t xml:space="preserve">Further to that deliberation, the Conference of </w:t>
      </w:r>
      <w:r w:rsidR="00856818" w:rsidRPr="007E304A">
        <w:t xml:space="preserve">the </w:t>
      </w:r>
      <w:r w:rsidRPr="007E304A">
        <w:t xml:space="preserve">Parties may wish to adopt a decision in which it makes a recommendation to the Executive Director on one of the three </w:t>
      </w:r>
      <w:r w:rsidR="00856818" w:rsidRPr="007E304A">
        <w:t xml:space="preserve">proposed </w:t>
      </w:r>
      <w:r w:rsidRPr="007E304A">
        <w:t>options outlined in the</w:t>
      </w:r>
      <w:r w:rsidR="00856818" w:rsidRPr="007E304A">
        <w:t xml:space="preserve"> present</w:t>
      </w:r>
      <w:r w:rsidRPr="007E304A">
        <w:t xml:space="preserve"> </w:t>
      </w:r>
      <w:r w:rsidR="00856818" w:rsidRPr="007E304A">
        <w:t>n</w:t>
      </w:r>
      <w:r w:rsidRPr="007E304A">
        <w:t>ote, and provide any other guidance as appropriate, bearing in mind that</w:t>
      </w:r>
      <w:r w:rsidR="00856818" w:rsidRPr="007E304A">
        <w:t>,</w:t>
      </w:r>
      <w:r w:rsidRPr="007E304A">
        <w:t xml:space="preserve"> i</w:t>
      </w:r>
      <w:r w:rsidR="0041238C" w:rsidRPr="007E304A">
        <w:t xml:space="preserve">n accordance with </w:t>
      </w:r>
      <w:r w:rsidRPr="007E304A">
        <w:t xml:space="preserve">paragraph 4 of </w:t>
      </w:r>
      <w:r w:rsidR="00F36BCD" w:rsidRPr="007E304A">
        <w:t xml:space="preserve">article </w:t>
      </w:r>
      <w:r w:rsidR="0041238C" w:rsidRPr="007E304A">
        <w:t xml:space="preserve">24 of the </w:t>
      </w:r>
      <w:r w:rsidR="00F36BCD" w:rsidRPr="007E304A">
        <w:t xml:space="preserve">Minamata </w:t>
      </w:r>
      <w:r w:rsidR="0041238C" w:rsidRPr="007E304A">
        <w:t xml:space="preserve">Convention, the Conference of the Parties may wish to provide guidance </w:t>
      </w:r>
      <w:r w:rsidR="004B2710" w:rsidRPr="007E304A">
        <w:t xml:space="preserve">on </w:t>
      </w:r>
      <w:r w:rsidR="0041238C" w:rsidRPr="007E304A">
        <w:t>cooperation and coordination between the permanent secretariat of the Minamata Convention and the secretariat of the other chemicals and waste conventions.</w:t>
      </w:r>
    </w:p>
    <w:p w14:paraId="3C20C188" w14:textId="48002D78" w:rsidR="00104E9B" w:rsidRPr="007E304A" w:rsidRDefault="00104E9B" w:rsidP="00104E9B">
      <w:pPr>
        <w:pStyle w:val="Normalnumber"/>
        <w:keepNext/>
        <w:keepLines/>
        <w:numPr>
          <w:ilvl w:val="0"/>
          <w:numId w:val="94"/>
        </w:numPr>
        <w:tabs>
          <w:tab w:val="clear" w:pos="6457"/>
          <w:tab w:val="num" w:pos="1134"/>
        </w:tabs>
        <w:ind w:left="1247"/>
      </w:pPr>
      <w:r w:rsidRPr="007E304A">
        <w:t xml:space="preserve">If the establishment of a </w:t>
      </w:r>
      <w:r w:rsidR="007610B9">
        <w:t>standalone</w:t>
      </w:r>
      <w:r w:rsidR="007610B9" w:rsidRPr="007E304A">
        <w:t xml:space="preserve"> </w:t>
      </w:r>
      <w:r w:rsidRPr="007E304A">
        <w:t>secretariat is recommended, the Conference of the Parties may wish to make a recommendation on where the secretariat should be located.</w:t>
      </w:r>
    </w:p>
    <w:p w14:paraId="1FF95AE5" w14:textId="77777777" w:rsidR="00BE2FDD" w:rsidRDefault="00BE2FDD" w:rsidP="006432A8">
      <w:pPr>
        <w:pStyle w:val="Normalnumber"/>
        <w:keepNext/>
        <w:keepLines/>
        <w:numPr>
          <w:ilvl w:val="0"/>
          <w:numId w:val="0"/>
        </w:numPr>
        <w:ind w:left="2610"/>
        <w:sectPr w:rsidR="00BE2FDD" w:rsidSect="006E67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14:paraId="379256B7" w14:textId="054843BD" w:rsidR="00BE71F1" w:rsidRPr="00AC07B2" w:rsidRDefault="00BE71F1">
      <w:pPr>
        <w:tabs>
          <w:tab w:val="clear" w:pos="1247"/>
          <w:tab w:val="clear" w:pos="1814"/>
          <w:tab w:val="clear" w:pos="2381"/>
          <w:tab w:val="clear" w:pos="2948"/>
          <w:tab w:val="clear" w:pos="3515"/>
        </w:tabs>
        <w:rPr>
          <w:b/>
          <w:bCs/>
          <w:sz w:val="28"/>
          <w:szCs w:val="22"/>
        </w:rPr>
      </w:pPr>
      <w:r w:rsidRPr="001664EC">
        <w:rPr>
          <w:b/>
        </w:rPr>
        <w:br w:type="page"/>
      </w:r>
    </w:p>
    <w:p w14:paraId="2929AF70" w14:textId="4D5100A3" w:rsidR="0041238C" w:rsidRPr="007E304A" w:rsidRDefault="0041238C" w:rsidP="00161024">
      <w:pPr>
        <w:pStyle w:val="ZZAnxheader"/>
        <w:outlineLvl w:val="0"/>
      </w:pPr>
      <w:r w:rsidRPr="007E304A">
        <w:t>Annex</w:t>
      </w:r>
    </w:p>
    <w:p w14:paraId="3F3C2BC9" w14:textId="1F0D742B" w:rsidR="0041238C" w:rsidRPr="007E304A" w:rsidRDefault="0041238C" w:rsidP="0041238C">
      <w:pPr>
        <w:pStyle w:val="ZZAnxtitle"/>
        <w:rPr>
          <w:rFonts w:eastAsia="MS Mincho"/>
        </w:rPr>
      </w:pPr>
      <w:r w:rsidRPr="007E304A">
        <w:t xml:space="preserve">Revised </w:t>
      </w:r>
      <w:r w:rsidR="00F36BCD" w:rsidRPr="007E304A">
        <w:rPr>
          <w:rFonts w:eastAsia="MS Mincho"/>
        </w:rPr>
        <w:t xml:space="preserve">report </w:t>
      </w:r>
      <w:r w:rsidRPr="007E304A">
        <w:rPr>
          <w:rFonts w:eastAsia="MS Mincho"/>
        </w:rPr>
        <w:t>on proposals on how the Executive Director of the United Nations Environment Programme would perform the functions of the permanent secretariat for the Minamata Convention on Mercury</w:t>
      </w:r>
    </w:p>
    <w:p w14:paraId="02689E88" w14:textId="77777777" w:rsidR="0041238C" w:rsidRPr="007E304A" w:rsidRDefault="0041238C" w:rsidP="00161024">
      <w:pPr>
        <w:pStyle w:val="CH2"/>
        <w:outlineLvl w:val="0"/>
        <w:rPr>
          <w:rFonts w:eastAsia="MS Mincho"/>
        </w:rPr>
      </w:pPr>
      <w:r w:rsidRPr="007E304A">
        <w:rPr>
          <w:rFonts w:eastAsia="MS Mincho"/>
        </w:rPr>
        <w:tab/>
        <w:t>A.</w:t>
      </w:r>
      <w:r w:rsidRPr="007E304A">
        <w:rPr>
          <w:rFonts w:eastAsia="MS Mincho"/>
        </w:rPr>
        <w:tab/>
        <w:t>Background</w:t>
      </w:r>
    </w:p>
    <w:p w14:paraId="02967916" w14:textId="209D4886"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pPr>
      <w:r w:rsidRPr="007E304A">
        <w:t xml:space="preserve">The Minamata Convention on </w:t>
      </w:r>
      <w:r w:rsidRPr="0092722D">
        <w:t>Mercury was adopted</w:t>
      </w:r>
      <w:r w:rsidRPr="007E304A">
        <w:t xml:space="preserve"> and opened for signature at the Conference of Plenipotentiaries, held in Kumamoto, Japan, on 10 October 2013. </w:t>
      </w:r>
      <w:r w:rsidR="005067AA" w:rsidRPr="007E304A">
        <w:t xml:space="preserve">During </w:t>
      </w:r>
      <w:r w:rsidRPr="007E304A">
        <w:t xml:space="preserve">the negotiating process, the work of the intergovernmental negotiating committee to prepare a global legally binding instrument on mercury has been supported by secretariat services provided by the United Nations Environment Programme (UNEP), through its Chemicals and Waste Branch within the Division of Technology, Industry and </w:t>
      </w:r>
      <w:r w:rsidRPr="000D2B07">
        <w:t>Economics.</w:t>
      </w:r>
      <w:r w:rsidRPr="000D2B07">
        <w:rPr>
          <w:vertAlign w:val="superscript"/>
        </w:rPr>
        <w:footnoteReference w:id="2"/>
      </w:r>
      <w:r w:rsidRPr="000D2B07">
        <w:rPr>
          <w:vertAlign w:val="superscript"/>
        </w:rPr>
        <w:t xml:space="preserve"> </w:t>
      </w:r>
      <w:r w:rsidR="000D2B07" w:rsidRPr="000D2B07">
        <w:t>U</w:t>
      </w:r>
      <w:r w:rsidRPr="000D2B07">
        <w:t xml:space="preserve">pon entry into force, the functions of the permanent secretariat for the Minamata Convention on Mercury will be performed by the Executive Director of </w:t>
      </w:r>
      <w:r w:rsidR="00116451" w:rsidRPr="000D2B07">
        <w:t>UNEP</w:t>
      </w:r>
      <w:r w:rsidRPr="000D2B07">
        <w:t>, as set out in paragraph 3 of article 24 of the Convention</w:t>
      </w:r>
      <w:r w:rsidRPr="007E304A">
        <w:t xml:space="preserve">, unless the Conference of the Parties decides, by a three-fourths majority of the parties present and voting, to entrust the secretariat functions to one or more other international organizations. </w:t>
      </w:r>
    </w:p>
    <w:p w14:paraId="61B004E1" w14:textId="4CDEA4A4"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pPr>
      <w:r w:rsidRPr="007E304A">
        <w:t xml:space="preserve">At the Conference of Plenipotentiaries, further consideration was given to how the Executive Director of </w:t>
      </w:r>
      <w:r w:rsidR="00F36BCD" w:rsidRPr="007E304A">
        <w:t>UNEP</w:t>
      </w:r>
      <w:r w:rsidRPr="007E304A">
        <w:t xml:space="preserve"> could perform the functions of the permanent secretariat for the Convention. Through the Final Act, Governments requested the Executive Director to present and the committee to consider, before the first meeting of the Conference of the Parties, a report on proposals on how he would perform the functions of the permanent secretariat for the Convention</w:t>
      </w:r>
      <w:r w:rsidR="000A6632" w:rsidRPr="007E304A">
        <w:t>.</w:t>
      </w:r>
    </w:p>
    <w:p w14:paraId="5A919FDC" w14:textId="2ADFE8C8" w:rsidR="0041238C" w:rsidRPr="007E304A" w:rsidRDefault="007E25EA"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pPr>
      <w:r w:rsidRPr="007E304A">
        <w:t>A</w:t>
      </w:r>
      <w:r w:rsidR="0041238C" w:rsidRPr="007E304A">
        <w:t xml:space="preserve">t its seventh session, the intergovernmental negotiating committee </w:t>
      </w:r>
      <w:r w:rsidRPr="007E304A">
        <w:t xml:space="preserve">therefore </w:t>
      </w:r>
      <w:r w:rsidR="0041238C" w:rsidRPr="007E304A">
        <w:t>considered</w:t>
      </w:r>
      <w:r w:rsidR="0041238C" w:rsidRPr="007E304A">
        <w:rPr>
          <w:rStyle w:val="Inget"/>
        </w:rPr>
        <w:t xml:space="preserve"> a report on </w:t>
      </w:r>
      <w:r w:rsidR="0041238C" w:rsidRPr="007E304A">
        <w:t>propos</w:t>
      </w:r>
      <w:r w:rsidR="000A6632" w:rsidRPr="007E304A">
        <w:t>ed options</w:t>
      </w:r>
      <w:r w:rsidR="0041238C" w:rsidRPr="007E304A">
        <w:rPr>
          <w:rStyle w:val="Inget"/>
        </w:rPr>
        <w:t xml:space="preserve"> on how the Executive Director of </w:t>
      </w:r>
      <w:r w:rsidR="00116451" w:rsidRPr="007E304A">
        <w:rPr>
          <w:rStyle w:val="Inget"/>
        </w:rPr>
        <w:t>UNEP</w:t>
      </w:r>
      <w:r w:rsidR="0041238C" w:rsidRPr="007E304A">
        <w:rPr>
          <w:rStyle w:val="Inget"/>
        </w:rPr>
        <w:t xml:space="preserve"> would perform the functions of the permanent secretariat for the Minamata Convention on Mercury </w:t>
      </w:r>
      <w:r w:rsidR="00170B2F" w:rsidRPr="007E304A">
        <w:rPr>
          <w:rStyle w:val="Inget"/>
        </w:rPr>
        <w:t>(</w:t>
      </w:r>
      <w:r w:rsidR="0041238C" w:rsidRPr="007E304A">
        <w:rPr>
          <w:rStyle w:val="Inget"/>
        </w:rPr>
        <w:t>UNEP(DTIE)/Hg/INC.7/15</w:t>
      </w:r>
      <w:r w:rsidR="00170B2F" w:rsidRPr="007E304A">
        <w:rPr>
          <w:rStyle w:val="Inget"/>
        </w:rPr>
        <w:t>)</w:t>
      </w:r>
      <w:r w:rsidR="0041238C" w:rsidRPr="007E304A">
        <w:rPr>
          <w:rStyle w:val="Inget"/>
        </w:rPr>
        <w:t xml:space="preserve">. </w:t>
      </w:r>
    </w:p>
    <w:p w14:paraId="7CD0AA7B" w14:textId="1BAF8116" w:rsidR="0041238C" w:rsidRPr="007E304A" w:rsidRDefault="0041238C" w:rsidP="006432A8">
      <w:pPr>
        <w:pStyle w:val="Normal-pool"/>
        <w:tabs>
          <w:tab w:val="clear" w:pos="1247"/>
          <w:tab w:val="clear" w:pos="1814"/>
          <w:tab w:val="clear" w:pos="2381"/>
          <w:tab w:val="clear" w:pos="2948"/>
          <w:tab w:val="clear" w:pos="3515"/>
          <w:tab w:val="clear" w:pos="4082"/>
          <w:tab w:val="left" w:pos="624"/>
        </w:tabs>
        <w:spacing w:after="120"/>
        <w:ind w:left="1247"/>
      </w:pPr>
      <w:r w:rsidRPr="007E304A">
        <w:rPr>
          <w:rFonts w:eastAsia="MS Mincho"/>
        </w:rPr>
        <w:t xml:space="preserve">The seventh session of the </w:t>
      </w:r>
      <w:r w:rsidRPr="0092722D">
        <w:rPr>
          <w:rFonts w:eastAsia="MS Mincho"/>
        </w:rPr>
        <w:t>intergovernmental negotiating</w:t>
      </w:r>
      <w:r w:rsidRPr="007E304A">
        <w:rPr>
          <w:rFonts w:eastAsia="MS Mincho"/>
        </w:rPr>
        <w:t xml:space="preserve"> committee provided the first opportunity for a discussion by the </w:t>
      </w:r>
      <w:r w:rsidR="00170B2F" w:rsidRPr="007E304A">
        <w:rPr>
          <w:rFonts w:eastAsia="MS Mincho"/>
        </w:rPr>
        <w:t xml:space="preserve">committee </w:t>
      </w:r>
      <w:r w:rsidRPr="007E304A">
        <w:rPr>
          <w:rFonts w:eastAsia="MS Mincho"/>
        </w:rPr>
        <w:t xml:space="preserve">on </w:t>
      </w:r>
      <w:r w:rsidR="00170B2F" w:rsidRPr="007E304A">
        <w:rPr>
          <w:rFonts w:eastAsia="MS Mincho"/>
        </w:rPr>
        <w:t xml:space="preserve">those </w:t>
      </w:r>
      <w:r w:rsidRPr="007E304A">
        <w:rPr>
          <w:rFonts w:eastAsia="MS Mincho"/>
        </w:rPr>
        <w:t>options. The discussion captured a broad range of views on the matter.</w:t>
      </w:r>
      <w:r w:rsidRPr="007E304A">
        <w:rPr>
          <w:rFonts w:eastAsia="MS Mincho"/>
          <w:vertAlign w:val="superscript"/>
        </w:rPr>
        <w:footnoteReference w:id="3"/>
      </w:r>
      <w:r w:rsidRPr="007E304A">
        <w:rPr>
          <w:rFonts w:eastAsia="MS Mincho"/>
        </w:rPr>
        <w:t xml:space="preserve"> </w:t>
      </w:r>
      <w:r w:rsidRPr="007E304A">
        <w:t xml:space="preserve">Following the </w:t>
      </w:r>
      <w:r w:rsidR="00231837" w:rsidRPr="007E304A">
        <w:t>discussion</w:t>
      </w:r>
      <w:r w:rsidR="00C1621A" w:rsidRPr="007E304A">
        <w:t>s</w:t>
      </w:r>
      <w:r w:rsidR="00231837" w:rsidRPr="007E304A">
        <w:t xml:space="preserve"> </w:t>
      </w:r>
      <w:r w:rsidRPr="007E304A">
        <w:t xml:space="preserve">of the </w:t>
      </w:r>
      <w:r w:rsidR="00D31C10" w:rsidRPr="007E304A">
        <w:t>c</w:t>
      </w:r>
      <w:r w:rsidRPr="007E304A">
        <w:t xml:space="preserve">ommittee </w:t>
      </w:r>
      <w:r w:rsidR="00231837" w:rsidRPr="007E304A">
        <w:t xml:space="preserve">at </w:t>
      </w:r>
      <w:r w:rsidRPr="007E304A">
        <w:t xml:space="preserve">its seventh session, the chair indicated that the secretariat would revise document UNEP(DTIE)/Hg/INC.7/15, taking into account the discussions, for </w:t>
      </w:r>
      <w:r w:rsidRPr="006432A8">
        <w:rPr>
          <w:rFonts w:eastAsia="MS Mincho"/>
        </w:rPr>
        <w:t>consideration</w:t>
      </w:r>
      <w:r w:rsidRPr="007E304A">
        <w:t xml:space="preserve"> by the Conference of </w:t>
      </w:r>
      <w:r w:rsidR="00FD3D60" w:rsidRPr="007E304A">
        <w:t xml:space="preserve">the </w:t>
      </w:r>
      <w:r w:rsidRPr="007E304A">
        <w:t xml:space="preserve">Parties at its first meeting. </w:t>
      </w:r>
    </w:p>
    <w:p w14:paraId="052DF03B" w14:textId="66CA4DCC"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pPr>
      <w:r w:rsidRPr="007E304A">
        <w:t>The present report is structured into four parts</w:t>
      </w:r>
      <w:r w:rsidR="00D40064" w:rsidRPr="007E304A">
        <w:t xml:space="preserve">. </w:t>
      </w:r>
      <w:r w:rsidR="000043CD" w:rsidRPr="007E304A">
        <w:t>T</w:t>
      </w:r>
      <w:r w:rsidRPr="007E304A">
        <w:t>he functions that the secretariat is expected to fulfil, according to article 24, are described</w:t>
      </w:r>
      <w:r w:rsidR="00D40064" w:rsidRPr="007E304A">
        <w:t xml:space="preserve"> in </w:t>
      </w:r>
      <w:r w:rsidR="00986B2A" w:rsidRPr="007E304A">
        <w:t xml:space="preserve">section B </w:t>
      </w:r>
      <w:r w:rsidR="000043CD" w:rsidRPr="007E304A">
        <w:t xml:space="preserve">and </w:t>
      </w:r>
      <w:r w:rsidRPr="007E304A">
        <w:t>supplemented by appendix I</w:t>
      </w:r>
      <w:r w:rsidR="00D40064" w:rsidRPr="007E304A">
        <w:t>,</w:t>
      </w:r>
      <w:r w:rsidRPr="007E304A">
        <w:t xml:space="preserve"> which elaborates on the </w:t>
      </w:r>
      <w:r w:rsidR="008704D0" w:rsidRPr="007E304A">
        <w:t xml:space="preserve">anticipated </w:t>
      </w:r>
      <w:r w:rsidRPr="007E304A">
        <w:t xml:space="preserve">work of the Minamata Convention </w:t>
      </w:r>
      <w:r w:rsidR="00D40064" w:rsidRPr="007E304A">
        <w:t xml:space="preserve">in the coming </w:t>
      </w:r>
      <w:r w:rsidRPr="007E304A">
        <w:t xml:space="preserve">years. </w:t>
      </w:r>
      <w:r w:rsidR="00D40064" w:rsidRPr="007E304A">
        <w:t xml:space="preserve">The </w:t>
      </w:r>
      <w:r w:rsidRPr="007E304A">
        <w:t>factor</w:t>
      </w:r>
      <w:r w:rsidR="00D40064" w:rsidRPr="007E304A">
        <w:t>s</w:t>
      </w:r>
      <w:r w:rsidRPr="007E304A">
        <w:t xml:space="preserve"> to be considered in the analysis of options on how the Executive Director would perform the functions of the permanent secretariat for the Convention</w:t>
      </w:r>
      <w:r w:rsidR="00D40064" w:rsidRPr="007E304A">
        <w:t xml:space="preserve">, as identified by the Conference of Plenipotentiaries, are presented in </w:t>
      </w:r>
      <w:r w:rsidR="00986B2A" w:rsidRPr="007E304A">
        <w:t>section C</w:t>
      </w:r>
      <w:r w:rsidRPr="007E304A">
        <w:t xml:space="preserve">. </w:t>
      </w:r>
    </w:p>
    <w:p w14:paraId="4E65B776" w14:textId="4D3189CA" w:rsidR="0041238C" w:rsidRPr="007E304A" w:rsidRDefault="007164BF"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pPr>
      <w:r w:rsidRPr="006432A8">
        <w:t>S</w:t>
      </w:r>
      <w:r w:rsidR="00986B2A" w:rsidRPr="007E304A">
        <w:t xml:space="preserve">ection D </w:t>
      </w:r>
      <w:r w:rsidR="00D40064" w:rsidRPr="007E304A">
        <w:t xml:space="preserve">of the present report provides an outline and analysis of </w:t>
      </w:r>
      <w:r w:rsidR="0041238C" w:rsidRPr="007E304A">
        <w:t xml:space="preserve">the </w:t>
      </w:r>
      <w:r w:rsidR="00D40064" w:rsidRPr="007E304A">
        <w:t xml:space="preserve">proposals of the </w:t>
      </w:r>
      <w:r w:rsidR="0041238C" w:rsidRPr="007E304A">
        <w:t>Executive Director in terms of the secretariat arrangement structures and the staffing needed for each arrangement structure</w:t>
      </w:r>
      <w:r w:rsidR="00D40064" w:rsidRPr="007E304A">
        <w:t>, as follows</w:t>
      </w:r>
      <w:r w:rsidR="0041238C" w:rsidRPr="007E304A">
        <w:t xml:space="preserve">: </w:t>
      </w:r>
    </w:p>
    <w:p w14:paraId="2F3C1444" w14:textId="19062CB7" w:rsidR="0041238C" w:rsidRPr="007E304A" w:rsidRDefault="0041238C" w:rsidP="006432A8">
      <w:pPr>
        <w:pStyle w:val="Normal-pool"/>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 xml:space="preserve">(a) </w:t>
      </w:r>
      <w:r w:rsidRPr="007E304A">
        <w:rPr>
          <w:rFonts w:eastAsia="MS Mincho"/>
        </w:rPr>
        <w:tab/>
      </w:r>
      <w:r w:rsidRPr="007E304A">
        <w:rPr>
          <w:rFonts w:eastAsia="MS Mincho"/>
          <w:b/>
          <w:bCs/>
        </w:rPr>
        <w:t>Option 1</w:t>
      </w:r>
      <w:r w:rsidR="00AB525C" w:rsidRPr="007E304A">
        <w:rPr>
          <w:rFonts w:eastAsia="MS Mincho"/>
          <w:b/>
          <w:bCs/>
        </w:rPr>
        <w:t xml:space="preserve"> </w:t>
      </w:r>
      <w:r w:rsidRPr="007E304A">
        <w:rPr>
          <w:rFonts w:eastAsia="MS Mincho"/>
          <w:b/>
          <w:bCs/>
        </w:rPr>
        <w:t>(a)</w:t>
      </w:r>
      <w:r w:rsidR="00B35F1D" w:rsidRPr="007E304A">
        <w:rPr>
          <w:rFonts w:eastAsia="MS Mincho"/>
          <w:b/>
          <w:bCs/>
        </w:rPr>
        <w:t xml:space="preserve"> </w:t>
      </w:r>
      <w:r w:rsidR="00C1621A" w:rsidRPr="007E304A">
        <w:rPr>
          <w:rFonts w:eastAsia="MS Mincho"/>
          <w:b/>
          <w:bCs/>
        </w:rPr>
        <w:t>(merger)</w:t>
      </w:r>
      <w:r w:rsidRPr="007E304A">
        <w:rPr>
          <w:rFonts w:eastAsia="MS Mincho"/>
          <w:b/>
          <w:bCs/>
        </w:rPr>
        <w:t>:</w:t>
      </w:r>
      <w:r w:rsidRPr="007E304A">
        <w:rPr>
          <w:rFonts w:eastAsia="MS Mincho"/>
        </w:rPr>
        <w:t xml:space="preserve"> Merging the secretariat functions of the Minamata Convention into the secretariat of the Basel, Rotterdam and Stockholm conventions</w:t>
      </w:r>
      <w:r w:rsidR="0032332D" w:rsidRPr="007E304A">
        <w:rPr>
          <w:rFonts w:eastAsia="MS Mincho"/>
        </w:rPr>
        <w:t>,</w:t>
      </w:r>
      <w:r w:rsidRPr="007E304A">
        <w:rPr>
          <w:rFonts w:eastAsia="MS Mincho"/>
        </w:rPr>
        <w:t xml:space="preserve"> utilizing its current structure (</w:t>
      </w:r>
      <w:r w:rsidR="00D40064" w:rsidRPr="007E304A">
        <w:rPr>
          <w:rFonts w:eastAsia="MS Mincho"/>
        </w:rPr>
        <w:t>l</w:t>
      </w:r>
      <w:r w:rsidRPr="007E304A">
        <w:rPr>
          <w:rFonts w:eastAsia="MS Mincho"/>
        </w:rPr>
        <w:t>ocation:</w:t>
      </w:r>
      <w:r w:rsidR="000A1250" w:rsidRPr="007E304A">
        <w:rPr>
          <w:rFonts w:eastAsia="MS Mincho"/>
        </w:rPr>
        <w:t xml:space="preserve"> </w:t>
      </w:r>
      <w:r w:rsidRPr="007E304A">
        <w:rPr>
          <w:rFonts w:eastAsia="MS Mincho"/>
        </w:rPr>
        <w:t>Geneva)</w:t>
      </w:r>
      <w:r w:rsidR="00D40064" w:rsidRPr="007E304A">
        <w:rPr>
          <w:rFonts w:eastAsia="MS Mincho"/>
        </w:rPr>
        <w:t>;</w:t>
      </w:r>
    </w:p>
    <w:p w14:paraId="2EE24BD9" w14:textId="4CF3FFAA" w:rsidR="0041238C" w:rsidRPr="007E304A" w:rsidRDefault="0041238C" w:rsidP="006432A8">
      <w:pPr>
        <w:pStyle w:val="Normalnumber"/>
        <w:numPr>
          <w:ilvl w:val="0"/>
          <w:numId w:val="0"/>
        </w:numPr>
        <w:ind w:left="1247" w:firstLine="624"/>
        <w:rPr>
          <w:rFonts w:eastAsia="MS Mincho"/>
        </w:rPr>
      </w:pPr>
      <w:r w:rsidRPr="007E304A">
        <w:rPr>
          <w:rFonts w:eastAsia="MS Mincho"/>
        </w:rPr>
        <w:t xml:space="preserve">(b) </w:t>
      </w:r>
      <w:r w:rsidRPr="007E304A">
        <w:rPr>
          <w:rFonts w:eastAsia="MS Mincho"/>
        </w:rPr>
        <w:tab/>
      </w:r>
      <w:r w:rsidRPr="007E304A">
        <w:rPr>
          <w:rFonts w:eastAsia="MS Mincho"/>
          <w:b/>
          <w:bCs/>
        </w:rPr>
        <w:t>Option 1</w:t>
      </w:r>
      <w:r w:rsidR="00AB525C" w:rsidRPr="007E304A">
        <w:rPr>
          <w:rFonts w:eastAsia="MS Mincho"/>
          <w:b/>
          <w:bCs/>
        </w:rPr>
        <w:t xml:space="preserve"> </w:t>
      </w:r>
      <w:r w:rsidRPr="007E304A">
        <w:rPr>
          <w:rFonts w:eastAsia="MS Mincho"/>
          <w:b/>
          <w:bCs/>
        </w:rPr>
        <w:t>(b)</w:t>
      </w:r>
      <w:r w:rsidR="007C51DA" w:rsidRPr="007E304A">
        <w:rPr>
          <w:rFonts w:eastAsia="MS Mincho"/>
          <w:b/>
          <w:bCs/>
        </w:rPr>
        <w:t xml:space="preserve"> </w:t>
      </w:r>
      <w:r w:rsidR="00C1621A" w:rsidRPr="007E304A">
        <w:rPr>
          <w:rFonts w:eastAsia="MS Mincho"/>
          <w:b/>
          <w:bCs/>
        </w:rPr>
        <w:t>(branch)</w:t>
      </w:r>
      <w:r w:rsidRPr="007E304A">
        <w:rPr>
          <w:rFonts w:eastAsia="MS Mincho"/>
          <w:b/>
          <w:bCs/>
        </w:rPr>
        <w:t>:</w:t>
      </w:r>
      <w:r w:rsidRPr="007E304A">
        <w:rPr>
          <w:rFonts w:eastAsia="MS Mincho"/>
        </w:rPr>
        <w:t xml:space="preserve"> Merging the secretariat of the Minamata Convention </w:t>
      </w:r>
      <w:r w:rsidR="00A93B63">
        <w:rPr>
          <w:rFonts w:eastAsia="MS Mincho"/>
        </w:rPr>
        <w:t>into</w:t>
      </w:r>
      <w:r w:rsidR="00A93B63" w:rsidRPr="007E304A">
        <w:rPr>
          <w:rFonts w:eastAsia="MS Mincho"/>
        </w:rPr>
        <w:t xml:space="preserve"> </w:t>
      </w:r>
      <w:r w:rsidRPr="007E304A">
        <w:rPr>
          <w:rFonts w:eastAsia="MS Mincho"/>
        </w:rPr>
        <w:t>the secretariat of the Basel, Rotterdam and Stockholm convention</w:t>
      </w:r>
      <w:r w:rsidR="00EB4AF4" w:rsidRPr="007E304A">
        <w:rPr>
          <w:rFonts w:eastAsia="MS Mincho"/>
        </w:rPr>
        <w:t>s</w:t>
      </w:r>
      <w:r w:rsidRPr="007E304A">
        <w:rPr>
          <w:rFonts w:eastAsia="MS Mincho"/>
        </w:rPr>
        <w:t xml:space="preserve"> by creating, in the interim, a Minamata Convention </w:t>
      </w:r>
      <w:r w:rsidR="00F850A6" w:rsidRPr="007E304A">
        <w:rPr>
          <w:rFonts w:eastAsia="MS Mincho"/>
        </w:rPr>
        <w:t>b</w:t>
      </w:r>
      <w:r w:rsidRPr="007E304A">
        <w:rPr>
          <w:rFonts w:eastAsia="MS Mincho"/>
        </w:rPr>
        <w:t>ranch (</w:t>
      </w:r>
      <w:r w:rsidR="00794C7D" w:rsidRPr="007E304A">
        <w:rPr>
          <w:rFonts w:eastAsia="MS Mincho"/>
        </w:rPr>
        <w:t>l</w:t>
      </w:r>
      <w:r w:rsidRPr="007E304A">
        <w:rPr>
          <w:rFonts w:eastAsia="MS Mincho"/>
        </w:rPr>
        <w:t>ocation: Geneva)</w:t>
      </w:r>
      <w:r w:rsidR="00D40064" w:rsidRPr="007E304A">
        <w:rPr>
          <w:rFonts w:eastAsia="MS Mincho"/>
        </w:rPr>
        <w:t>;</w:t>
      </w:r>
    </w:p>
    <w:p w14:paraId="3A8480D3" w14:textId="422FBCFA" w:rsidR="0041238C" w:rsidRPr="007E304A" w:rsidRDefault="0041238C" w:rsidP="006432A8">
      <w:pPr>
        <w:pStyle w:val="Normal-pool"/>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 xml:space="preserve">(c) </w:t>
      </w:r>
      <w:r w:rsidRPr="007E304A">
        <w:rPr>
          <w:rFonts w:eastAsia="MS Mincho"/>
        </w:rPr>
        <w:tab/>
      </w:r>
      <w:r w:rsidRPr="007E304A">
        <w:rPr>
          <w:rFonts w:eastAsia="MS Mincho"/>
          <w:b/>
          <w:bCs/>
        </w:rPr>
        <w:t>Option 2</w:t>
      </w:r>
      <w:r w:rsidR="007C51DA" w:rsidRPr="007E304A">
        <w:rPr>
          <w:rFonts w:eastAsia="MS Mincho"/>
          <w:b/>
          <w:bCs/>
        </w:rPr>
        <w:t xml:space="preserve"> </w:t>
      </w:r>
      <w:r w:rsidR="00C1621A" w:rsidRPr="007E304A">
        <w:rPr>
          <w:rFonts w:eastAsia="MS Mincho"/>
          <w:b/>
          <w:bCs/>
        </w:rPr>
        <w:t>(standalone)</w:t>
      </w:r>
      <w:r w:rsidRPr="007E304A">
        <w:rPr>
          <w:rFonts w:eastAsia="MS Mincho"/>
          <w:b/>
          <w:bCs/>
        </w:rPr>
        <w:t>:</w:t>
      </w:r>
      <w:r w:rsidRPr="007E304A">
        <w:rPr>
          <w:rFonts w:eastAsia="MS Mincho"/>
        </w:rPr>
        <w:t xml:space="preserve"> Establishing </w:t>
      </w:r>
      <w:r w:rsidR="007610B9" w:rsidRPr="007E304A">
        <w:t xml:space="preserve">a </w:t>
      </w:r>
      <w:r w:rsidR="007610B9">
        <w:t>standalone</w:t>
      </w:r>
      <w:r w:rsidR="007610B9" w:rsidRPr="007E304A">
        <w:t xml:space="preserve"> </w:t>
      </w:r>
      <w:r w:rsidRPr="007E304A">
        <w:rPr>
          <w:rFonts w:eastAsia="MS Mincho"/>
        </w:rPr>
        <w:t>secretariat of the Minamata Convention</w:t>
      </w:r>
      <w:r w:rsidR="00DB53EB" w:rsidRPr="007E304A">
        <w:rPr>
          <w:rFonts w:eastAsia="MS Mincho"/>
        </w:rPr>
        <w:t>,</w:t>
      </w:r>
      <w:r w:rsidRPr="007E304A">
        <w:rPr>
          <w:rStyle w:val="FootnoteReference"/>
          <w:rFonts w:eastAsia="MS Mincho"/>
        </w:rPr>
        <w:footnoteReference w:id="4"/>
      </w:r>
      <w:r w:rsidR="00DB53EB" w:rsidRPr="007E304A">
        <w:rPr>
          <w:rFonts w:eastAsia="MS Mincho"/>
        </w:rPr>
        <w:t xml:space="preserve"> </w:t>
      </w:r>
      <w:r w:rsidR="00DB53EB" w:rsidRPr="007E304A">
        <w:t>with the location to be determined on the basis of an analysis of the following UNEP duty stations:</w:t>
      </w:r>
      <w:r w:rsidRPr="007E304A">
        <w:rPr>
          <w:rFonts w:eastAsia="MS Mincho"/>
        </w:rPr>
        <w:t xml:space="preserve"> Bangkok</w:t>
      </w:r>
      <w:r w:rsidR="00086373">
        <w:rPr>
          <w:rFonts w:eastAsia="MS Mincho"/>
        </w:rPr>
        <w:t>;</w:t>
      </w:r>
      <w:r w:rsidRPr="007E304A">
        <w:rPr>
          <w:rFonts w:eastAsia="MS Mincho"/>
        </w:rPr>
        <w:t xml:space="preserve"> Geneva</w:t>
      </w:r>
      <w:r w:rsidR="00086373">
        <w:rPr>
          <w:rFonts w:eastAsia="MS Mincho"/>
        </w:rPr>
        <w:t>;</w:t>
      </w:r>
      <w:r w:rsidRPr="007E304A">
        <w:rPr>
          <w:rFonts w:eastAsia="MS Mincho"/>
        </w:rPr>
        <w:t xml:space="preserve"> Nairobi</w:t>
      </w:r>
      <w:r w:rsidR="00086373">
        <w:rPr>
          <w:rFonts w:eastAsia="MS Mincho"/>
        </w:rPr>
        <w:t>;</w:t>
      </w:r>
      <w:r w:rsidRPr="007E304A">
        <w:rPr>
          <w:rFonts w:eastAsia="MS Mincho"/>
        </w:rPr>
        <w:t xml:space="preserve"> Osaka</w:t>
      </w:r>
      <w:r w:rsidR="00086373">
        <w:rPr>
          <w:rFonts w:eastAsia="MS Mincho"/>
        </w:rPr>
        <w:t>,</w:t>
      </w:r>
      <w:r w:rsidR="00942C1A">
        <w:rPr>
          <w:rFonts w:eastAsia="MS Mincho"/>
        </w:rPr>
        <w:t xml:space="preserve"> Japan</w:t>
      </w:r>
      <w:r w:rsidR="00086373">
        <w:rPr>
          <w:rFonts w:eastAsia="MS Mincho"/>
        </w:rPr>
        <w:t>;</w:t>
      </w:r>
      <w:r w:rsidRPr="007E304A">
        <w:rPr>
          <w:rFonts w:eastAsia="MS Mincho"/>
        </w:rPr>
        <w:t xml:space="preserve"> Vienna</w:t>
      </w:r>
      <w:r w:rsidR="00086373">
        <w:rPr>
          <w:rFonts w:eastAsia="MS Mincho"/>
        </w:rPr>
        <w:t>;</w:t>
      </w:r>
      <w:r w:rsidR="00686033" w:rsidRPr="007E304A">
        <w:rPr>
          <w:rFonts w:eastAsia="MS Mincho"/>
        </w:rPr>
        <w:t xml:space="preserve"> </w:t>
      </w:r>
      <w:r w:rsidRPr="007E304A">
        <w:rPr>
          <w:rFonts w:eastAsia="MS Mincho"/>
        </w:rPr>
        <w:t>Washington</w:t>
      </w:r>
      <w:r w:rsidR="009E64B2" w:rsidRPr="007E304A">
        <w:rPr>
          <w:rFonts w:eastAsia="MS Mincho"/>
        </w:rPr>
        <w:t>,</w:t>
      </w:r>
      <w:r w:rsidR="00686033" w:rsidRPr="007E304A">
        <w:rPr>
          <w:rFonts w:eastAsia="MS Mincho"/>
        </w:rPr>
        <w:t xml:space="preserve"> D.C</w:t>
      </w:r>
      <w:r w:rsidRPr="007E304A">
        <w:rPr>
          <w:rFonts w:eastAsia="MS Mincho"/>
        </w:rPr>
        <w:t xml:space="preserve">. </w:t>
      </w:r>
    </w:p>
    <w:p w14:paraId="24F211E5" w14:textId="3C7189B4" w:rsidR="0041238C" w:rsidRPr="007E304A" w:rsidRDefault="007164BF"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pPr>
      <w:r w:rsidRPr="006432A8">
        <w:t>Section D</w:t>
      </w:r>
      <w:r w:rsidR="00264654" w:rsidRPr="006432A8">
        <w:t xml:space="preserve"> </w:t>
      </w:r>
      <w:r w:rsidR="0041238C" w:rsidRPr="007E304A">
        <w:t>is supported by</w:t>
      </w:r>
      <w:r w:rsidR="00E248DC" w:rsidRPr="007E304A">
        <w:t xml:space="preserve"> three appendices</w:t>
      </w:r>
      <w:r w:rsidR="00F850A6" w:rsidRPr="007E304A">
        <w:t>.</w:t>
      </w:r>
      <w:r w:rsidR="00E248DC" w:rsidRPr="007E304A">
        <w:t xml:space="preserve"> A</w:t>
      </w:r>
      <w:r w:rsidR="0041238C" w:rsidRPr="007E304A">
        <w:t>ppendix II sets out the resources required for option 1</w:t>
      </w:r>
      <w:r w:rsidR="000043CD" w:rsidRPr="007E304A">
        <w:t xml:space="preserve"> </w:t>
      </w:r>
      <w:r w:rsidR="0041238C" w:rsidRPr="007E304A">
        <w:t>(a), option 1</w:t>
      </w:r>
      <w:r w:rsidR="000043CD" w:rsidRPr="007E304A">
        <w:t xml:space="preserve"> </w:t>
      </w:r>
      <w:r w:rsidR="0041238C" w:rsidRPr="007E304A">
        <w:t>(b) and option 2.</w:t>
      </w:r>
      <w:r w:rsidR="00E67A13" w:rsidRPr="007E304A">
        <w:t xml:space="preserve"> </w:t>
      </w:r>
      <w:r w:rsidR="00986B2A" w:rsidRPr="007E304A">
        <w:t>A</w:t>
      </w:r>
      <w:r w:rsidR="0041238C" w:rsidRPr="007E304A">
        <w:t>ppendix III</w:t>
      </w:r>
      <w:r w:rsidR="00F850A6" w:rsidRPr="007E304A">
        <w:t xml:space="preserve"> </w:t>
      </w:r>
      <w:r w:rsidR="0041238C" w:rsidRPr="007E304A">
        <w:t>provides additional information on the structure of the secretariat of the Basel, Rotterdam and Stockholm conventions as context for considering how option 1</w:t>
      </w:r>
      <w:r w:rsidR="00264654" w:rsidRPr="007E304A">
        <w:t xml:space="preserve"> </w:t>
      </w:r>
      <w:r w:rsidR="0041238C" w:rsidRPr="007E304A">
        <w:t>(a)</w:t>
      </w:r>
      <w:r w:rsidR="00616658" w:rsidRPr="007E304A">
        <w:t xml:space="preserve"> </w:t>
      </w:r>
      <w:r w:rsidR="00F850A6" w:rsidRPr="007E304A">
        <w:t>(merger)</w:t>
      </w:r>
      <w:r w:rsidR="0041238C" w:rsidRPr="007E304A">
        <w:t xml:space="preserve"> and </w:t>
      </w:r>
      <w:r w:rsidR="00264654" w:rsidRPr="007E304A">
        <w:t xml:space="preserve">option </w:t>
      </w:r>
      <w:r w:rsidR="0041238C" w:rsidRPr="007E304A">
        <w:t>1</w:t>
      </w:r>
      <w:r w:rsidR="00264654" w:rsidRPr="007E304A">
        <w:t xml:space="preserve"> </w:t>
      </w:r>
      <w:r w:rsidR="0041238C" w:rsidRPr="007E304A">
        <w:t xml:space="preserve">(b) </w:t>
      </w:r>
      <w:r w:rsidR="00F850A6" w:rsidRPr="007E304A">
        <w:t>(branch)</w:t>
      </w:r>
      <w:r w:rsidR="00616658" w:rsidRPr="007E304A">
        <w:t xml:space="preserve"> </w:t>
      </w:r>
      <w:r w:rsidR="0041238C" w:rsidRPr="007E304A">
        <w:t>m</w:t>
      </w:r>
      <w:r w:rsidR="00F850A6" w:rsidRPr="007E304A">
        <w:t>ight</w:t>
      </w:r>
      <w:r w:rsidR="0041238C" w:rsidRPr="007E304A">
        <w:t xml:space="preserve"> look in practice. </w:t>
      </w:r>
      <w:r w:rsidR="00986B2A" w:rsidRPr="007E304A">
        <w:t>A</w:t>
      </w:r>
      <w:r w:rsidR="0041238C" w:rsidRPr="007E304A">
        <w:t xml:space="preserve">ppendix IV sets out how </w:t>
      </w:r>
      <w:r w:rsidR="007610B9" w:rsidRPr="007E304A">
        <w:t xml:space="preserve">a </w:t>
      </w:r>
      <w:r w:rsidR="007610B9">
        <w:t>standalone</w:t>
      </w:r>
      <w:r w:rsidR="0041238C" w:rsidRPr="007E304A">
        <w:t xml:space="preserve"> secretariat</w:t>
      </w:r>
      <w:r w:rsidR="00616658" w:rsidRPr="007E304A">
        <w:t xml:space="preserve">, that is option 2 </w:t>
      </w:r>
      <w:r w:rsidR="00F850A6" w:rsidRPr="007E304A">
        <w:t>(standalone)</w:t>
      </w:r>
      <w:r w:rsidR="00086373">
        <w:t>,</w:t>
      </w:r>
      <w:r w:rsidR="0041238C" w:rsidRPr="007E304A">
        <w:t xml:space="preserve"> m</w:t>
      </w:r>
      <w:r w:rsidR="00F850A6" w:rsidRPr="007E304A">
        <w:t>ight</w:t>
      </w:r>
      <w:r w:rsidR="0041238C" w:rsidRPr="007E304A">
        <w:t xml:space="preserve"> look in practice. </w:t>
      </w:r>
    </w:p>
    <w:p w14:paraId="75A5570E" w14:textId="6ABF0B17"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pPr>
      <w:r w:rsidRPr="007E304A">
        <w:t xml:space="preserve">Throughout </w:t>
      </w:r>
      <w:r w:rsidR="007164BF" w:rsidRPr="007E304A">
        <w:t xml:space="preserve">section </w:t>
      </w:r>
      <w:r w:rsidR="00E248DC" w:rsidRPr="007E304A">
        <w:t>D</w:t>
      </w:r>
      <w:r w:rsidRPr="007E304A">
        <w:t xml:space="preserve">, a note </w:t>
      </w:r>
      <w:r w:rsidR="00986B2A" w:rsidRPr="007E304A">
        <w:t xml:space="preserve">has been </w:t>
      </w:r>
      <w:r w:rsidRPr="007E304A">
        <w:t>made where</w:t>
      </w:r>
      <w:r w:rsidR="007164BF" w:rsidRPr="007E304A">
        <w:t>ver</w:t>
      </w:r>
      <w:r w:rsidRPr="007E304A">
        <w:t xml:space="preserve"> an option has been strengthened or added to from the initial iteration of the </w:t>
      </w:r>
      <w:r w:rsidR="00986B2A" w:rsidRPr="007E304A">
        <w:t xml:space="preserve">report of the </w:t>
      </w:r>
      <w:r w:rsidRPr="007E304A">
        <w:t>Executive Director</w:t>
      </w:r>
      <w:r w:rsidR="00616658" w:rsidRPr="007E304A">
        <w:t>.</w:t>
      </w:r>
      <w:r w:rsidRPr="007E304A">
        <w:t xml:space="preserve"> </w:t>
      </w:r>
    </w:p>
    <w:p w14:paraId="12E900FF" w14:textId="1486315C" w:rsidR="0041238C" w:rsidRPr="007E304A" w:rsidRDefault="0041238C" w:rsidP="0041238C">
      <w:pPr>
        <w:pStyle w:val="CH2"/>
        <w:rPr>
          <w:rFonts w:eastAsia="MS Mincho"/>
        </w:rPr>
      </w:pPr>
      <w:r w:rsidRPr="007E304A">
        <w:rPr>
          <w:rFonts w:eastAsia="MS Mincho"/>
        </w:rPr>
        <w:tab/>
        <w:t>B.</w:t>
      </w:r>
      <w:r w:rsidRPr="007E304A">
        <w:rPr>
          <w:rFonts w:eastAsia="MS Mincho"/>
        </w:rPr>
        <w:tab/>
        <w:t>Functions of the secretariat</w:t>
      </w:r>
    </w:p>
    <w:p w14:paraId="0FD7DF54" w14:textId="77777777"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 xml:space="preserve">As set out in </w:t>
      </w:r>
      <w:r w:rsidRPr="007E304A">
        <w:rPr>
          <w:rFonts w:eastAsia="MS Mincho"/>
        </w:rPr>
        <w:t>article 24 of the Convention text, the functions of the secretariat of the Minamata Convention are:</w:t>
      </w:r>
    </w:p>
    <w:p w14:paraId="679F55D5" w14:textId="77777777" w:rsidR="0041238C" w:rsidRPr="007E304A" w:rsidRDefault="0041238C" w:rsidP="006432A8">
      <w:pPr>
        <w:pStyle w:val="Normalnumber"/>
        <w:numPr>
          <w:ilvl w:val="1"/>
          <w:numId w:val="74"/>
        </w:numPr>
        <w:ind w:left="1247" w:firstLine="624"/>
        <w:rPr>
          <w:rFonts w:eastAsia="MS Mincho"/>
        </w:rPr>
      </w:pPr>
      <w:r w:rsidRPr="007E304A">
        <w:rPr>
          <w:rFonts w:eastAsia="MS Mincho"/>
        </w:rPr>
        <w:t>To make arrangements for meetings of the Conference of the Parties and its subsidiary bodies and to provide them with services as required;</w:t>
      </w:r>
    </w:p>
    <w:p w14:paraId="66ACAEAF" w14:textId="77777777" w:rsidR="0041238C" w:rsidRPr="007E304A" w:rsidRDefault="0041238C" w:rsidP="006432A8">
      <w:pPr>
        <w:pStyle w:val="Normalnumber"/>
        <w:numPr>
          <w:ilvl w:val="1"/>
          <w:numId w:val="74"/>
        </w:numPr>
        <w:ind w:left="1247" w:firstLine="624"/>
        <w:rPr>
          <w:rFonts w:eastAsia="MS Mincho"/>
        </w:rPr>
      </w:pPr>
      <w:r w:rsidRPr="007E304A">
        <w:rPr>
          <w:rFonts w:eastAsia="MS Mincho"/>
        </w:rPr>
        <w:t>To facilitate assistance to parties, particularly developing country parties and parties with economies in transition, on request, in the implementation of the Convention;</w:t>
      </w:r>
    </w:p>
    <w:p w14:paraId="09B65568" w14:textId="77777777" w:rsidR="0041238C" w:rsidRPr="007E304A" w:rsidRDefault="0041238C" w:rsidP="006432A8">
      <w:pPr>
        <w:pStyle w:val="Normalnumber"/>
        <w:numPr>
          <w:ilvl w:val="1"/>
          <w:numId w:val="74"/>
        </w:numPr>
        <w:ind w:left="1247" w:firstLine="624"/>
        <w:rPr>
          <w:rFonts w:eastAsia="MS Mincho"/>
        </w:rPr>
      </w:pPr>
      <w:r w:rsidRPr="007E304A">
        <w:rPr>
          <w:rFonts w:eastAsia="MS Mincho"/>
        </w:rPr>
        <w:t>To coordinate, as appropriate, with the secretariats of relevant international bodies, particularly other chemicals and waste conventions;</w:t>
      </w:r>
    </w:p>
    <w:p w14:paraId="32F7247D" w14:textId="77777777" w:rsidR="0041238C" w:rsidRPr="007E304A" w:rsidRDefault="0041238C" w:rsidP="006432A8">
      <w:pPr>
        <w:pStyle w:val="Normalnumber"/>
        <w:numPr>
          <w:ilvl w:val="1"/>
          <w:numId w:val="74"/>
        </w:numPr>
        <w:ind w:left="1247" w:firstLine="624"/>
        <w:rPr>
          <w:rFonts w:eastAsia="MS Mincho"/>
        </w:rPr>
      </w:pPr>
      <w:r w:rsidRPr="007E304A">
        <w:rPr>
          <w:rFonts w:eastAsia="MS Mincho"/>
        </w:rPr>
        <w:t>To assist parties in the exchange of information related to the implementation of the Convention;</w:t>
      </w:r>
    </w:p>
    <w:p w14:paraId="4E3FA19B" w14:textId="5921119B" w:rsidR="0041238C" w:rsidRPr="007E304A" w:rsidRDefault="0041238C" w:rsidP="006432A8">
      <w:pPr>
        <w:pStyle w:val="Normalnumber"/>
        <w:numPr>
          <w:ilvl w:val="1"/>
          <w:numId w:val="74"/>
        </w:numPr>
        <w:ind w:left="1247" w:firstLine="624"/>
        <w:rPr>
          <w:rFonts w:eastAsia="MS Mincho"/>
        </w:rPr>
      </w:pPr>
      <w:r w:rsidRPr="007E304A">
        <w:rPr>
          <w:rFonts w:eastAsia="MS Mincho"/>
        </w:rPr>
        <w:t xml:space="preserve">To prepare and make available to the parties periodic reports </w:t>
      </w:r>
      <w:r w:rsidR="006C2CFE" w:rsidRPr="007E304A">
        <w:rPr>
          <w:rFonts w:eastAsia="MS Mincho"/>
        </w:rPr>
        <w:t>on the basis of</w:t>
      </w:r>
      <w:r w:rsidRPr="007E304A">
        <w:rPr>
          <w:rFonts w:eastAsia="MS Mincho"/>
        </w:rPr>
        <w:t xml:space="preserve"> information received pursuant to articles 15 and 21 and other available information;</w:t>
      </w:r>
    </w:p>
    <w:p w14:paraId="7A279B1C" w14:textId="64AD57B3" w:rsidR="0041238C" w:rsidRPr="007E304A" w:rsidRDefault="0041238C" w:rsidP="006432A8">
      <w:pPr>
        <w:pStyle w:val="Normalnumber"/>
        <w:numPr>
          <w:ilvl w:val="1"/>
          <w:numId w:val="74"/>
        </w:numPr>
        <w:ind w:left="1247" w:firstLine="624"/>
        <w:rPr>
          <w:rFonts w:eastAsia="MS Mincho"/>
        </w:rPr>
      </w:pPr>
      <w:r w:rsidRPr="007E304A">
        <w:rPr>
          <w:rFonts w:eastAsia="MS Mincho"/>
        </w:rPr>
        <w:t>To enter, under the overall guidance of the Conference of the Parties, into such administrative and contractual arrangements as may be required for the effective discharge of its functions;</w:t>
      </w:r>
    </w:p>
    <w:p w14:paraId="5C767F46" w14:textId="77777777" w:rsidR="0041238C" w:rsidRPr="007E304A" w:rsidRDefault="0041238C" w:rsidP="006432A8">
      <w:pPr>
        <w:pStyle w:val="Normalnumber"/>
        <w:numPr>
          <w:ilvl w:val="1"/>
          <w:numId w:val="74"/>
        </w:numPr>
        <w:ind w:left="1247" w:firstLine="624"/>
        <w:rPr>
          <w:kern w:val="1"/>
        </w:rPr>
      </w:pPr>
      <w:r w:rsidRPr="007E304A">
        <w:rPr>
          <w:rFonts w:eastAsia="MS Mincho"/>
        </w:rPr>
        <w:t>To perform the other secretariat functions specified in the Convention and such other functions as may be determined by</w:t>
      </w:r>
      <w:r w:rsidRPr="007E304A">
        <w:rPr>
          <w:kern w:val="1"/>
        </w:rPr>
        <w:t xml:space="preserve"> the Conference of the Parties.</w:t>
      </w:r>
    </w:p>
    <w:p w14:paraId="6D9E66B0" w14:textId="36AAF186" w:rsidR="0041238C" w:rsidRPr="00F86035"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In considering how the functions of the </w:t>
      </w:r>
      <w:r w:rsidRPr="0092722D">
        <w:rPr>
          <w:rFonts w:eastAsia="MS Mincho"/>
        </w:rPr>
        <w:t>permanent secretariat</w:t>
      </w:r>
      <w:r w:rsidRPr="007E304A">
        <w:rPr>
          <w:rFonts w:eastAsia="MS Mincho"/>
        </w:rPr>
        <w:t xml:space="preserve"> are to be performed by the Executive Director of </w:t>
      </w:r>
      <w:r w:rsidR="00116451" w:rsidRPr="007E304A">
        <w:rPr>
          <w:rFonts w:eastAsia="MS Mincho"/>
        </w:rPr>
        <w:t>UNEP</w:t>
      </w:r>
      <w:r w:rsidRPr="007E304A">
        <w:rPr>
          <w:rFonts w:eastAsia="MS Mincho"/>
        </w:rPr>
        <w:t>, the anticipated requirements of the Convention</w:t>
      </w:r>
      <w:r w:rsidR="007164BF" w:rsidRPr="007E304A">
        <w:rPr>
          <w:rFonts w:eastAsia="MS Mincho"/>
        </w:rPr>
        <w:t xml:space="preserve"> secretariat</w:t>
      </w:r>
      <w:r w:rsidRPr="007E304A">
        <w:rPr>
          <w:rFonts w:eastAsia="MS Mincho"/>
        </w:rPr>
        <w:t xml:space="preserve"> are used as a basis. A narrative of </w:t>
      </w:r>
      <w:r w:rsidR="00954083" w:rsidRPr="007E304A">
        <w:rPr>
          <w:rFonts w:eastAsia="MS Mincho"/>
        </w:rPr>
        <w:t xml:space="preserve">those </w:t>
      </w:r>
      <w:r w:rsidRPr="007E304A">
        <w:rPr>
          <w:rFonts w:eastAsia="MS Mincho"/>
        </w:rPr>
        <w:t>requirements is included</w:t>
      </w:r>
      <w:r w:rsidR="00F850A6" w:rsidRPr="007E304A">
        <w:rPr>
          <w:rFonts w:eastAsia="MS Mincho"/>
        </w:rPr>
        <w:t xml:space="preserve"> in </w:t>
      </w:r>
      <w:r w:rsidRPr="007E304A">
        <w:rPr>
          <w:rFonts w:eastAsia="MS Mincho"/>
        </w:rPr>
        <w:t xml:space="preserve">appendix I to </w:t>
      </w:r>
      <w:r w:rsidR="00954083" w:rsidRPr="007E304A">
        <w:rPr>
          <w:rFonts w:eastAsia="MS Mincho"/>
        </w:rPr>
        <w:t xml:space="preserve">the present </w:t>
      </w:r>
      <w:r w:rsidRPr="007E304A">
        <w:rPr>
          <w:rFonts w:eastAsia="MS Mincho"/>
        </w:rPr>
        <w:t xml:space="preserve">note. </w:t>
      </w:r>
      <w:r w:rsidR="005E2CC3" w:rsidRPr="007E304A">
        <w:rPr>
          <w:rFonts w:eastAsia="MS Mincho"/>
        </w:rPr>
        <w:t>Furthermore</w:t>
      </w:r>
      <w:r w:rsidRPr="007E304A">
        <w:rPr>
          <w:rFonts w:eastAsia="MS Mincho"/>
        </w:rPr>
        <w:t xml:space="preserve">, consideration was also given to how the interim secretariat has supported the </w:t>
      </w:r>
      <w:r w:rsidR="00D40064" w:rsidRPr="007E304A">
        <w:t xml:space="preserve">intergovernmental negotiating </w:t>
      </w:r>
      <w:r w:rsidR="00570988" w:rsidRPr="007E304A">
        <w:t>committee</w:t>
      </w:r>
      <w:r w:rsidR="00954083" w:rsidRPr="007E304A">
        <w:rPr>
          <w:rFonts w:eastAsia="MS Mincho"/>
        </w:rPr>
        <w:t>.</w:t>
      </w:r>
      <w:r w:rsidRPr="007E304A">
        <w:rPr>
          <w:rStyle w:val="FootnoteReference"/>
        </w:rPr>
        <w:footnoteReference w:id="5"/>
      </w:r>
      <w:r w:rsidRPr="007E304A">
        <w:rPr>
          <w:rFonts w:eastAsia="MS Mincho"/>
        </w:rPr>
        <w:t xml:space="preserve"> </w:t>
      </w:r>
      <w:r w:rsidR="00F850A6" w:rsidRPr="007E304A">
        <w:t>In addition</w:t>
      </w:r>
      <w:r w:rsidR="005E2CC3" w:rsidRPr="007E304A">
        <w:t xml:space="preserve">, </w:t>
      </w:r>
      <w:r w:rsidR="00F850A6" w:rsidRPr="007E304A">
        <w:t xml:space="preserve">the </w:t>
      </w:r>
      <w:r w:rsidR="00570988" w:rsidRPr="007E304A">
        <w:t xml:space="preserve">synergies </w:t>
      </w:r>
      <w:r w:rsidRPr="007E304A">
        <w:t xml:space="preserve">experiences of </w:t>
      </w:r>
      <w:r w:rsidR="0021601B" w:rsidRPr="007E304A">
        <w:t xml:space="preserve">the </w:t>
      </w:r>
      <w:r w:rsidRPr="007E304A">
        <w:t>Basel, Rotterdam and Stockholm conventions</w:t>
      </w:r>
      <w:r w:rsidR="005E2CC3" w:rsidRPr="007E304A">
        <w:t xml:space="preserve"> were taken into account</w:t>
      </w:r>
      <w:r w:rsidRPr="007E304A">
        <w:t xml:space="preserve">. </w:t>
      </w:r>
      <w:r w:rsidRPr="00F86035">
        <w:t>For th</w:t>
      </w:r>
      <w:r w:rsidR="00111B19" w:rsidRPr="00F86035">
        <w:t>o</w:t>
      </w:r>
      <w:r w:rsidRPr="00F86035">
        <w:t xml:space="preserve">se conventions, </w:t>
      </w:r>
      <w:r w:rsidR="0021601B" w:rsidRPr="00F86035">
        <w:t xml:space="preserve">since 2012 </w:t>
      </w:r>
      <w:r w:rsidRPr="00F86035">
        <w:t xml:space="preserve">the respective secretariat functions </w:t>
      </w:r>
      <w:r w:rsidR="0021601B" w:rsidRPr="00F86035">
        <w:t>have been</w:t>
      </w:r>
      <w:r w:rsidRPr="00F86035">
        <w:t xml:space="preserve"> under the joint management of one Executive Secretary</w:t>
      </w:r>
      <w:r w:rsidR="0021601B" w:rsidRPr="00F86035">
        <w:t>,</w:t>
      </w:r>
      <w:r w:rsidRPr="00F86035">
        <w:t xml:space="preserve"> </w:t>
      </w:r>
      <w:r w:rsidR="00102AC6" w:rsidRPr="00F86035">
        <w:t>according to which</w:t>
      </w:r>
      <w:r w:rsidR="00081E8E" w:rsidRPr="00F86035">
        <w:t xml:space="preserve"> </w:t>
      </w:r>
      <w:r w:rsidR="005E2CC3" w:rsidRPr="00F86035">
        <w:t xml:space="preserve">one </w:t>
      </w:r>
      <w:r w:rsidR="0021601B" w:rsidRPr="00F86035">
        <w:t>s</w:t>
      </w:r>
      <w:r w:rsidRPr="00F86035">
        <w:t>ecretariat serves the three conventions while respecting the legal</w:t>
      </w:r>
      <w:r w:rsidR="00F86035" w:rsidRPr="001664EC">
        <w:t>ly</w:t>
      </w:r>
      <w:r w:rsidRPr="00F86035">
        <w:t xml:space="preserve"> autonomous nature of each convention. </w:t>
      </w:r>
    </w:p>
    <w:p w14:paraId="70D64FF1" w14:textId="77777777" w:rsidR="0041238C" w:rsidRPr="007E304A" w:rsidRDefault="0041238C" w:rsidP="0041238C">
      <w:pPr>
        <w:pStyle w:val="CH2"/>
        <w:rPr>
          <w:rFonts w:eastAsia="MS Mincho"/>
        </w:rPr>
      </w:pPr>
      <w:r w:rsidRPr="00F86035">
        <w:rPr>
          <w:rFonts w:eastAsia="MS Mincho"/>
        </w:rPr>
        <w:tab/>
        <w:t>C.</w:t>
      </w:r>
      <w:r w:rsidRPr="00F86035">
        <w:rPr>
          <w:rFonts w:eastAsia="MS Mincho"/>
        </w:rPr>
        <w:tab/>
        <w:t>Factors to be considered in the analysis</w:t>
      </w:r>
      <w:r w:rsidRPr="007E304A">
        <w:rPr>
          <w:rFonts w:eastAsia="MS Mincho"/>
        </w:rPr>
        <w:t xml:space="preserve"> of options on how to perform the functions of the permanent secretariat of the Minamata Convention</w:t>
      </w:r>
    </w:p>
    <w:p w14:paraId="68C5C0DE" w14:textId="31F72543" w:rsidR="0041238C" w:rsidRPr="007E304A" w:rsidRDefault="0021601B"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 xml:space="preserve">In paragraph 9 of </w:t>
      </w:r>
      <w:r w:rsidR="000750AB" w:rsidRPr="007E304A">
        <w:t xml:space="preserve">its </w:t>
      </w:r>
      <w:r w:rsidRPr="007E304A">
        <w:t xml:space="preserve">resolution </w:t>
      </w:r>
      <w:r w:rsidR="000750AB" w:rsidRPr="007E304A">
        <w:t>on arrangements in the interim period</w:t>
      </w:r>
      <w:r w:rsidRPr="007E304A">
        <w:t>, t</w:t>
      </w:r>
      <w:r w:rsidR="0041238C" w:rsidRPr="007E304A">
        <w:t xml:space="preserve">he Conference of Plenipotentiaries on the Minamata Convention requested the Executive Director </w:t>
      </w:r>
      <w:r w:rsidR="0041238C" w:rsidRPr="007E304A">
        <w:rPr>
          <w:rFonts w:eastAsia="MS Mincho"/>
        </w:rPr>
        <w:t xml:space="preserve">to </w:t>
      </w:r>
      <w:r w:rsidR="002724CD" w:rsidRPr="007E304A">
        <w:rPr>
          <w:rFonts w:eastAsia="MS Mincho"/>
        </w:rPr>
        <w:t>present</w:t>
      </w:r>
      <w:r w:rsidR="00FB4979" w:rsidRPr="007E304A">
        <w:rPr>
          <w:rFonts w:eastAsia="MS Mincho"/>
        </w:rPr>
        <w:t>,</w:t>
      </w:r>
      <w:r w:rsidR="002724CD" w:rsidRPr="007E304A">
        <w:rPr>
          <w:rFonts w:eastAsia="MS Mincho"/>
        </w:rPr>
        <w:t xml:space="preserve"> and the intergovernmental negotiating committee to </w:t>
      </w:r>
      <w:r w:rsidR="0041238C" w:rsidRPr="007E304A">
        <w:rPr>
          <w:rFonts w:eastAsia="MS Mincho"/>
        </w:rPr>
        <w:t>consider</w:t>
      </w:r>
      <w:r w:rsidR="00FB4979" w:rsidRPr="007E304A">
        <w:rPr>
          <w:rFonts w:eastAsia="MS Mincho"/>
        </w:rPr>
        <w:t>,</w:t>
      </w:r>
      <w:r w:rsidR="0041238C" w:rsidRPr="007E304A">
        <w:rPr>
          <w:rFonts w:eastAsia="MS Mincho"/>
        </w:rPr>
        <w:t xml:space="preserve"> </w:t>
      </w:r>
      <w:r w:rsidR="000750AB" w:rsidRPr="007E304A">
        <w:rPr>
          <w:rFonts w:eastAsia="MS Mincho"/>
        </w:rPr>
        <w:t xml:space="preserve">a </w:t>
      </w:r>
      <w:r w:rsidR="0041238C" w:rsidRPr="007E304A">
        <w:rPr>
          <w:rFonts w:eastAsia="MS Mincho"/>
        </w:rPr>
        <w:t xml:space="preserve">report on proposals on how he </w:t>
      </w:r>
      <w:r w:rsidR="00B34B9C" w:rsidRPr="007E304A">
        <w:rPr>
          <w:rFonts w:eastAsia="MS Mincho"/>
        </w:rPr>
        <w:t xml:space="preserve">or she </w:t>
      </w:r>
      <w:r w:rsidR="0041238C" w:rsidRPr="007E304A">
        <w:rPr>
          <w:rFonts w:eastAsia="MS Mincho"/>
        </w:rPr>
        <w:t xml:space="preserve">would perform the functions of the permanent secretariat, </w:t>
      </w:r>
      <w:r w:rsidR="000750AB" w:rsidRPr="007E304A">
        <w:rPr>
          <w:rFonts w:eastAsia="MS Mincho"/>
        </w:rPr>
        <w:t>including an analysis of options addressing the following factors</w:t>
      </w:r>
      <w:r w:rsidR="0041238C" w:rsidRPr="007E304A">
        <w:rPr>
          <w:rFonts w:eastAsia="MS Mincho"/>
        </w:rPr>
        <w:t xml:space="preserve">: </w:t>
      </w:r>
    </w:p>
    <w:p w14:paraId="0584E948" w14:textId="3FF47FEB" w:rsidR="0041238C" w:rsidRPr="007E304A" w:rsidRDefault="0041238C"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 xml:space="preserve">Effectiveness; </w:t>
      </w:r>
    </w:p>
    <w:p w14:paraId="56F62075" w14:textId="77777777" w:rsidR="0041238C" w:rsidRPr="007E304A" w:rsidRDefault="0041238C"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Cost-benefit;</w:t>
      </w:r>
    </w:p>
    <w:p w14:paraId="3B481646" w14:textId="77777777" w:rsidR="0041238C" w:rsidRPr="007E304A" w:rsidRDefault="0041238C"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Different locations for the secretariat;</w:t>
      </w:r>
    </w:p>
    <w:p w14:paraId="578B593D" w14:textId="3CFF2B1C" w:rsidR="0041238C" w:rsidRPr="007E304A" w:rsidRDefault="0041238C"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 xml:space="preserve">Merging the secretariat with the secretariat of the Basel, Rotterdam and Stockholm </w:t>
      </w:r>
      <w:r w:rsidR="000750AB" w:rsidRPr="007E304A">
        <w:rPr>
          <w:rFonts w:eastAsia="MS Mincho"/>
        </w:rPr>
        <w:t>c</w:t>
      </w:r>
      <w:r w:rsidRPr="007E304A">
        <w:rPr>
          <w:rFonts w:eastAsia="MS Mincho"/>
        </w:rPr>
        <w:t>onvention</w:t>
      </w:r>
      <w:r w:rsidR="000750AB" w:rsidRPr="007E304A">
        <w:rPr>
          <w:rFonts w:eastAsia="MS Mincho"/>
        </w:rPr>
        <w:t>s</w:t>
      </w:r>
      <w:r w:rsidRPr="007E304A">
        <w:rPr>
          <w:rFonts w:eastAsia="MS Mincho"/>
        </w:rPr>
        <w:t>;</w:t>
      </w:r>
    </w:p>
    <w:p w14:paraId="17EB62E3" w14:textId="77777777" w:rsidR="0041238C" w:rsidRPr="007E304A" w:rsidRDefault="0041238C"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Utilizing the interim secretariat.</w:t>
      </w:r>
    </w:p>
    <w:p w14:paraId="3C3D5D41" w14:textId="57007BAB"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An analysis of the effectiveness </w:t>
      </w:r>
      <w:r w:rsidRPr="00212427">
        <w:rPr>
          <w:rFonts w:eastAsia="MS Mincho"/>
        </w:rPr>
        <w:t>of the secretariat</w:t>
      </w:r>
      <w:r w:rsidRPr="007E304A">
        <w:rPr>
          <w:rFonts w:eastAsia="MS Mincho"/>
        </w:rPr>
        <w:t xml:space="preserve"> arrangement options is to take into consideration the </w:t>
      </w:r>
      <w:r w:rsidR="00B34B9C" w:rsidRPr="007E304A">
        <w:rPr>
          <w:rFonts w:eastAsia="MS Mincho"/>
        </w:rPr>
        <w:t xml:space="preserve">ability of the </w:t>
      </w:r>
      <w:r w:rsidRPr="007E304A">
        <w:rPr>
          <w:rFonts w:eastAsia="MS Mincho"/>
        </w:rPr>
        <w:t xml:space="preserve">secretariat structure, in a variety of scenarios, to be responsive to the needs of parties in </w:t>
      </w:r>
      <w:r w:rsidR="00B34B9C" w:rsidRPr="007E304A">
        <w:t>accordance</w:t>
      </w:r>
      <w:r w:rsidR="00B34B9C" w:rsidRPr="007E304A">
        <w:rPr>
          <w:rFonts w:eastAsia="MS Mincho"/>
        </w:rPr>
        <w:t xml:space="preserve"> </w:t>
      </w:r>
      <w:r w:rsidRPr="007E304A">
        <w:rPr>
          <w:rFonts w:eastAsia="MS Mincho"/>
        </w:rPr>
        <w:t xml:space="preserve">with </w:t>
      </w:r>
      <w:r w:rsidRPr="007E304A">
        <w:t>the</w:t>
      </w:r>
      <w:r w:rsidRPr="007E304A">
        <w:rPr>
          <w:rFonts w:eastAsia="MS Mincho"/>
        </w:rPr>
        <w:t xml:space="preserve"> Convention text and to deliver its functions </w:t>
      </w:r>
      <w:r w:rsidR="00B34B9C" w:rsidRPr="007E304A">
        <w:rPr>
          <w:rFonts w:eastAsia="MS Mincho"/>
        </w:rPr>
        <w:t>in line with</w:t>
      </w:r>
      <w:r w:rsidRPr="007E304A">
        <w:rPr>
          <w:rFonts w:eastAsia="MS Mincho"/>
        </w:rPr>
        <w:t xml:space="preserve"> article</w:t>
      </w:r>
      <w:r w:rsidR="00AC07B2">
        <w:rPr>
          <w:rFonts w:eastAsia="MS Mincho"/>
        </w:rPr>
        <w:t> </w:t>
      </w:r>
      <w:r w:rsidRPr="007E304A">
        <w:rPr>
          <w:rFonts w:eastAsia="MS Mincho"/>
        </w:rPr>
        <w:t>24. In considering the effectiveness of the secretariat arrangement options, relevant cooperation and coordination with other actors in the chemicals and waste cluster is also considered.</w:t>
      </w:r>
    </w:p>
    <w:p w14:paraId="192F68B2" w14:textId="77777777"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In terms </w:t>
      </w:r>
      <w:r w:rsidRPr="006432A8">
        <w:t>of</w:t>
      </w:r>
      <w:r w:rsidRPr="007E304A">
        <w:rPr>
          <w:rFonts w:eastAsia="MS Mincho"/>
        </w:rPr>
        <w:t xml:space="preserve"> the cost-benefit of the secretariat arrangement options, consideration is given to the staffing cost </w:t>
      </w:r>
      <w:r w:rsidRPr="007E304A">
        <w:t>implications</w:t>
      </w:r>
      <w:r w:rsidRPr="007E304A">
        <w:rPr>
          <w:rFonts w:eastAsia="MS Mincho"/>
        </w:rPr>
        <w:t xml:space="preserve"> of each of the options, as well as the potential benefits of each option. </w:t>
      </w:r>
    </w:p>
    <w:p w14:paraId="4AD04596" w14:textId="6ABC91C9" w:rsidR="0041238C" w:rsidRPr="007E304A" w:rsidRDefault="000B6DE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With regard to the</w:t>
      </w:r>
      <w:r w:rsidR="00B34B9C" w:rsidRPr="007E304A">
        <w:t xml:space="preserve"> </w:t>
      </w:r>
      <w:r w:rsidR="0041238C" w:rsidRPr="007E304A">
        <w:t xml:space="preserve">locations for the permanent secretariat, in </w:t>
      </w:r>
      <w:r w:rsidR="005E2CC3" w:rsidRPr="007E304A">
        <w:t xml:space="preserve">the initial report by the Executive Director </w:t>
      </w:r>
      <w:r w:rsidR="0041238C" w:rsidRPr="007E304A">
        <w:rPr>
          <w:rFonts w:eastAsia="MS Mincho"/>
        </w:rPr>
        <w:t xml:space="preserve">six locations </w:t>
      </w:r>
      <w:r w:rsidR="003653D9" w:rsidRPr="007E304A">
        <w:rPr>
          <w:rFonts w:eastAsia="MS Mincho"/>
        </w:rPr>
        <w:t>(Bangkok, Geneva, Nairobi, Osaka, Vienna and Washington</w:t>
      </w:r>
      <w:r w:rsidR="009E64B2" w:rsidRPr="007E304A">
        <w:rPr>
          <w:rFonts w:eastAsia="MS Mincho"/>
        </w:rPr>
        <w:t>,</w:t>
      </w:r>
      <w:r w:rsidR="00686033" w:rsidRPr="007E304A">
        <w:rPr>
          <w:rFonts w:eastAsia="MS Mincho"/>
        </w:rPr>
        <w:t xml:space="preserve"> D.C.</w:t>
      </w:r>
      <w:r w:rsidR="003653D9" w:rsidRPr="007E304A">
        <w:rPr>
          <w:rFonts w:eastAsia="MS Mincho"/>
        </w:rPr>
        <w:t xml:space="preserve">) </w:t>
      </w:r>
      <w:r w:rsidR="0041238C" w:rsidRPr="007E304A">
        <w:rPr>
          <w:rFonts w:eastAsia="MS Mincho"/>
        </w:rPr>
        <w:t xml:space="preserve">were </w:t>
      </w:r>
      <w:r w:rsidR="0041238C" w:rsidRPr="007E304A">
        <w:t>proposed</w:t>
      </w:r>
      <w:r w:rsidR="0041238C" w:rsidRPr="007E304A">
        <w:rPr>
          <w:rFonts w:eastAsia="MS Mincho"/>
        </w:rPr>
        <w:t xml:space="preserve"> in the case of </w:t>
      </w:r>
      <w:r w:rsidR="007610B9" w:rsidRPr="007E304A">
        <w:t xml:space="preserve">a </w:t>
      </w:r>
      <w:r w:rsidR="007610B9">
        <w:t>standalone</w:t>
      </w:r>
      <w:r w:rsidR="007610B9" w:rsidRPr="007E304A">
        <w:t xml:space="preserve"> </w:t>
      </w:r>
      <w:r w:rsidR="0041238C" w:rsidRPr="007E304A">
        <w:rPr>
          <w:rFonts w:eastAsia="MS Mincho"/>
        </w:rPr>
        <w:t xml:space="preserve">secretariat being established. The locations were </w:t>
      </w:r>
      <w:r w:rsidR="005E2CC3" w:rsidRPr="007E304A">
        <w:rPr>
          <w:rFonts w:eastAsia="MS Mincho"/>
        </w:rPr>
        <w:t>based on</w:t>
      </w:r>
      <w:r w:rsidR="0041238C" w:rsidRPr="007E304A">
        <w:rPr>
          <w:rFonts w:eastAsia="MS Mincho"/>
        </w:rPr>
        <w:t xml:space="preserve"> two factors: the opportunity presented for cooperation and coordination on a substantive level with other parts of </w:t>
      </w:r>
      <w:r w:rsidR="00116451" w:rsidRPr="007E304A">
        <w:rPr>
          <w:rFonts w:eastAsia="MS Mincho"/>
        </w:rPr>
        <w:t>UNEP</w:t>
      </w:r>
      <w:r w:rsidR="0041238C" w:rsidRPr="007E304A">
        <w:rPr>
          <w:rFonts w:eastAsia="MS Mincho"/>
        </w:rPr>
        <w:t xml:space="preserve"> or </w:t>
      </w:r>
      <w:r w:rsidR="00102AC6" w:rsidRPr="007E304A">
        <w:rPr>
          <w:rFonts w:eastAsia="MS Mincho"/>
        </w:rPr>
        <w:t xml:space="preserve">with </w:t>
      </w:r>
      <w:r w:rsidR="0041238C" w:rsidRPr="007E304A">
        <w:rPr>
          <w:rFonts w:eastAsia="MS Mincho"/>
        </w:rPr>
        <w:t>other entities and organizations that are directly involved in activities relating to the implementation of the Minamata Convention</w:t>
      </w:r>
      <w:r w:rsidR="005E2CC3" w:rsidRPr="007E304A">
        <w:rPr>
          <w:rFonts w:eastAsia="MS Mincho"/>
        </w:rPr>
        <w:t xml:space="preserve"> at that location</w:t>
      </w:r>
      <w:r w:rsidR="00102AC6" w:rsidRPr="007E304A">
        <w:rPr>
          <w:rFonts w:eastAsia="MS Mincho"/>
        </w:rPr>
        <w:t>; and</w:t>
      </w:r>
      <w:r w:rsidR="00021198" w:rsidRPr="007E304A">
        <w:rPr>
          <w:rFonts w:eastAsia="MS Mincho"/>
        </w:rPr>
        <w:t xml:space="preserve"> </w:t>
      </w:r>
      <w:r w:rsidR="0041238C" w:rsidRPr="007E304A">
        <w:rPr>
          <w:rFonts w:eastAsia="MS Mincho"/>
        </w:rPr>
        <w:t>the administrative, logistical and operational support</w:t>
      </w:r>
      <w:r w:rsidR="005E2CC3" w:rsidRPr="007E304A">
        <w:rPr>
          <w:rFonts w:eastAsia="MS Mincho"/>
        </w:rPr>
        <w:t xml:space="preserve"> available and a consideration of their </w:t>
      </w:r>
      <w:r w:rsidR="0041238C" w:rsidRPr="007E304A">
        <w:rPr>
          <w:rFonts w:eastAsia="MS Mincho"/>
        </w:rPr>
        <w:t xml:space="preserve">relative costs. </w:t>
      </w:r>
      <w:r w:rsidR="00116451" w:rsidRPr="007E304A">
        <w:rPr>
          <w:rFonts w:eastAsia="MS Mincho"/>
        </w:rPr>
        <w:t>UNEP</w:t>
      </w:r>
      <w:r w:rsidR="0041238C" w:rsidRPr="007E304A">
        <w:rPr>
          <w:rFonts w:eastAsia="MS Mincho"/>
        </w:rPr>
        <w:t xml:space="preserve"> presently has offices in each of the six proposed locations, as well as host country agreement arrangements in place </w:t>
      </w:r>
      <w:r w:rsidR="005E2CC3" w:rsidRPr="007E304A">
        <w:rPr>
          <w:rFonts w:eastAsia="MS Mincho"/>
        </w:rPr>
        <w:t>at</w:t>
      </w:r>
      <w:r w:rsidR="0041238C" w:rsidRPr="007E304A">
        <w:rPr>
          <w:rFonts w:eastAsia="MS Mincho"/>
        </w:rPr>
        <w:t xml:space="preserve"> the </w:t>
      </w:r>
      <w:r w:rsidR="005E2CC3" w:rsidRPr="007E304A">
        <w:rPr>
          <w:rFonts w:eastAsia="MS Mincho"/>
        </w:rPr>
        <w:t xml:space="preserve">proposed </w:t>
      </w:r>
      <w:r w:rsidR="0041238C" w:rsidRPr="007E304A">
        <w:rPr>
          <w:rFonts w:eastAsia="MS Mincho"/>
        </w:rPr>
        <w:t>location</w:t>
      </w:r>
      <w:r w:rsidR="00102AC6" w:rsidRPr="007E304A">
        <w:rPr>
          <w:rFonts w:eastAsia="MS Mincho"/>
        </w:rPr>
        <w:t>s</w:t>
      </w:r>
      <w:r w:rsidR="0041238C" w:rsidRPr="007E304A">
        <w:rPr>
          <w:rFonts w:eastAsia="MS Mincho"/>
        </w:rPr>
        <w:t xml:space="preserve">. </w:t>
      </w:r>
    </w:p>
    <w:p w14:paraId="330A6BED" w14:textId="48952EBB" w:rsidR="0041238C" w:rsidRPr="007E304A" w:rsidRDefault="000B6DE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 xml:space="preserve">With regard to </w:t>
      </w:r>
      <w:r w:rsidR="0041238C" w:rsidRPr="007E304A">
        <w:rPr>
          <w:rFonts w:eastAsia="MS Mincho"/>
        </w:rPr>
        <w:t>merging the secretariat of the Minamata Convention into the secretariat of the Basel, Rotterdam and Stockholm conventions, where the permanent secretariat would be located in Geneva under a joint Executive Secretary (D-2), consideration has been given to two options</w:t>
      </w:r>
      <w:r w:rsidRPr="007E304A">
        <w:rPr>
          <w:rFonts w:eastAsia="MS Mincho"/>
        </w:rPr>
        <w:t>:</w:t>
      </w:r>
      <w:r w:rsidR="0041238C" w:rsidRPr="007E304A">
        <w:rPr>
          <w:rFonts w:eastAsia="MS Mincho"/>
        </w:rPr>
        <w:t xml:space="preserve"> </w:t>
      </w:r>
      <w:r w:rsidR="005E2CC3" w:rsidRPr="007E304A">
        <w:rPr>
          <w:rFonts w:eastAsia="MS Mincho"/>
        </w:rPr>
        <w:t xml:space="preserve">Option 1 (a) </w:t>
      </w:r>
      <w:r w:rsidR="0042431C" w:rsidRPr="007E304A">
        <w:rPr>
          <w:rFonts w:eastAsia="MS Mincho"/>
        </w:rPr>
        <w:t>(merger)</w:t>
      </w:r>
      <w:r w:rsidR="005E2CC3" w:rsidRPr="007E304A">
        <w:rPr>
          <w:rFonts w:eastAsia="MS Mincho"/>
        </w:rPr>
        <w:t xml:space="preserve">: </w:t>
      </w:r>
      <w:r w:rsidR="0041238C" w:rsidRPr="007E304A">
        <w:rPr>
          <w:rFonts w:eastAsia="MS Mincho"/>
        </w:rPr>
        <w:t>a full merger of the secretariat functions into the secretariat of the Basel, Rotterdam and Stockholm conventions utilizing its current structure</w:t>
      </w:r>
      <w:r w:rsidRPr="007E304A">
        <w:rPr>
          <w:rFonts w:eastAsia="MS Mincho"/>
        </w:rPr>
        <w:t>; a</w:t>
      </w:r>
      <w:r w:rsidR="0041238C" w:rsidRPr="007E304A">
        <w:rPr>
          <w:rFonts w:eastAsia="MS Mincho"/>
        </w:rPr>
        <w:t>nd</w:t>
      </w:r>
      <w:r w:rsidRPr="007E304A">
        <w:rPr>
          <w:rFonts w:eastAsia="MS Mincho"/>
        </w:rPr>
        <w:t xml:space="preserve"> </w:t>
      </w:r>
      <w:r w:rsidR="005E2CC3" w:rsidRPr="007E304A">
        <w:rPr>
          <w:rFonts w:eastAsia="MS Mincho"/>
        </w:rPr>
        <w:t xml:space="preserve">option 1 (b) </w:t>
      </w:r>
      <w:r w:rsidR="0042431C" w:rsidRPr="007E304A">
        <w:rPr>
          <w:rFonts w:eastAsia="MS Mincho"/>
        </w:rPr>
        <w:t>(branch)</w:t>
      </w:r>
      <w:r w:rsidR="005E2CC3" w:rsidRPr="007E304A">
        <w:rPr>
          <w:rFonts w:eastAsia="MS Mincho"/>
        </w:rPr>
        <w:t xml:space="preserve">: </w:t>
      </w:r>
      <w:r w:rsidR="0041238C" w:rsidRPr="007E304A">
        <w:rPr>
          <w:rFonts w:eastAsia="MS Mincho"/>
        </w:rPr>
        <w:t xml:space="preserve">a merger into the secretariat of the Basel, Rotterdam and Stockholm conventions by creating, in the interim, a Minamata </w:t>
      </w:r>
      <w:r w:rsidR="0041238C" w:rsidRPr="00F86035">
        <w:rPr>
          <w:rFonts w:eastAsia="MS Mincho"/>
        </w:rPr>
        <w:t xml:space="preserve">Convention </w:t>
      </w:r>
      <w:r w:rsidR="00876602" w:rsidRPr="00F86035">
        <w:rPr>
          <w:rFonts w:eastAsia="MS Mincho"/>
        </w:rPr>
        <w:t>b</w:t>
      </w:r>
      <w:r w:rsidR="0041238C" w:rsidRPr="00F86035">
        <w:rPr>
          <w:rFonts w:eastAsia="MS Mincho"/>
        </w:rPr>
        <w:t xml:space="preserve">ranch, where the merger </w:t>
      </w:r>
      <w:r w:rsidR="00116451" w:rsidRPr="00F86035">
        <w:rPr>
          <w:rFonts w:eastAsia="MS Mincho"/>
        </w:rPr>
        <w:t xml:space="preserve">begins </w:t>
      </w:r>
      <w:r w:rsidR="0041238C" w:rsidRPr="00F86035">
        <w:rPr>
          <w:rFonts w:eastAsia="MS Mincho"/>
        </w:rPr>
        <w:t xml:space="preserve">with a partial merger and </w:t>
      </w:r>
      <w:r w:rsidR="0041238C" w:rsidRPr="00F86035">
        <w:t>moves</w:t>
      </w:r>
      <w:r w:rsidR="0041238C" w:rsidRPr="00F86035">
        <w:rPr>
          <w:rFonts w:eastAsia="MS Mincho"/>
        </w:rPr>
        <w:t xml:space="preserve"> towards </w:t>
      </w:r>
      <w:r w:rsidR="00116451" w:rsidRPr="00F86035">
        <w:rPr>
          <w:rFonts w:eastAsia="MS Mincho"/>
        </w:rPr>
        <w:t xml:space="preserve">a </w:t>
      </w:r>
      <w:r w:rsidR="0041238C" w:rsidRPr="00F86035">
        <w:rPr>
          <w:rFonts w:eastAsia="MS Mincho"/>
        </w:rPr>
        <w:t>full merger at a later time</w:t>
      </w:r>
      <w:r w:rsidR="00F86035" w:rsidRPr="00F86035">
        <w:rPr>
          <w:rFonts w:eastAsia="MS Mincho"/>
        </w:rPr>
        <w:t>, to be determined</w:t>
      </w:r>
      <w:r w:rsidR="0041238C" w:rsidRPr="00F86035">
        <w:rPr>
          <w:rFonts w:eastAsia="MS Mincho"/>
        </w:rPr>
        <w:t xml:space="preserve">. </w:t>
      </w:r>
    </w:p>
    <w:p w14:paraId="31DB342C" w14:textId="0FA90F9B" w:rsidR="0041238C" w:rsidRPr="007E304A" w:rsidRDefault="00AD41D0"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To</w:t>
      </w:r>
      <w:r w:rsidR="00B61BE4" w:rsidRPr="007E304A">
        <w:rPr>
          <w:rFonts w:eastAsia="MS Mincho"/>
        </w:rPr>
        <w:t xml:space="preserve"> establish</w:t>
      </w:r>
      <w:r w:rsidRPr="007E304A">
        <w:rPr>
          <w:rFonts w:eastAsia="MS Mincho"/>
        </w:rPr>
        <w:t xml:space="preserve"> </w:t>
      </w:r>
      <w:r w:rsidR="007610B9" w:rsidRPr="007E304A">
        <w:t xml:space="preserve">a </w:t>
      </w:r>
      <w:r w:rsidR="007610B9">
        <w:t>standalone</w:t>
      </w:r>
      <w:r w:rsidR="007610B9" w:rsidRPr="007E304A">
        <w:t xml:space="preserve"> </w:t>
      </w:r>
      <w:r w:rsidR="0041238C" w:rsidRPr="007E304A">
        <w:rPr>
          <w:rFonts w:eastAsia="MS Mincho"/>
        </w:rPr>
        <w:t>secretariat for the Minamata Convention (option 2</w:t>
      </w:r>
      <w:r w:rsidRPr="007E304A">
        <w:rPr>
          <w:rFonts w:eastAsia="MS Mincho"/>
        </w:rPr>
        <w:t xml:space="preserve"> </w:t>
      </w:r>
      <w:r w:rsidR="0042431C" w:rsidRPr="007E304A">
        <w:rPr>
          <w:rFonts w:eastAsia="MS Mincho"/>
        </w:rPr>
        <w:t>(standalone)</w:t>
      </w:r>
      <w:r w:rsidR="0041238C" w:rsidRPr="007E304A">
        <w:rPr>
          <w:rFonts w:eastAsia="MS Mincho"/>
        </w:rPr>
        <w:t xml:space="preserve">), the interim secretariat </w:t>
      </w:r>
      <w:r w:rsidRPr="007E304A">
        <w:rPr>
          <w:rFonts w:eastAsia="MS Mincho"/>
        </w:rPr>
        <w:t xml:space="preserve">would be replaced by </w:t>
      </w:r>
      <w:r w:rsidR="007610B9" w:rsidRPr="007E304A">
        <w:t xml:space="preserve">a </w:t>
      </w:r>
      <w:r w:rsidR="007610B9">
        <w:t>standalone</w:t>
      </w:r>
      <w:r w:rsidR="007610B9" w:rsidRPr="007E304A">
        <w:t xml:space="preserve"> </w:t>
      </w:r>
      <w:r w:rsidR="0041238C" w:rsidRPr="007E304A">
        <w:rPr>
          <w:rFonts w:eastAsia="MS Mincho"/>
        </w:rPr>
        <w:t xml:space="preserve">secretariat headed by a Minamata </w:t>
      </w:r>
      <w:r w:rsidR="0041238C" w:rsidRPr="007E304A">
        <w:t>Convention</w:t>
      </w:r>
      <w:r w:rsidR="0041238C" w:rsidRPr="007E304A">
        <w:rPr>
          <w:rFonts w:eastAsia="MS Mincho"/>
        </w:rPr>
        <w:t xml:space="preserve"> Executive Secretary (D-1). Different locations are considered under this option, </w:t>
      </w:r>
      <w:r w:rsidRPr="007E304A">
        <w:rPr>
          <w:rFonts w:eastAsia="MS Mincho"/>
        </w:rPr>
        <w:t>taking into account</w:t>
      </w:r>
      <w:r w:rsidR="0041238C" w:rsidRPr="007E304A">
        <w:rPr>
          <w:rFonts w:eastAsia="MS Mincho"/>
        </w:rPr>
        <w:t xml:space="preserve"> the relative costs of each location</w:t>
      </w:r>
      <w:r w:rsidRPr="007E304A">
        <w:rPr>
          <w:rFonts w:eastAsia="MS Mincho"/>
        </w:rPr>
        <w:t xml:space="preserve"> (i.e.</w:t>
      </w:r>
      <w:r w:rsidR="0042431C" w:rsidRPr="007E304A">
        <w:rPr>
          <w:rFonts w:eastAsia="MS Mincho"/>
        </w:rPr>
        <w:t>,</w:t>
      </w:r>
      <w:r w:rsidRPr="007E304A">
        <w:rPr>
          <w:rFonts w:eastAsia="MS Mincho"/>
        </w:rPr>
        <w:t xml:space="preserve"> </w:t>
      </w:r>
      <w:r w:rsidR="0041238C" w:rsidRPr="007E304A">
        <w:rPr>
          <w:rFonts w:eastAsia="MS Mincho"/>
        </w:rPr>
        <w:t>salary costs</w:t>
      </w:r>
      <w:r w:rsidRPr="007E304A">
        <w:rPr>
          <w:rFonts w:eastAsia="MS Mincho"/>
        </w:rPr>
        <w:t xml:space="preserve"> in each location</w:t>
      </w:r>
      <w:r w:rsidR="0041238C" w:rsidRPr="007E304A">
        <w:rPr>
          <w:rFonts w:eastAsia="MS Mincho"/>
        </w:rPr>
        <w:t>, as well as operational location costs</w:t>
      </w:r>
      <w:r w:rsidR="00B61BE4" w:rsidRPr="007E304A">
        <w:rPr>
          <w:rFonts w:eastAsia="MS Mincho"/>
        </w:rPr>
        <w:t xml:space="preserve">, </w:t>
      </w:r>
      <w:r w:rsidR="0041238C" w:rsidRPr="007E304A">
        <w:rPr>
          <w:rFonts w:eastAsia="MS Mincho"/>
        </w:rPr>
        <w:t xml:space="preserve">the costs of holding meetings in each location </w:t>
      </w:r>
      <w:r w:rsidRPr="007E304A">
        <w:rPr>
          <w:rFonts w:eastAsia="MS Mincho"/>
        </w:rPr>
        <w:t xml:space="preserve">and </w:t>
      </w:r>
      <w:r w:rsidR="0041238C" w:rsidRPr="007E304A">
        <w:rPr>
          <w:rFonts w:eastAsia="MS Mincho"/>
        </w:rPr>
        <w:t xml:space="preserve">the </w:t>
      </w:r>
      <w:r w:rsidRPr="007E304A">
        <w:rPr>
          <w:rFonts w:eastAsia="MS Mincho"/>
        </w:rPr>
        <w:t xml:space="preserve">extra </w:t>
      </w:r>
      <w:r w:rsidR="0041238C" w:rsidRPr="007E304A">
        <w:rPr>
          <w:rFonts w:eastAsia="MS Mincho"/>
        </w:rPr>
        <w:t>travel costs of staff to participate in chemicals and waste meetings in Geneva if the Minamata Convention secretariat is</w:t>
      </w:r>
      <w:r w:rsidR="0042431C" w:rsidRPr="007E304A">
        <w:rPr>
          <w:rFonts w:eastAsia="MS Mincho"/>
        </w:rPr>
        <w:t xml:space="preserve"> to be</w:t>
      </w:r>
      <w:r w:rsidR="0041238C" w:rsidRPr="007E304A">
        <w:rPr>
          <w:rFonts w:eastAsia="MS Mincho"/>
        </w:rPr>
        <w:t xml:space="preserve"> located in one of the other proposed locations.</w:t>
      </w:r>
    </w:p>
    <w:p w14:paraId="416D43FE" w14:textId="0BD1A767"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Under all the secretariat arrangement options, administrative and fund management support to the secretariat of the Minamata Convention is assumed to be provided through programme support costs.</w:t>
      </w:r>
      <w:r w:rsidR="00E67A13" w:rsidRPr="007E304A">
        <w:rPr>
          <w:rFonts w:eastAsia="MS Mincho"/>
        </w:rPr>
        <w:t xml:space="preserve"> </w:t>
      </w:r>
      <w:r w:rsidRPr="007E304A">
        <w:rPr>
          <w:rFonts w:eastAsia="MS Mincho"/>
        </w:rPr>
        <w:t xml:space="preserve">In accordance with the Financial Regulations and Rules of the United Nations, 13 per cent </w:t>
      </w:r>
      <w:r w:rsidR="00116451" w:rsidRPr="007E304A">
        <w:rPr>
          <w:rFonts w:eastAsia="MS Mincho"/>
        </w:rPr>
        <w:t xml:space="preserve">of </w:t>
      </w:r>
      <w:r w:rsidRPr="007E304A">
        <w:rPr>
          <w:rFonts w:eastAsia="MS Mincho"/>
        </w:rPr>
        <w:t xml:space="preserve">programme support costs are payable to </w:t>
      </w:r>
      <w:r w:rsidR="00116451" w:rsidRPr="007E304A">
        <w:rPr>
          <w:rFonts w:eastAsia="MS Mincho"/>
        </w:rPr>
        <w:t>UNEP</w:t>
      </w:r>
      <w:r w:rsidRPr="007E304A">
        <w:rPr>
          <w:rFonts w:eastAsia="MS Mincho"/>
        </w:rPr>
        <w:t xml:space="preserve"> with regard to expenditures made for Convention activities. In line with standard practice on the use of programme support costs, </w:t>
      </w:r>
      <w:r w:rsidR="00116451" w:rsidRPr="007E304A">
        <w:rPr>
          <w:rFonts w:eastAsia="MS Mincho"/>
        </w:rPr>
        <w:t>UNEP</w:t>
      </w:r>
      <w:r w:rsidRPr="007E304A">
        <w:rPr>
          <w:rFonts w:eastAsia="MS Mincho"/>
        </w:rPr>
        <w:t xml:space="preserve"> will provide an annual allocation to the Minamata Convention to help cover the costs of support services. Th</w:t>
      </w:r>
      <w:r w:rsidR="00116451" w:rsidRPr="007E304A">
        <w:rPr>
          <w:rFonts w:eastAsia="MS Mincho"/>
        </w:rPr>
        <w:t>e</w:t>
      </w:r>
      <w:r w:rsidRPr="007E304A">
        <w:rPr>
          <w:rFonts w:eastAsia="MS Mincho"/>
        </w:rPr>
        <w:t xml:space="preserve"> allocation is to cover the post of a P-3 </w:t>
      </w:r>
      <w:r w:rsidR="002A5F21" w:rsidRPr="007E304A">
        <w:rPr>
          <w:rFonts w:eastAsia="MS Mincho"/>
        </w:rPr>
        <w:t>F</w:t>
      </w:r>
      <w:r w:rsidRPr="007E304A">
        <w:rPr>
          <w:rFonts w:eastAsia="MS Mincho"/>
        </w:rPr>
        <w:t xml:space="preserve">und and </w:t>
      </w:r>
      <w:r w:rsidR="002A5F21" w:rsidRPr="007E304A">
        <w:rPr>
          <w:rFonts w:eastAsia="MS Mincho"/>
        </w:rPr>
        <w:t>A</w:t>
      </w:r>
      <w:r w:rsidRPr="007E304A">
        <w:rPr>
          <w:rFonts w:eastAsia="MS Mincho"/>
        </w:rPr>
        <w:t xml:space="preserve">dministrative </w:t>
      </w:r>
      <w:r w:rsidR="002A5F21" w:rsidRPr="007E304A">
        <w:rPr>
          <w:rFonts w:eastAsia="MS Mincho"/>
        </w:rPr>
        <w:t>O</w:t>
      </w:r>
      <w:r w:rsidRPr="007E304A">
        <w:rPr>
          <w:rFonts w:eastAsia="MS Mincho"/>
        </w:rPr>
        <w:t>fficer and one General S</w:t>
      </w:r>
      <w:r w:rsidR="002A5F21" w:rsidRPr="007E304A">
        <w:rPr>
          <w:rFonts w:eastAsia="MS Mincho"/>
        </w:rPr>
        <w:t xml:space="preserve">ervice </w:t>
      </w:r>
      <w:r w:rsidRPr="007E304A">
        <w:rPr>
          <w:rFonts w:eastAsia="MS Mincho"/>
        </w:rPr>
        <w:t xml:space="preserve">post. As this support is the same under each secretariat arrangement option, the costs of administrative support are not specifically highlighted in the analysis below. </w:t>
      </w:r>
    </w:p>
    <w:p w14:paraId="17D6301B" w14:textId="77777777" w:rsidR="0041238C" w:rsidRPr="007E304A" w:rsidRDefault="0041238C" w:rsidP="0041238C">
      <w:pPr>
        <w:pStyle w:val="CH2"/>
        <w:rPr>
          <w:rFonts w:eastAsia="MS Mincho"/>
        </w:rPr>
      </w:pPr>
      <w:r w:rsidRPr="007E304A">
        <w:rPr>
          <w:rFonts w:eastAsia="MS Mincho"/>
        </w:rPr>
        <w:tab/>
        <w:t>D.</w:t>
      </w:r>
      <w:r w:rsidRPr="007E304A">
        <w:rPr>
          <w:rFonts w:eastAsia="MS Mincho"/>
        </w:rPr>
        <w:tab/>
        <w:t>Proposals to perform the functions of the permanent secretariat for the Minamata Convention</w:t>
      </w:r>
    </w:p>
    <w:p w14:paraId="0F004491" w14:textId="1509F84D" w:rsidR="0041238C" w:rsidRPr="00F86035" w:rsidRDefault="00570988"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T</w:t>
      </w:r>
      <w:r w:rsidR="0041238C" w:rsidRPr="007E304A">
        <w:rPr>
          <w:rFonts w:eastAsia="MS Mincho"/>
        </w:rPr>
        <w:t xml:space="preserve">he proposals on how the Executive </w:t>
      </w:r>
      <w:r w:rsidR="0041238C" w:rsidRPr="00F86035">
        <w:rPr>
          <w:rFonts w:eastAsia="MS Mincho"/>
        </w:rPr>
        <w:t xml:space="preserve">Director of </w:t>
      </w:r>
      <w:r w:rsidR="00116451" w:rsidRPr="00F86035">
        <w:rPr>
          <w:rFonts w:eastAsia="MS Mincho"/>
        </w:rPr>
        <w:t>UNEP</w:t>
      </w:r>
      <w:r w:rsidR="0041238C" w:rsidRPr="00F86035">
        <w:rPr>
          <w:rFonts w:eastAsia="MS Mincho"/>
        </w:rPr>
        <w:t xml:space="preserve"> will perform the functions of the permanent secretariat for the Minamata Convention are presented </w:t>
      </w:r>
      <w:r w:rsidR="0042431C" w:rsidRPr="00F86035">
        <w:rPr>
          <w:rFonts w:eastAsia="MS Mincho"/>
        </w:rPr>
        <w:t>in the following paragraphs.</w:t>
      </w:r>
    </w:p>
    <w:p w14:paraId="18533077" w14:textId="77777777" w:rsidR="0041238C" w:rsidRPr="00F86035" w:rsidRDefault="0041238C" w:rsidP="0041238C">
      <w:pPr>
        <w:pStyle w:val="CH3"/>
        <w:rPr>
          <w:rFonts w:eastAsia="MS Mincho"/>
        </w:rPr>
      </w:pPr>
      <w:r w:rsidRPr="00F86035">
        <w:rPr>
          <w:rFonts w:eastAsia="MS Mincho"/>
        </w:rPr>
        <w:tab/>
        <w:t>1.</w:t>
      </w:r>
      <w:r w:rsidRPr="00F86035">
        <w:rPr>
          <w:rFonts w:eastAsia="MS Mincho"/>
        </w:rPr>
        <w:tab/>
        <w:t>Merging the permanent secretariat of the Minamata Convention with the secretariat of the Basel, Rotterdam and Stockholm conventions</w:t>
      </w:r>
    </w:p>
    <w:p w14:paraId="53F3299C" w14:textId="0DB68106"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F86035">
        <w:rPr>
          <w:rFonts w:eastAsia="MS Mincho"/>
        </w:rPr>
        <w:t xml:space="preserve">In 2012, the secretariats of the Basel and Stockholm conventions, as well as the UNEP part of the Rotterdam </w:t>
      </w:r>
      <w:r w:rsidRPr="00F86035">
        <w:t>Convention</w:t>
      </w:r>
      <w:r w:rsidRPr="00F86035">
        <w:rPr>
          <w:rFonts w:eastAsia="MS Mincho"/>
        </w:rPr>
        <w:t xml:space="preserve"> secretariat,</w:t>
      </w:r>
      <w:r w:rsidRPr="00F86035">
        <w:rPr>
          <w:rStyle w:val="FootnoteReference"/>
          <w:rFonts w:eastAsia="MS Mincho"/>
        </w:rPr>
        <w:footnoteReference w:id="6"/>
      </w:r>
      <w:r w:rsidRPr="00F86035">
        <w:rPr>
          <w:rFonts w:eastAsia="MS Mincho"/>
        </w:rPr>
        <w:t xml:space="preserve"> came under the joint management of a single Executive Secretary.</w:t>
      </w:r>
      <w:r w:rsidRPr="00F86035">
        <w:rPr>
          <w:rStyle w:val="FootnoteReference"/>
          <w:rFonts w:eastAsia="MS Mincho"/>
        </w:rPr>
        <w:footnoteReference w:id="7"/>
      </w:r>
      <w:r w:rsidRPr="00F86035">
        <w:rPr>
          <w:rFonts w:eastAsia="MS Mincho"/>
        </w:rPr>
        <w:t xml:space="preserve"> The organizational structure of the three secretariats was adjusted to a matrix structure to better serve the three conventions. </w:t>
      </w:r>
      <w:r w:rsidRPr="00F86035">
        <w:t xml:space="preserve">At the 2015 meetings of </w:t>
      </w:r>
      <w:r w:rsidRPr="00F86035">
        <w:rPr>
          <w:rFonts w:eastAsia="MS Mincho"/>
        </w:rPr>
        <w:t>the</w:t>
      </w:r>
      <w:r w:rsidRPr="00F86035">
        <w:t xml:space="preserve"> conferences of the parties, it</w:t>
      </w:r>
      <w:r w:rsidRPr="007E304A">
        <w:t xml:space="preserve"> was agreed that a review </w:t>
      </w:r>
      <w:r w:rsidR="00345023" w:rsidRPr="007E304A">
        <w:t xml:space="preserve">would be carried out </w:t>
      </w:r>
      <w:r w:rsidRPr="007E304A">
        <w:t>of the synergies arrangements and of the matrix management structure of the secretariat. The results of the review were presented to the 2017 meetings of the conference</w:t>
      </w:r>
      <w:r w:rsidR="00345023" w:rsidRPr="007E304A">
        <w:t>s</w:t>
      </w:r>
      <w:r w:rsidRPr="007E304A">
        <w:t xml:space="preserve"> of the </w:t>
      </w:r>
      <w:r w:rsidR="00D71A18" w:rsidRPr="007E304A">
        <w:t>p</w:t>
      </w:r>
      <w:r w:rsidRPr="007E304A">
        <w:t xml:space="preserve">arties to the Basel, Rotterdam and Stockholm conventions. The outcomes of the review of the synergies </w:t>
      </w:r>
      <w:r w:rsidRPr="006432A8">
        <w:rPr>
          <w:rFonts w:eastAsia="MS Mincho"/>
        </w:rPr>
        <w:t>arrangements</w:t>
      </w:r>
      <w:r w:rsidRPr="007E304A">
        <w:t xml:space="preserve"> for the Basel, Rotterdam and Stockholm conventions are set out in joint documents UNEP/CHW.13/22</w:t>
      </w:r>
      <w:r w:rsidR="00A4271E">
        <w:t>-</w:t>
      </w:r>
      <w:r w:rsidRPr="007E304A">
        <w:t>UNEP/FAO/RC/COP.8/21</w:t>
      </w:r>
      <w:r w:rsidR="00A4271E">
        <w:t>-</w:t>
      </w:r>
      <w:r w:rsidRPr="007E304A">
        <w:t>UNEP/POPS/COP.8/25 and UNEP/CHW.13/22/Add.1</w:t>
      </w:r>
      <w:r w:rsidR="00A4271E">
        <w:t>-</w:t>
      </w:r>
      <w:r w:rsidRPr="007E304A">
        <w:t>UNEP/FAO/RC/COP.8/21/Add.1</w:t>
      </w:r>
      <w:r w:rsidR="00A4271E">
        <w:t>-</w:t>
      </w:r>
      <w:r w:rsidRPr="007E304A">
        <w:t>UNEP/POPS/COP.8/25/Add.1.</w:t>
      </w:r>
    </w:p>
    <w:p w14:paraId="32903517" w14:textId="17A689C2"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 xml:space="preserve">Following the second review of the synergies arrangements, the three conferences of the </w:t>
      </w:r>
      <w:r w:rsidR="00D71A18" w:rsidRPr="007E304A">
        <w:t>p</w:t>
      </w:r>
      <w:r w:rsidRPr="007E304A">
        <w:t>arties adopted identical decisions whereby they, among other things, welcomed the reports and r</w:t>
      </w:r>
      <w:r w:rsidRPr="007E304A">
        <w:rPr>
          <w:iCs/>
        </w:rPr>
        <w:t xml:space="preserve">equested the secretariat of the Basel, Rotterdam and Stockholm conventions to continue to seek </w:t>
      </w:r>
      <w:r w:rsidRPr="007E304A">
        <w:t>opportunities</w:t>
      </w:r>
      <w:r w:rsidRPr="007E304A">
        <w:rPr>
          <w:iCs/>
        </w:rPr>
        <w:t xml:space="preserve"> for </w:t>
      </w:r>
      <w:r w:rsidRPr="007E304A">
        <w:t>enhanced</w:t>
      </w:r>
      <w:r w:rsidRPr="007E304A">
        <w:rPr>
          <w:iCs/>
        </w:rPr>
        <w:t xml:space="preserve"> </w:t>
      </w:r>
      <w:r w:rsidRPr="006432A8">
        <w:rPr>
          <w:rFonts w:eastAsia="MS Mincho"/>
        </w:rPr>
        <w:t>coordination</w:t>
      </w:r>
      <w:r w:rsidRPr="007E304A">
        <w:rPr>
          <w:iCs/>
        </w:rPr>
        <w:t xml:space="preserve"> and cooperation among the Basel, Rotterdam and Stockholm conventions to ensure policy </w:t>
      </w:r>
      <w:r w:rsidRPr="007E304A">
        <w:t>coherence</w:t>
      </w:r>
      <w:r w:rsidRPr="007E304A">
        <w:rPr>
          <w:iCs/>
        </w:rPr>
        <w:t xml:space="preserve"> and enhance efficiency with a view to reducing the administrative burden and maximizing the effective and efficient use of resources at all levels. </w:t>
      </w:r>
    </w:p>
    <w:p w14:paraId="61519104" w14:textId="575FBF32"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 xml:space="preserve">Since the merging of the secretariats of the Basel, Rotterdam and Stockholm conventions, the conferences of the parties to those conventions have approved indicative </w:t>
      </w:r>
      <w:r w:rsidRPr="007E304A">
        <w:rPr>
          <w:rFonts w:eastAsia="MS Mincho"/>
        </w:rPr>
        <w:t>staffing</w:t>
      </w:r>
      <w:r w:rsidRPr="007E304A">
        <w:t xml:space="preserve"> tables for costing purposes, </w:t>
      </w:r>
      <w:r w:rsidRPr="006432A8">
        <w:rPr>
          <w:rFonts w:eastAsia="MS Mincho"/>
        </w:rPr>
        <w:t>authorizing</w:t>
      </w:r>
      <w:r w:rsidRPr="007E304A">
        <w:t xml:space="preserve"> the Executive Secretary to determine the staffing levels, numbers and structure of the secretariat in a flexible manner within the overall cost of staff indicated in the various budget decisions. The sharing of the staff costs in the </w:t>
      </w:r>
      <w:r w:rsidR="00963EFA" w:rsidRPr="007E304A">
        <w:t>G</w:t>
      </w:r>
      <w:r w:rsidRPr="007E304A">
        <w:t xml:space="preserve">eneral </w:t>
      </w:r>
      <w:r w:rsidR="00963EFA" w:rsidRPr="007E304A">
        <w:t>T</w:t>
      </w:r>
      <w:r w:rsidRPr="007E304A">
        <w:t xml:space="preserve">rust </w:t>
      </w:r>
      <w:r w:rsidR="00963EFA" w:rsidRPr="007E304A">
        <w:t>F</w:t>
      </w:r>
      <w:r w:rsidRPr="007E304A">
        <w:t>und</w:t>
      </w:r>
      <w:r w:rsidR="00570988" w:rsidRPr="007E304A">
        <w:t>s</w:t>
      </w:r>
      <w:r w:rsidRPr="007E304A">
        <w:t xml:space="preserve"> is decided by the three conferences of the parties in their respective budget decisions. </w:t>
      </w:r>
    </w:p>
    <w:p w14:paraId="1135223E" w14:textId="4BB7FFCD"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A merger of the secretariat of the Minamata Convention into the secretariat of the Basel, Rotterdam and Stockholm conventions requires agreement by the conferences of the parties to the Basel, Rotterdam and Stockholm conventions. At the</w:t>
      </w:r>
      <w:r w:rsidR="00963EFA" w:rsidRPr="007E304A">
        <w:t>ir</w:t>
      </w:r>
      <w:r w:rsidRPr="007E304A">
        <w:t xml:space="preserve"> 2017 meetings</w:t>
      </w:r>
      <w:r w:rsidR="00963EFA" w:rsidRPr="007E304A">
        <w:t xml:space="preserve">, </w:t>
      </w:r>
      <w:r w:rsidRPr="007E304A">
        <w:t xml:space="preserve">the conferences of the </w:t>
      </w:r>
      <w:r w:rsidR="00D71A18" w:rsidRPr="007E304A">
        <w:t>p</w:t>
      </w:r>
      <w:r w:rsidRPr="007E304A">
        <w:t>arties, in their respective decisions on the programmes of work and budgets, agreed to invite the Executive Secretary of the three conventions “to continue cooperating on programmatic matters with the interim secretariat to the Minamata Convention and provide any secretariat support that may be requested and is fully funded by the Conference of the Parties to the Minamata Convention</w:t>
      </w:r>
      <w:r w:rsidR="0042431C" w:rsidRPr="007E304A">
        <w:t>.</w:t>
      </w:r>
      <w:r w:rsidRPr="007E304A">
        <w:t>”</w:t>
      </w:r>
      <w:r w:rsidRPr="007E304A">
        <w:rPr>
          <w:rStyle w:val="FootnoteReference"/>
        </w:rPr>
        <w:footnoteReference w:id="8"/>
      </w:r>
      <w:r w:rsidRPr="007E304A">
        <w:t xml:space="preserve"> </w:t>
      </w:r>
    </w:p>
    <w:p w14:paraId="3E6F6B8E" w14:textId="68D0D5A8"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In </w:t>
      </w:r>
      <w:r w:rsidRPr="00035ADA">
        <w:rPr>
          <w:rFonts w:eastAsia="MS Mincho"/>
        </w:rPr>
        <w:t xml:space="preserve">considering merging the permanent secretariat of the Minamata Convention into the secretariat of the Basel, Rotterdam and Stockholm conventions, two possibilities are </w:t>
      </w:r>
      <w:r w:rsidR="00BE2FDD" w:rsidRPr="006432A8">
        <w:rPr>
          <w:rFonts w:eastAsia="MS Mincho"/>
        </w:rPr>
        <w:t>presented</w:t>
      </w:r>
      <w:r w:rsidRPr="00035ADA">
        <w:rPr>
          <w:rFonts w:eastAsia="MS Mincho"/>
        </w:rPr>
        <w:t xml:space="preserve"> under this option, namely, merging the secretariat functions of the Minamata Convention into the secretariat of the </w:t>
      </w:r>
      <w:r w:rsidRPr="006432A8">
        <w:t>Basel</w:t>
      </w:r>
      <w:r w:rsidRPr="00035ADA">
        <w:rPr>
          <w:rFonts w:eastAsia="MS Mincho"/>
        </w:rPr>
        <w:t xml:space="preserve">, </w:t>
      </w:r>
      <w:r w:rsidRPr="00035ADA">
        <w:t>Rotterdam</w:t>
      </w:r>
      <w:r w:rsidRPr="00035ADA">
        <w:rPr>
          <w:rFonts w:eastAsia="MS Mincho"/>
        </w:rPr>
        <w:t xml:space="preserve"> and Stockholm conventions, utilizing its current structure (</w:t>
      </w:r>
      <w:r w:rsidR="00963EFA" w:rsidRPr="00035ADA">
        <w:rPr>
          <w:rFonts w:eastAsia="MS Mincho"/>
        </w:rPr>
        <w:t>l</w:t>
      </w:r>
      <w:r w:rsidRPr="00035ADA">
        <w:rPr>
          <w:rFonts w:eastAsia="MS Mincho"/>
        </w:rPr>
        <w:t>ocation: Geneva)</w:t>
      </w:r>
      <w:r w:rsidR="00963EFA" w:rsidRPr="00035ADA">
        <w:rPr>
          <w:rFonts w:eastAsia="MS Mincho"/>
        </w:rPr>
        <w:t xml:space="preserve">; or </w:t>
      </w:r>
      <w:r w:rsidRPr="00035ADA">
        <w:rPr>
          <w:rFonts w:eastAsia="MS Mincho"/>
        </w:rPr>
        <w:t>merging the secretariat of the Minamata Convention into the secretariat of</w:t>
      </w:r>
      <w:r w:rsidRPr="007E304A">
        <w:rPr>
          <w:rFonts w:eastAsia="MS Mincho"/>
        </w:rPr>
        <w:t xml:space="preserve"> the Basel, Rotterdam and Stockholm conventions by creating, in the interim, a Minamata Convention </w:t>
      </w:r>
      <w:r w:rsidR="00876602" w:rsidRPr="007E304A">
        <w:rPr>
          <w:rFonts w:eastAsia="MS Mincho"/>
        </w:rPr>
        <w:t>b</w:t>
      </w:r>
      <w:r w:rsidRPr="007E304A">
        <w:rPr>
          <w:rFonts w:eastAsia="MS Mincho"/>
        </w:rPr>
        <w:t>ranch (</w:t>
      </w:r>
      <w:r w:rsidR="00963EFA" w:rsidRPr="007E304A">
        <w:rPr>
          <w:rFonts w:eastAsia="MS Mincho"/>
        </w:rPr>
        <w:t>l</w:t>
      </w:r>
      <w:r w:rsidRPr="007E304A">
        <w:rPr>
          <w:rFonts w:eastAsia="MS Mincho"/>
        </w:rPr>
        <w:t xml:space="preserve">ocation: Geneva). </w:t>
      </w:r>
    </w:p>
    <w:p w14:paraId="537E07EB" w14:textId="3637E6C6" w:rsidR="0041238C" w:rsidRPr="00B959C3" w:rsidRDefault="0041238C" w:rsidP="006432A8">
      <w:pPr>
        <w:pStyle w:val="CH3"/>
        <w:rPr>
          <w:rFonts w:eastAsia="MS Mincho"/>
          <w:bCs/>
        </w:rPr>
      </w:pPr>
      <w:r w:rsidRPr="00311F46">
        <w:rPr>
          <w:rFonts w:eastAsia="MS Mincho"/>
        </w:rPr>
        <w:tab/>
      </w:r>
      <w:r w:rsidRPr="00311F46">
        <w:rPr>
          <w:rFonts w:eastAsia="MS Mincho"/>
        </w:rPr>
        <w:tab/>
      </w:r>
      <w:r w:rsidRPr="007E304A">
        <w:rPr>
          <w:rFonts w:eastAsia="MS Mincho"/>
        </w:rPr>
        <w:t>Option 1 (a)</w:t>
      </w:r>
      <w:r w:rsidR="00174A1C" w:rsidRPr="007E304A">
        <w:rPr>
          <w:rFonts w:eastAsia="MS Mincho"/>
        </w:rPr>
        <w:t xml:space="preserve"> </w:t>
      </w:r>
      <w:r w:rsidR="0042431C" w:rsidRPr="007E304A">
        <w:rPr>
          <w:rFonts w:eastAsia="MS Mincho"/>
        </w:rPr>
        <w:t>(merger)</w:t>
      </w:r>
      <w:r w:rsidRPr="007E304A">
        <w:rPr>
          <w:rFonts w:eastAsia="MS Mincho"/>
        </w:rPr>
        <w:t xml:space="preserve">: Merging the secretariat </w:t>
      </w:r>
      <w:r w:rsidR="00174A1C" w:rsidRPr="007E304A">
        <w:rPr>
          <w:rFonts w:eastAsia="MS Mincho"/>
        </w:rPr>
        <w:t xml:space="preserve">functions </w:t>
      </w:r>
      <w:r w:rsidRPr="007E304A">
        <w:rPr>
          <w:rFonts w:eastAsia="MS Mincho"/>
        </w:rPr>
        <w:t xml:space="preserve">of the Minamata Convention </w:t>
      </w:r>
      <w:r w:rsidR="00174A1C" w:rsidRPr="007E304A">
        <w:rPr>
          <w:rFonts w:eastAsia="MS Mincho"/>
        </w:rPr>
        <w:t>into</w:t>
      </w:r>
      <w:r w:rsidR="00A36692" w:rsidRPr="007E304A">
        <w:rPr>
          <w:rFonts w:eastAsia="MS Mincho"/>
        </w:rPr>
        <w:t xml:space="preserve"> </w:t>
      </w:r>
      <w:r w:rsidRPr="007E304A">
        <w:rPr>
          <w:rFonts w:eastAsia="MS Mincho"/>
        </w:rPr>
        <w:t>the secretariat of the Basel, Rotterdam and Stockholm conventions</w:t>
      </w:r>
      <w:r w:rsidR="0032332D" w:rsidRPr="007E304A">
        <w:rPr>
          <w:rFonts w:eastAsia="MS Mincho"/>
        </w:rPr>
        <w:t>,</w:t>
      </w:r>
      <w:r w:rsidRPr="007E304A">
        <w:rPr>
          <w:rFonts w:eastAsia="MS Mincho"/>
        </w:rPr>
        <w:t xml:space="preserve"> utilizing its current structure</w:t>
      </w:r>
      <w:r w:rsidRPr="007E304A">
        <w:rPr>
          <w:rFonts w:eastAsia="MS Mincho"/>
          <w:bCs/>
        </w:rPr>
        <w:t xml:space="preserve"> </w:t>
      </w:r>
    </w:p>
    <w:p w14:paraId="25029A57" w14:textId="77777777" w:rsidR="0041238C" w:rsidRPr="007E304A" w:rsidRDefault="0041238C" w:rsidP="0041238C">
      <w:pPr>
        <w:pStyle w:val="Normalnumber"/>
        <w:numPr>
          <w:ilvl w:val="0"/>
          <w:numId w:val="0"/>
        </w:numPr>
        <w:ind w:left="1247"/>
        <w:rPr>
          <w:rFonts w:eastAsia="MS Mincho"/>
        </w:rPr>
      </w:pPr>
      <w:r w:rsidRPr="007E304A">
        <w:rPr>
          <w:rFonts w:eastAsia="MS Mincho"/>
        </w:rPr>
        <w:t>Location: Geneva</w:t>
      </w:r>
    </w:p>
    <w:p w14:paraId="6FE7B885" w14:textId="77777777" w:rsidR="0041238C" w:rsidRPr="007E304A" w:rsidRDefault="0041238C" w:rsidP="00161024">
      <w:pPr>
        <w:pStyle w:val="Normalnumber"/>
        <w:numPr>
          <w:ilvl w:val="0"/>
          <w:numId w:val="0"/>
        </w:numPr>
        <w:ind w:left="1247"/>
        <w:outlineLvl w:val="0"/>
        <w:rPr>
          <w:rFonts w:eastAsia="MS Mincho"/>
          <w:b/>
          <w:bCs/>
        </w:rPr>
      </w:pPr>
      <w:r w:rsidRPr="007E304A">
        <w:rPr>
          <w:rFonts w:eastAsia="MS Mincho"/>
          <w:b/>
          <w:bCs/>
        </w:rPr>
        <w:t>Structure</w:t>
      </w:r>
    </w:p>
    <w:p w14:paraId="279EBA02" w14:textId="5DBFCA96"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Under this option, the secretariat functions of the Minamata Convention would be fully merged into the </w:t>
      </w:r>
      <w:r w:rsidRPr="006432A8">
        <w:t>current</w:t>
      </w:r>
      <w:r w:rsidRPr="007E304A">
        <w:rPr>
          <w:rFonts w:eastAsia="MS Mincho"/>
        </w:rPr>
        <w:t xml:space="preserve"> structure of the secretariat of the Basel, Rotterdam and Stockholm conventions. The </w:t>
      </w:r>
      <w:r w:rsidRPr="007E304A">
        <w:t>functions</w:t>
      </w:r>
      <w:r w:rsidRPr="007E304A">
        <w:rPr>
          <w:rFonts w:eastAsia="MS Mincho"/>
        </w:rPr>
        <w:t xml:space="preserve"> to be performed for the Minamata Convention and all related staff positions</w:t>
      </w:r>
      <w:r w:rsidRPr="007E304A" w:rsidDel="00F65F5D">
        <w:rPr>
          <w:rFonts w:eastAsia="MS Mincho"/>
        </w:rPr>
        <w:t xml:space="preserve"> </w:t>
      </w:r>
      <w:r w:rsidRPr="007E304A">
        <w:rPr>
          <w:rFonts w:eastAsia="MS Mincho"/>
        </w:rPr>
        <w:t xml:space="preserve">would be divided among the </w:t>
      </w:r>
      <w:r w:rsidR="0042431C" w:rsidRPr="007E304A">
        <w:rPr>
          <w:rFonts w:eastAsia="MS Mincho"/>
        </w:rPr>
        <w:t>existing</w:t>
      </w:r>
      <w:r w:rsidR="00AD41D0" w:rsidRPr="007E304A">
        <w:rPr>
          <w:rFonts w:eastAsia="MS Mincho"/>
        </w:rPr>
        <w:t xml:space="preserve"> </w:t>
      </w:r>
      <w:r w:rsidRPr="007E304A">
        <w:rPr>
          <w:rFonts w:eastAsia="MS Mincho"/>
        </w:rPr>
        <w:t xml:space="preserve">three branches of the secretariat (the Conventions Operations Branch, the Technical Assistance Branch and the Scientific Support Branch), as well as through the Executive Office of the secretariat. The functions of the secretariat of the Minamata Convention would be delivered within this structure. The current structure of the secretariat of the Basel, Rotterdam and Stockholm conventions is set out in appendix III to the present report. </w:t>
      </w:r>
    </w:p>
    <w:p w14:paraId="0F52A397" w14:textId="77777777" w:rsidR="0041238C" w:rsidRPr="00B959C3" w:rsidRDefault="0041238C" w:rsidP="006432A8">
      <w:pPr>
        <w:pStyle w:val="CH4"/>
        <w:outlineLvl w:val="0"/>
        <w:rPr>
          <w:rFonts w:eastAsia="MS Mincho"/>
        </w:rPr>
      </w:pPr>
      <w:r w:rsidRPr="00311F46">
        <w:rPr>
          <w:rFonts w:eastAsia="MS Mincho"/>
        </w:rPr>
        <w:tab/>
      </w:r>
      <w:r w:rsidRPr="00311F46">
        <w:rPr>
          <w:rFonts w:eastAsia="MS Mincho"/>
        </w:rPr>
        <w:tab/>
      </w:r>
      <w:r w:rsidRPr="007E304A">
        <w:rPr>
          <w:rFonts w:eastAsia="MS Mincho"/>
        </w:rPr>
        <w:t>Staffing</w:t>
      </w:r>
    </w:p>
    <w:p w14:paraId="705A888E" w14:textId="5255AD4B"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Under this option, the functions of the secretariat of the Minamata Convention would be incorporated in the merged secretariat and the sharing of time and related costs of all posts in the merged secretariat would be determined and approved by each of the conferences of the parties to the four conventions. It is envisaged that the Minamata Convention pays for 20 per cent of the post of the Executive Secretary and of the Deputy Executive Secretary, as well as 20 per cent of the remaining posts currently budgeted in the general trust funds of the three conventions. The percentage for the Minamata Convention staff posts has been determined at 20 per cent, taking into account the expected level of activity of the respective conventions. The remaining 80 per cent staff time will be allocated for the implementation of the programmes of work of the Basel, Rotterdam and Stockholm conventions.</w:t>
      </w:r>
    </w:p>
    <w:p w14:paraId="5C35B256" w14:textId="6524311F"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As a consequence, the functions of the Executive Secretary, Deputy Executive Secretary and Branch Chiefs, as well as functions currently supporting more than one convention, such as meetings coordination, legal and governance, technical assistance and capacity-building, scientific support, outreach and public awareness, information management and technology, administration, finance, human resources and resource mobilization, will be sourced from existing staff, with 20</w:t>
      </w:r>
      <w:r w:rsidR="00963EFA" w:rsidRPr="007E304A">
        <w:rPr>
          <w:rFonts w:eastAsia="MS Mincho"/>
        </w:rPr>
        <w:t xml:space="preserve"> per cent </w:t>
      </w:r>
      <w:r w:rsidRPr="007E304A">
        <w:rPr>
          <w:rFonts w:eastAsia="MS Mincho"/>
        </w:rPr>
        <w:t>cost</w:t>
      </w:r>
      <w:r w:rsidR="00963EFA" w:rsidRPr="007E304A">
        <w:rPr>
          <w:rFonts w:eastAsia="MS Mincho"/>
        </w:rPr>
        <w:noBreakHyphen/>
      </w:r>
      <w:r w:rsidRPr="007E304A">
        <w:rPr>
          <w:rFonts w:eastAsia="MS Mincho"/>
        </w:rPr>
        <w:t xml:space="preserve">sharing by the Minamata Convention. It should be noted that the fund and administrative functions are to be funded from the </w:t>
      </w:r>
      <w:r w:rsidR="00963EFA" w:rsidRPr="007E304A">
        <w:rPr>
          <w:rFonts w:eastAsia="MS Mincho"/>
        </w:rPr>
        <w:t>programme support costs</w:t>
      </w:r>
      <w:r w:rsidRPr="007E304A">
        <w:rPr>
          <w:rFonts w:eastAsia="MS Mincho"/>
        </w:rPr>
        <w:t xml:space="preserve"> generated by the Minamata Convention and are not cost-shared among the conventions. A P-3 fund and administration post and one General </w:t>
      </w:r>
      <w:r w:rsidR="002A5F21" w:rsidRPr="007E304A">
        <w:rPr>
          <w:rFonts w:eastAsia="MS Mincho"/>
        </w:rPr>
        <w:t xml:space="preserve">Service </w:t>
      </w:r>
      <w:r w:rsidRPr="007E304A">
        <w:rPr>
          <w:rFonts w:eastAsia="MS Mincho"/>
        </w:rPr>
        <w:t xml:space="preserve">post will be created and funded by the </w:t>
      </w:r>
      <w:r w:rsidR="00963EFA" w:rsidRPr="007E304A">
        <w:rPr>
          <w:rFonts w:eastAsia="MS Mincho"/>
        </w:rPr>
        <w:t>programme support costs</w:t>
      </w:r>
      <w:r w:rsidRPr="007E304A">
        <w:rPr>
          <w:rFonts w:eastAsia="MS Mincho"/>
        </w:rPr>
        <w:t xml:space="preserve"> generated by the Minamata Convention. </w:t>
      </w:r>
    </w:p>
    <w:p w14:paraId="130765BC" w14:textId="36FE1E0E"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In terms of additional staff to the newly merged secretariat</w:t>
      </w:r>
      <w:r w:rsidR="00963EFA" w:rsidRPr="007E304A">
        <w:rPr>
          <w:rFonts w:eastAsia="MS Mincho"/>
        </w:rPr>
        <w:t>,</w:t>
      </w:r>
      <w:r w:rsidRPr="007E304A">
        <w:rPr>
          <w:rFonts w:eastAsia="MS Mincho"/>
        </w:rPr>
        <w:t xml:space="preserve"> the following new positions are expected to be required: one P-4 officer (scientific support), one P-4 officer (capacity building and technical support), one P-3 officer (scientific support)</w:t>
      </w:r>
      <w:r w:rsidR="00963EFA" w:rsidRPr="007E304A">
        <w:rPr>
          <w:rFonts w:eastAsia="MS Mincho"/>
        </w:rPr>
        <w:t>,</w:t>
      </w:r>
      <w:r w:rsidRPr="007E304A">
        <w:rPr>
          <w:rFonts w:eastAsia="MS Mincho"/>
        </w:rPr>
        <w:t xml:space="preserve"> one P-3 officer (capacity-building and technical assistance), one P-3 officer (conference coordination) and four General Service posts. Th</w:t>
      </w:r>
      <w:r w:rsidR="00027C3E" w:rsidRPr="007E304A">
        <w:rPr>
          <w:rFonts w:eastAsia="MS Mincho"/>
        </w:rPr>
        <w:t>o</w:t>
      </w:r>
      <w:r w:rsidRPr="007E304A">
        <w:rPr>
          <w:rFonts w:eastAsia="MS Mincho"/>
        </w:rPr>
        <w:t xml:space="preserve">se </w:t>
      </w:r>
      <w:r w:rsidRPr="00F86035">
        <w:rPr>
          <w:rFonts w:eastAsia="MS Mincho"/>
        </w:rPr>
        <w:t xml:space="preserve">posts </w:t>
      </w:r>
      <w:r w:rsidR="00F86035">
        <w:rPr>
          <w:rFonts w:eastAsia="MS Mincho"/>
        </w:rPr>
        <w:t>would</w:t>
      </w:r>
      <w:r w:rsidR="00F86035" w:rsidRPr="007E304A">
        <w:rPr>
          <w:rFonts w:eastAsia="MS Mincho"/>
        </w:rPr>
        <w:t xml:space="preserve"> </w:t>
      </w:r>
      <w:r w:rsidRPr="007E304A">
        <w:rPr>
          <w:rFonts w:eastAsia="MS Mincho"/>
        </w:rPr>
        <w:t xml:space="preserve">service all </w:t>
      </w:r>
      <w:r w:rsidR="00835B01" w:rsidRPr="007E304A">
        <w:rPr>
          <w:rFonts w:eastAsia="MS Mincho"/>
        </w:rPr>
        <w:t xml:space="preserve">of </w:t>
      </w:r>
      <w:r w:rsidRPr="007E304A">
        <w:rPr>
          <w:rFonts w:eastAsia="MS Mincho"/>
        </w:rPr>
        <w:t xml:space="preserve">the conventions, imply additional costs to parties to all four conventions and would be covered by the cost-sharing arrangement among the four conventions, </w:t>
      </w:r>
      <w:r w:rsidR="00963EFA" w:rsidRPr="007E304A">
        <w:rPr>
          <w:rFonts w:eastAsia="MS Mincho"/>
        </w:rPr>
        <w:t>that is,</w:t>
      </w:r>
      <w:r w:rsidRPr="007E304A">
        <w:rPr>
          <w:rFonts w:eastAsia="MS Mincho"/>
        </w:rPr>
        <w:t xml:space="preserve"> the Minamata Convention would be expected to cover 20 per cent of the posts currently budgeted</w:t>
      </w:r>
      <w:r w:rsidR="00E27122">
        <w:rPr>
          <w:rFonts w:eastAsia="MS Mincho"/>
        </w:rPr>
        <w:t xml:space="preserve"> for</w:t>
      </w:r>
      <w:r w:rsidRPr="007E304A">
        <w:rPr>
          <w:rFonts w:eastAsia="MS Mincho"/>
        </w:rPr>
        <w:t xml:space="preserve"> in the general trust funds of the Basel, Rotterdam and Stockholm conventions, as well as </w:t>
      </w:r>
      <w:r w:rsidR="00E27122">
        <w:rPr>
          <w:rFonts w:eastAsia="MS Mincho"/>
        </w:rPr>
        <w:t xml:space="preserve">of </w:t>
      </w:r>
      <w:r w:rsidRPr="007E304A">
        <w:rPr>
          <w:rFonts w:eastAsia="MS Mincho"/>
        </w:rPr>
        <w:t xml:space="preserve">the new posts established. </w:t>
      </w:r>
    </w:p>
    <w:p w14:paraId="1DD6A4A2" w14:textId="1530203E"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Furthermore, the cost savings for the Basel, Rotterdam and Stockholm convention parties generated by this option could be partially reinvested to strengthen the matrix structure of the joint secretariat to hire the equivalent of 1.5 P-3 Programme Officers (to cover the costs of functions such as legal support, knowledge </w:t>
      </w:r>
      <w:r w:rsidRPr="007E304A">
        <w:t>management</w:t>
      </w:r>
      <w:r w:rsidRPr="007E304A">
        <w:rPr>
          <w:rFonts w:eastAsia="MS Mincho"/>
        </w:rPr>
        <w:t xml:space="preserve">, outreach and information technology services). </w:t>
      </w:r>
    </w:p>
    <w:p w14:paraId="4E768B54" w14:textId="77777777" w:rsidR="0041238C" w:rsidRPr="00B959C3" w:rsidRDefault="0041238C" w:rsidP="006432A8">
      <w:pPr>
        <w:pStyle w:val="CH4"/>
        <w:outlineLvl w:val="0"/>
        <w:rPr>
          <w:rFonts w:eastAsia="MS Mincho"/>
        </w:rPr>
      </w:pPr>
      <w:r w:rsidRPr="00311F46">
        <w:rPr>
          <w:rFonts w:eastAsia="MS Mincho"/>
        </w:rPr>
        <w:tab/>
      </w:r>
      <w:r w:rsidRPr="00311F46">
        <w:rPr>
          <w:rFonts w:eastAsia="MS Mincho"/>
        </w:rPr>
        <w:tab/>
      </w:r>
      <w:r w:rsidRPr="007E304A">
        <w:rPr>
          <w:rFonts w:eastAsia="MS Mincho"/>
        </w:rPr>
        <w:t>Analysis</w:t>
      </w:r>
    </w:p>
    <w:p w14:paraId="34CC035D" w14:textId="4DD3C6DE"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delivery of the </w:t>
      </w:r>
      <w:r w:rsidRPr="00F36CAC">
        <w:rPr>
          <w:rFonts w:eastAsia="MS Mincho"/>
        </w:rPr>
        <w:t>secretariat functions</w:t>
      </w:r>
      <w:r w:rsidRPr="007E304A">
        <w:rPr>
          <w:rFonts w:eastAsia="MS Mincho"/>
        </w:rPr>
        <w:t xml:space="preserve"> for the Minamata Convention would be fully merged into the matrix-based structure of the secretariat of the Basel, Rotterdam and Stockholm conventions under the authority of a joint Executive Secretary of the Basel, Rotterdam and Stockholm conventions and the Minamata </w:t>
      </w:r>
      <w:r w:rsidRPr="00F86035">
        <w:t>Convention</w:t>
      </w:r>
      <w:r w:rsidRPr="00F86035">
        <w:rPr>
          <w:rFonts w:eastAsia="MS Mincho"/>
        </w:rPr>
        <w:t xml:space="preserve">. The legal autonomy of each of the conventions and related programmes of work </w:t>
      </w:r>
      <w:r w:rsidR="00F86035">
        <w:rPr>
          <w:rFonts w:eastAsia="MS Mincho"/>
        </w:rPr>
        <w:t>would</w:t>
      </w:r>
      <w:r w:rsidR="00F86035" w:rsidRPr="00F86035">
        <w:rPr>
          <w:rFonts w:eastAsia="MS Mincho"/>
        </w:rPr>
        <w:t xml:space="preserve"> </w:t>
      </w:r>
      <w:r w:rsidRPr="00F86035">
        <w:rPr>
          <w:rFonts w:eastAsia="MS Mincho"/>
        </w:rPr>
        <w:t>be</w:t>
      </w:r>
      <w:r w:rsidRPr="007E304A">
        <w:rPr>
          <w:rFonts w:eastAsia="MS Mincho"/>
        </w:rPr>
        <w:t xml:space="preserve"> maintained. </w:t>
      </w:r>
    </w:p>
    <w:p w14:paraId="11A9C534" w14:textId="50810CF0"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The delivery of the secretariat functions will be organ</w:t>
      </w:r>
      <w:r w:rsidR="00963EFA" w:rsidRPr="007E304A">
        <w:rPr>
          <w:rFonts w:eastAsia="MS Mincho"/>
        </w:rPr>
        <w:t>ized</w:t>
      </w:r>
      <w:r w:rsidRPr="007E304A">
        <w:rPr>
          <w:rFonts w:eastAsia="MS Mincho"/>
        </w:rPr>
        <w:t xml:space="preserve"> along the following existing areas of work: scientific matters, technical assistance and conventions operations, as well as the areas of work attached to the Executive Office</w:t>
      </w:r>
      <w:r w:rsidR="00027C3E" w:rsidRPr="007E304A">
        <w:rPr>
          <w:rFonts w:eastAsia="MS Mincho"/>
        </w:rPr>
        <w:t>,</w:t>
      </w:r>
      <w:r w:rsidRPr="007E304A">
        <w:rPr>
          <w:rFonts w:eastAsia="MS Mincho"/>
        </w:rPr>
        <w:t xml:space="preserve"> which include </w:t>
      </w:r>
      <w:r w:rsidR="0031486A" w:rsidRPr="007E304A">
        <w:rPr>
          <w:rFonts w:eastAsia="MS Mincho"/>
        </w:rPr>
        <w:t>administrat</w:t>
      </w:r>
      <w:r w:rsidR="0031486A">
        <w:rPr>
          <w:rFonts w:eastAsia="MS Mincho"/>
        </w:rPr>
        <w:t>ion</w:t>
      </w:r>
      <w:r w:rsidRPr="007E304A">
        <w:rPr>
          <w:rFonts w:eastAsia="MS Mincho"/>
        </w:rPr>
        <w:t xml:space="preserve">, finance, human resources and resource mobilization (see </w:t>
      </w:r>
      <w:r w:rsidRPr="00F86035">
        <w:rPr>
          <w:rFonts w:eastAsia="MS Mincho"/>
        </w:rPr>
        <w:t>appendix III). The delivery</w:t>
      </w:r>
      <w:r w:rsidRPr="007E304A">
        <w:rPr>
          <w:rFonts w:eastAsia="MS Mincho"/>
        </w:rPr>
        <w:t xml:space="preserve"> of the secretariat functions of the Minamata Convention would be fully integrated into the existing structure of the secretariat,</w:t>
      </w:r>
      <w:r w:rsidRPr="007E304A">
        <w:rPr>
          <w:rFonts w:eastAsia="MS Mincho"/>
          <w:b/>
        </w:rPr>
        <w:t xml:space="preserve"> </w:t>
      </w:r>
      <w:r w:rsidRPr="007E304A">
        <w:rPr>
          <w:rFonts w:eastAsia="MS Mincho"/>
        </w:rPr>
        <w:t xml:space="preserve">which has been running in this manner </w:t>
      </w:r>
      <w:r w:rsidR="00AD41D0" w:rsidRPr="007E304A">
        <w:rPr>
          <w:rFonts w:eastAsia="MS Mincho"/>
        </w:rPr>
        <w:t xml:space="preserve">since 2012. </w:t>
      </w:r>
    </w:p>
    <w:p w14:paraId="38FF1B22" w14:textId="29491F5D"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To fulfil the additional </w:t>
      </w:r>
      <w:r w:rsidRPr="00F36CAC">
        <w:rPr>
          <w:rFonts w:eastAsia="MS Mincho"/>
        </w:rPr>
        <w:t>secretariat functions</w:t>
      </w:r>
      <w:r w:rsidRPr="007E304A">
        <w:rPr>
          <w:rFonts w:eastAsia="MS Mincho"/>
        </w:rPr>
        <w:t xml:space="preserve"> of the Minamata Convention, a merged secretariat would require </w:t>
      </w:r>
      <w:r w:rsidR="00AD41D0" w:rsidRPr="007E304A">
        <w:rPr>
          <w:rFonts w:eastAsia="MS Mincho"/>
        </w:rPr>
        <w:t xml:space="preserve">a </w:t>
      </w:r>
      <w:r w:rsidR="00AD41D0" w:rsidRPr="00E17E02">
        <w:rPr>
          <w:rFonts w:eastAsia="MS Mincho"/>
        </w:rPr>
        <w:t xml:space="preserve">total of </w:t>
      </w:r>
      <w:r w:rsidR="00963EFA" w:rsidRPr="00E17E02">
        <w:rPr>
          <w:rFonts w:eastAsia="MS Mincho"/>
        </w:rPr>
        <w:t xml:space="preserve">six </w:t>
      </w:r>
      <w:r w:rsidRPr="00E17E02">
        <w:rPr>
          <w:rFonts w:eastAsia="MS Mincho"/>
        </w:rPr>
        <w:t xml:space="preserve">and a half new </w:t>
      </w:r>
      <w:r w:rsidR="00963EFA" w:rsidRPr="00E17E02">
        <w:rPr>
          <w:rFonts w:eastAsia="MS Mincho"/>
        </w:rPr>
        <w:t>P</w:t>
      </w:r>
      <w:r w:rsidRPr="00E17E02">
        <w:rPr>
          <w:rFonts w:eastAsia="MS Mincho"/>
        </w:rPr>
        <w:t xml:space="preserve">rofessional staff posts and four new General </w:t>
      </w:r>
      <w:r w:rsidR="00890EB4" w:rsidRPr="00E17E02">
        <w:rPr>
          <w:rFonts w:eastAsia="MS Mincho"/>
        </w:rPr>
        <w:t xml:space="preserve">Service </w:t>
      </w:r>
      <w:r w:rsidRPr="00E17E02">
        <w:rPr>
          <w:rFonts w:eastAsia="MS Mincho"/>
        </w:rPr>
        <w:t>posts</w:t>
      </w:r>
      <w:r w:rsidRPr="007E304A">
        <w:rPr>
          <w:rFonts w:eastAsia="MS Mincho"/>
        </w:rPr>
        <w:t xml:space="preserve">. This marks an increase of </w:t>
      </w:r>
      <w:r w:rsidR="00963EFA" w:rsidRPr="007E304A">
        <w:rPr>
          <w:rFonts w:eastAsia="MS Mincho"/>
        </w:rPr>
        <w:t xml:space="preserve">two </w:t>
      </w:r>
      <w:r w:rsidRPr="007E304A">
        <w:rPr>
          <w:rFonts w:eastAsia="MS Mincho"/>
        </w:rPr>
        <w:t xml:space="preserve">new </w:t>
      </w:r>
      <w:r w:rsidR="00963EFA" w:rsidRPr="007E304A">
        <w:rPr>
          <w:rFonts w:eastAsia="MS Mincho"/>
        </w:rPr>
        <w:t>P</w:t>
      </w:r>
      <w:r w:rsidRPr="007E304A">
        <w:rPr>
          <w:rFonts w:eastAsia="MS Mincho"/>
        </w:rPr>
        <w:t xml:space="preserve">rofessional staff posts and </w:t>
      </w:r>
      <w:r w:rsidR="00963EFA" w:rsidRPr="007E304A">
        <w:rPr>
          <w:rFonts w:eastAsia="MS Mincho"/>
        </w:rPr>
        <w:t xml:space="preserve">one </w:t>
      </w:r>
      <w:r w:rsidRPr="007E304A">
        <w:rPr>
          <w:rFonts w:eastAsia="MS Mincho"/>
        </w:rPr>
        <w:t xml:space="preserve">additional General </w:t>
      </w:r>
      <w:r w:rsidR="00890EB4" w:rsidRPr="007E304A">
        <w:rPr>
          <w:rFonts w:eastAsia="MS Mincho"/>
        </w:rPr>
        <w:t xml:space="preserve">Service </w:t>
      </w:r>
      <w:r w:rsidRPr="007E304A">
        <w:rPr>
          <w:rFonts w:eastAsia="MS Mincho"/>
        </w:rPr>
        <w:t xml:space="preserve">post </w:t>
      </w:r>
      <w:r w:rsidR="00095ACB">
        <w:rPr>
          <w:rFonts w:eastAsia="MS Mincho"/>
        </w:rPr>
        <w:t>over</w:t>
      </w:r>
      <w:r w:rsidR="00095ACB" w:rsidRPr="007E304A">
        <w:rPr>
          <w:rFonts w:eastAsia="MS Mincho"/>
        </w:rPr>
        <w:t xml:space="preserve"> </w:t>
      </w:r>
      <w:r w:rsidR="00AD41D0" w:rsidRPr="007E304A">
        <w:rPr>
          <w:rFonts w:eastAsia="MS Mincho"/>
        </w:rPr>
        <w:t xml:space="preserve">the proposal presented in </w:t>
      </w:r>
      <w:r w:rsidRPr="007E304A">
        <w:t>UNEP(DTIE)/Hg/INC.7/15</w:t>
      </w:r>
      <w:r w:rsidRPr="007E304A">
        <w:rPr>
          <w:rFonts w:eastAsia="MS Mincho"/>
        </w:rPr>
        <w:t>.</w:t>
      </w:r>
      <w:r w:rsidR="00E17E02">
        <w:rPr>
          <w:rFonts w:eastAsia="MS Mincho"/>
          <w:b/>
        </w:rPr>
        <w:t xml:space="preserve"> </w:t>
      </w:r>
      <w:r w:rsidRPr="007E304A">
        <w:rPr>
          <w:rFonts w:eastAsia="MS Mincho"/>
        </w:rPr>
        <w:t xml:space="preserve">The costs for the existing staff of the secretariat of the Basel, Rotterdam and Stockholm conventions, and the additional staff positions required for a merged secretariat that also fulfils secretariat functions for the Minamata Convention, would be shared across the four conventions. </w:t>
      </w:r>
      <w:r w:rsidR="008665B4" w:rsidRPr="007E304A">
        <w:rPr>
          <w:rFonts w:eastAsia="MS Mincho"/>
        </w:rPr>
        <w:t>On the basis of</w:t>
      </w:r>
      <w:r w:rsidRPr="007E304A">
        <w:rPr>
          <w:rFonts w:eastAsia="MS Mincho"/>
        </w:rPr>
        <w:t xml:space="preserve"> </w:t>
      </w:r>
      <w:r w:rsidRPr="007E304A">
        <w:t>the</w:t>
      </w:r>
      <w:r w:rsidRPr="007E304A">
        <w:rPr>
          <w:rFonts w:eastAsia="MS Mincho"/>
        </w:rPr>
        <w:t xml:space="preserve"> staffing requirements described above</w:t>
      </w:r>
      <w:r w:rsidR="008665B4" w:rsidRPr="007E304A">
        <w:rPr>
          <w:rFonts w:eastAsia="MS Mincho"/>
        </w:rPr>
        <w:t>,</w:t>
      </w:r>
      <w:r w:rsidRPr="007E304A">
        <w:t xml:space="preserve"> </w:t>
      </w:r>
      <w:r w:rsidRPr="007E304A">
        <w:rPr>
          <w:rFonts w:eastAsia="MS Mincho"/>
        </w:rPr>
        <w:t xml:space="preserve">the total staff costs for the Minamata Convention for this option (see appendix II, </w:t>
      </w:r>
      <w:r w:rsidR="00963EFA" w:rsidRPr="007E304A">
        <w:rPr>
          <w:rFonts w:eastAsia="MS Mincho"/>
        </w:rPr>
        <w:t>t</w:t>
      </w:r>
      <w:r w:rsidRPr="007E304A">
        <w:rPr>
          <w:rFonts w:eastAsia="MS Mincho"/>
        </w:rPr>
        <w:t xml:space="preserve">able 2) are estimated at </w:t>
      </w:r>
      <w:r w:rsidRPr="006432A8">
        <w:rPr>
          <w:rFonts w:eastAsia="MS Mincho"/>
          <w:b/>
          <w:bCs/>
        </w:rPr>
        <w:t>$2,</w:t>
      </w:r>
      <w:r w:rsidR="00174A1C" w:rsidRPr="006432A8">
        <w:rPr>
          <w:rFonts w:eastAsia="MS Mincho"/>
          <w:b/>
          <w:bCs/>
        </w:rPr>
        <w:t>749,134</w:t>
      </w:r>
      <w:r w:rsidRPr="006432A8">
        <w:rPr>
          <w:rFonts w:eastAsia="MS Mincho"/>
          <w:b/>
          <w:bCs/>
        </w:rPr>
        <w:t>/year</w:t>
      </w:r>
      <w:r w:rsidRPr="006432A8">
        <w:rPr>
          <w:rFonts w:eastAsia="MS Mincho"/>
        </w:rPr>
        <w:t xml:space="preserve">. </w:t>
      </w:r>
    </w:p>
    <w:p w14:paraId="2DC0A684" w14:textId="75450342"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interim secretariat currently covers a variety of tasks, </w:t>
      </w:r>
      <w:r w:rsidR="00AD41D0" w:rsidRPr="007E304A">
        <w:rPr>
          <w:rFonts w:eastAsia="MS Mincho"/>
        </w:rPr>
        <w:t>including</w:t>
      </w:r>
      <w:r w:rsidRPr="007E304A">
        <w:rPr>
          <w:rFonts w:eastAsia="MS Mincho"/>
        </w:rPr>
        <w:t xml:space="preserve"> political coordination, meetings management, document preparation, scientific and technical support, awareness</w:t>
      </w:r>
      <w:r w:rsidRPr="007E304A">
        <w:rPr>
          <w:rFonts w:eastAsia="MS Mincho"/>
        </w:rPr>
        <w:noBreakHyphen/>
        <w:t xml:space="preserve">raising </w:t>
      </w:r>
      <w:r w:rsidRPr="007E304A">
        <w:t>and</w:t>
      </w:r>
      <w:r w:rsidRPr="007E304A">
        <w:rPr>
          <w:rFonts w:eastAsia="MS Mincho"/>
        </w:rPr>
        <w:t xml:space="preserve"> capacity-building. These functions are similar to those performed by the secretariat of the Basel, Rotterdam and Stockholm conventions. </w:t>
      </w:r>
      <w:r w:rsidR="008665B4" w:rsidRPr="007E304A">
        <w:rPr>
          <w:rFonts w:eastAsia="MS Mincho"/>
        </w:rPr>
        <w:t xml:space="preserve">The relocation of </w:t>
      </w:r>
      <w:r w:rsidRPr="007E304A">
        <w:rPr>
          <w:rFonts w:eastAsia="MS Mincho"/>
        </w:rPr>
        <w:t xml:space="preserve">functions from the interim secretariat into the three branches and Executive Office of the secretariat will require the realignment of roles to match the Basel, Rotterdam and Stockholm </w:t>
      </w:r>
      <w:r w:rsidR="00AD41D0" w:rsidRPr="007E304A">
        <w:rPr>
          <w:rFonts w:eastAsia="MS Mincho"/>
        </w:rPr>
        <w:t xml:space="preserve">secretariat </w:t>
      </w:r>
      <w:r w:rsidRPr="007E304A">
        <w:rPr>
          <w:rFonts w:eastAsia="MS Mincho"/>
        </w:rPr>
        <w:t xml:space="preserve">structure </w:t>
      </w:r>
      <w:r w:rsidRPr="00F86035">
        <w:rPr>
          <w:rFonts w:eastAsia="MS Mincho"/>
        </w:rPr>
        <w:t>and job reclassification of the positions</w:t>
      </w:r>
      <w:r w:rsidR="00AD41D0" w:rsidRPr="00F86035">
        <w:rPr>
          <w:rFonts w:eastAsia="MS Mincho"/>
        </w:rPr>
        <w:t xml:space="preserve">. This would be </w:t>
      </w:r>
      <w:r w:rsidRPr="00F86035">
        <w:rPr>
          <w:rFonts w:eastAsia="MS Mincho"/>
        </w:rPr>
        <w:t xml:space="preserve">similar to the adjustments that took place during the </w:t>
      </w:r>
      <w:r w:rsidR="00AD41D0" w:rsidRPr="00F86035">
        <w:rPr>
          <w:rFonts w:eastAsia="MS Mincho"/>
        </w:rPr>
        <w:t xml:space="preserve">initial </w:t>
      </w:r>
      <w:r w:rsidRPr="00F86035">
        <w:rPr>
          <w:rFonts w:eastAsia="MS Mincho"/>
        </w:rPr>
        <w:t>merger of the secretariat</w:t>
      </w:r>
      <w:r w:rsidR="004E2FAE" w:rsidRPr="00F86035">
        <w:rPr>
          <w:rFonts w:eastAsia="MS Mincho"/>
        </w:rPr>
        <w:t>s of the Basel, Rotterdam and Stockholm conventions</w:t>
      </w:r>
      <w:r w:rsidRPr="00F86035">
        <w:rPr>
          <w:rFonts w:eastAsia="MS Mincho"/>
        </w:rPr>
        <w:t xml:space="preserve">. </w:t>
      </w:r>
      <w:r w:rsidRPr="00F86035">
        <w:rPr>
          <w:lang w:eastAsia="zh-CN"/>
        </w:rPr>
        <w:t xml:space="preserve">As with any change in an </w:t>
      </w:r>
      <w:r w:rsidRPr="00F86035">
        <w:t>organizational</w:t>
      </w:r>
      <w:r w:rsidRPr="00F86035">
        <w:rPr>
          <w:lang w:eastAsia="zh-CN"/>
        </w:rPr>
        <w:t xml:space="preserve"> structure, a change management process, in accordance with United Nations rules, may need to be undertaken</w:t>
      </w:r>
      <w:r w:rsidRPr="00F86035">
        <w:rPr>
          <w:color w:val="004080"/>
          <w:lang w:eastAsia="zh-CN"/>
        </w:rPr>
        <w:t xml:space="preserve">. </w:t>
      </w:r>
      <w:r w:rsidRPr="00F86035">
        <w:rPr>
          <w:rFonts w:eastAsia="MS Mincho"/>
        </w:rPr>
        <w:t xml:space="preserve">Existing staff of the secretariat will need to build their </w:t>
      </w:r>
      <w:r w:rsidR="00242E2C" w:rsidRPr="00F86035">
        <w:rPr>
          <w:rFonts w:eastAsia="MS Mincho"/>
        </w:rPr>
        <w:t xml:space="preserve">expertise in </w:t>
      </w:r>
      <w:r w:rsidRPr="00F86035">
        <w:rPr>
          <w:rFonts w:eastAsia="MS Mincho"/>
        </w:rPr>
        <w:t>mercury</w:t>
      </w:r>
      <w:r w:rsidRPr="007E304A">
        <w:rPr>
          <w:rFonts w:eastAsia="MS Mincho"/>
        </w:rPr>
        <w:t xml:space="preserve"> and </w:t>
      </w:r>
      <w:r w:rsidR="00242E2C" w:rsidRPr="007E304A">
        <w:rPr>
          <w:rFonts w:eastAsia="MS Mincho"/>
        </w:rPr>
        <w:t xml:space="preserve">understanding of the </w:t>
      </w:r>
      <w:r w:rsidRPr="007E304A">
        <w:rPr>
          <w:rFonts w:eastAsia="MS Mincho"/>
        </w:rPr>
        <w:t>Minamata Convention, and integrate the work of the Minamata Convention into their current and ongoing activities as they take on th</w:t>
      </w:r>
      <w:r w:rsidR="00242E2C" w:rsidRPr="007E304A">
        <w:rPr>
          <w:rFonts w:eastAsia="MS Mincho"/>
        </w:rPr>
        <w:t>o</w:t>
      </w:r>
      <w:r w:rsidRPr="007E304A">
        <w:rPr>
          <w:rFonts w:eastAsia="MS Mincho"/>
        </w:rPr>
        <w:t xml:space="preserve">se additional roles. </w:t>
      </w:r>
    </w:p>
    <w:p w14:paraId="52C0F483" w14:textId="4AB3AE11"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expectation is </w:t>
      </w:r>
      <w:r w:rsidRPr="00F36CAC">
        <w:rPr>
          <w:rFonts w:eastAsia="MS Mincho"/>
        </w:rPr>
        <w:t>that merger arrangements</w:t>
      </w:r>
      <w:r w:rsidRPr="007E304A">
        <w:rPr>
          <w:rFonts w:eastAsia="MS Mincho"/>
        </w:rPr>
        <w:t xml:space="preserve"> may increase cooperation and operational synergies in a number of areas </w:t>
      </w:r>
      <w:r w:rsidR="009161AE" w:rsidRPr="007E304A">
        <w:rPr>
          <w:rFonts w:eastAsia="MS Mincho"/>
        </w:rPr>
        <w:t xml:space="preserve">among </w:t>
      </w:r>
      <w:r w:rsidRPr="007E304A">
        <w:rPr>
          <w:rFonts w:eastAsia="MS Mincho"/>
        </w:rPr>
        <w:t xml:space="preserve">the four conventions, including in science and technical activities, capacity-building and technical </w:t>
      </w:r>
      <w:r w:rsidRPr="007E304A">
        <w:t>assistance</w:t>
      </w:r>
      <w:r w:rsidRPr="007E304A">
        <w:rPr>
          <w:rFonts w:eastAsia="MS Mincho"/>
        </w:rPr>
        <w:t xml:space="preserve">, and policy, legal and governance activities. Increased opportunities are anticipated for joint activities, assisting countries in furthering their implementation of the Basel, Rotterdam and Stockholm conventions and putting in place their arrangements for the implementation of the Minamata Convention. Furthermore, this option may show opportunities for improved regional delivery over and above current joint activity, through the coordinated use of the regional centres of the Basel and Stockholm conventions, and the regional delivery aspects of the joint technical assistance programme. </w:t>
      </w:r>
    </w:p>
    <w:p w14:paraId="4F712845" w14:textId="0E48C32F" w:rsidR="0041238C" w:rsidRPr="00B959C3" w:rsidRDefault="0041238C" w:rsidP="006432A8">
      <w:pPr>
        <w:pStyle w:val="CH3"/>
        <w:rPr>
          <w:rFonts w:eastAsia="MS Mincho"/>
        </w:rPr>
      </w:pPr>
      <w:r w:rsidRPr="007E304A">
        <w:rPr>
          <w:rFonts w:eastAsia="MS Mincho"/>
        </w:rPr>
        <w:tab/>
      </w:r>
      <w:r w:rsidRPr="007E304A">
        <w:rPr>
          <w:rFonts w:eastAsia="MS Mincho"/>
        </w:rPr>
        <w:tab/>
        <w:t>Option 1 (b)</w:t>
      </w:r>
      <w:r w:rsidR="00174A1C" w:rsidRPr="007E304A">
        <w:rPr>
          <w:rFonts w:eastAsia="MS Mincho"/>
        </w:rPr>
        <w:t xml:space="preserve"> </w:t>
      </w:r>
      <w:r w:rsidR="0042431C" w:rsidRPr="007E304A">
        <w:rPr>
          <w:rFonts w:eastAsia="MS Mincho"/>
        </w:rPr>
        <w:t>(branch)</w:t>
      </w:r>
      <w:r w:rsidRPr="007E304A">
        <w:rPr>
          <w:rFonts w:eastAsia="MS Mincho"/>
        </w:rPr>
        <w:t xml:space="preserve">: Merging the secretariat of the Minamata Convention </w:t>
      </w:r>
      <w:r w:rsidR="00F36CAC">
        <w:rPr>
          <w:rFonts w:eastAsia="MS Mincho"/>
        </w:rPr>
        <w:t>into</w:t>
      </w:r>
      <w:r w:rsidR="007E0BE2">
        <w:rPr>
          <w:rFonts w:eastAsia="MS Mincho"/>
        </w:rPr>
        <w:t xml:space="preserve"> </w:t>
      </w:r>
      <w:r w:rsidRPr="007E304A">
        <w:rPr>
          <w:rFonts w:eastAsia="MS Mincho"/>
        </w:rPr>
        <w:t xml:space="preserve">the secretariat of the Basel, Rotterdam and Stockholm conventions by creating, in the interim, a Minamata Convention </w:t>
      </w:r>
      <w:r w:rsidR="00174A1C" w:rsidRPr="007E304A">
        <w:rPr>
          <w:rFonts w:eastAsia="MS Mincho"/>
        </w:rPr>
        <w:t>b</w:t>
      </w:r>
      <w:r w:rsidRPr="007E304A">
        <w:rPr>
          <w:rFonts w:eastAsia="MS Mincho"/>
        </w:rPr>
        <w:t xml:space="preserve">ranch </w:t>
      </w:r>
    </w:p>
    <w:p w14:paraId="4322C15F" w14:textId="77777777" w:rsidR="0041238C" w:rsidRPr="007E304A" w:rsidRDefault="0041238C" w:rsidP="0041238C">
      <w:pPr>
        <w:pStyle w:val="Normalnumber"/>
        <w:numPr>
          <w:ilvl w:val="0"/>
          <w:numId w:val="0"/>
        </w:numPr>
        <w:ind w:left="1247"/>
        <w:rPr>
          <w:rFonts w:eastAsia="MS Mincho"/>
          <w:u w:val="single"/>
        </w:rPr>
      </w:pPr>
      <w:r w:rsidRPr="007E304A">
        <w:rPr>
          <w:rFonts w:eastAsia="MS Mincho"/>
        </w:rPr>
        <w:t>Location: Geneva</w:t>
      </w:r>
    </w:p>
    <w:p w14:paraId="27613F57" w14:textId="77777777" w:rsidR="0041238C" w:rsidRPr="00B959C3" w:rsidRDefault="0041238C" w:rsidP="006432A8">
      <w:pPr>
        <w:pStyle w:val="CH4"/>
        <w:outlineLvl w:val="0"/>
        <w:rPr>
          <w:rFonts w:eastAsia="MS Mincho"/>
        </w:rPr>
      </w:pPr>
      <w:r w:rsidRPr="007E304A">
        <w:rPr>
          <w:rFonts w:eastAsia="MS Mincho"/>
        </w:rPr>
        <w:tab/>
      </w:r>
      <w:r w:rsidRPr="007E304A">
        <w:rPr>
          <w:rFonts w:eastAsia="MS Mincho"/>
        </w:rPr>
        <w:tab/>
        <w:t xml:space="preserve">Structure </w:t>
      </w:r>
    </w:p>
    <w:p w14:paraId="58C7C0AC" w14:textId="739AEEF6" w:rsidR="0041238C" w:rsidRPr="00CD0BF2"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Under this option, a Minamata Convention </w:t>
      </w:r>
      <w:r w:rsidR="0005785D" w:rsidRPr="00F04A02">
        <w:rPr>
          <w:rFonts w:eastAsia="MS Mincho"/>
        </w:rPr>
        <w:t>b</w:t>
      </w:r>
      <w:r w:rsidRPr="00F04A02">
        <w:rPr>
          <w:rFonts w:eastAsia="MS Mincho"/>
        </w:rPr>
        <w:t>ranch would</w:t>
      </w:r>
      <w:r w:rsidRPr="007E304A">
        <w:rPr>
          <w:rFonts w:eastAsia="MS Mincho"/>
        </w:rPr>
        <w:t xml:space="preserve"> be established </w:t>
      </w:r>
      <w:r w:rsidRPr="00035ADA">
        <w:rPr>
          <w:rFonts w:eastAsia="MS Mincho"/>
        </w:rPr>
        <w:t xml:space="preserve">under </w:t>
      </w:r>
      <w:r w:rsidR="00BE2FDD" w:rsidRPr="006432A8">
        <w:rPr>
          <w:rFonts w:eastAsia="MS Mincho"/>
        </w:rPr>
        <w:t>a joint</w:t>
      </w:r>
      <w:r w:rsidRPr="00035ADA">
        <w:rPr>
          <w:rFonts w:eastAsia="MS Mincho"/>
        </w:rPr>
        <w:t xml:space="preserve"> Executive Secretary of the secretariat of the Basel, Rotterdam and Stockholm conventions and the Minamata Convention. While the Executive Secretary would discharge the overall leadership, executive direction and oversight over the four conventions, the Minamata Convention </w:t>
      </w:r>
      <w:r w:rsidR="0005785D" w:rsidRPr="00035ADA">
        <w:rPr>
          <w:rFonts w:eastAsia="MS Mincho"/>
        </w:rPr>
        <w:t>b</w:t>
      </w:r>
      <w:r w:rsidRPr="00035ADA">
        <w:rPr>
          <w:rFonts w:eastAsia="MS Mincho"/>
        </w:rPr>
        <w:t>ranch</w:t>
      </w:r>
      <w:r w:rsidRPr="007E304A">
        <w:rPr>
          <w:rFonts w:eastAsia="MS Mincho"/>
        </w:rPr>
        <w:t xml:space="preserve"> would specifically coordinate and deliver policy and substantive activities related to the functions of the secretariat of the </w:t>
      </w:r>
      <w:r w:rsidRPr="00CD0BF2">
        <w:rPr>
          <w:rFonts w:eastAsia="MS Mincho"/>
        </w:rPr>
        <w:t xml:space="preserve">Minamata Convention. The </w:t>
      </w:r>
      <w:r w:rsidRPr="00CD0BF2">
        <w:t>legal</w:t>
      </w:r>
      <w:r w:rsidRPr="00CD0BF2">
        <w:rPr>
          <w:rFonts w:eastAsia="MS Mincho"/>
        </w:rPr>
        <w:t xml:space="preserve"> autonomy of each of the conventions and related programmes of work </w:t>
      </w:r>
      <w:r w:rsidR="00F86035" w:rsidRPr="00CD0BF2">
        <w:rPr>
          <w:rFonts w:eastAsia="MS Mincho"/>
        </w:rPr>
        <w:t xml:space="preserve">would </w:t>
      </w:r>
      <w:r w:rsidRPr="00CD0BF2">
        <w:rPr>
          <w:rFonts w:eastAsia="MS Mincho"/>
        </w:rPr>
        <w:t>be maintained.</w:t>
      </w:r>
    </w:p>
    <w:p w14:paraId="02377F0C" w14:textId="19CE5A77"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CD0BF2">
        <w:rPr>
          <w:rFonts w:eastAsia="MS Mincho"/>
        </w:rPr>
        <w:t xml:space="preserve">The Minamata </w:t>
      </w:r>
      <w:r w:rsidRPr="00CD0BF2">
        <w:t>Convention</w:t>
      </w:r>
      <w:r w:rsidRPr="007E304A">
        <w:rPr>
          <w:rFonts w:eastAsia="MS Mincho"/>
        </w:rPr>
        <w:t xml:space="preserve"> </w:t>
      </w:r>
      <w:r w:rsidR="0005785D" w:rsidRPr="007E304A">
        <w:rPr>
          <w:rFonts w:eastAsia="MS Mincho"/>
        </w:rPr>
        <w:t>b</w:t>
      </w:r>
      <w:r w:rsidRPr="007E304A">
        <w:rPr>
          <w:rFonts w:eastAsia="MS Mincho"/>
        </w:rPr>
        <w:t xml:space="preserve">ranch would be supported by the Deputy Executive Secretary for administrative matters and other arrangements as required for the effective discharge of the functions of the secretariat of the Minamata Convention. The </w:t>
      </w:r>
      <w:r w:rsidR="0005785D" w:rsidRPr="007E304A">
        <w:rPr>
          <w:rFonts w:eastAsia="MS Mincho"/>
        </w:rPr>
        <w:t xml:space="preserve">Chief of the </w:t>
      </w:r>
      <w:r w:rsidRPr="007E304A">
        <w:rPr>
          <w:rFonts w:eastAsia="MS Mincho"/>
        </w:rPr>
        <w:t xml:space="preserve">Minamata Convention </w:t>
      </w:r>
      <w:r w:rsidR="0005785D" w:rsidRPr="007E304A">
        <w:rPr>
          <w:rFonts w:eastAsia="MS Mincho"/>
        </w:rPr>
        <w:t>b</w:t>
      </w:r>
      <w:r w:rsidRPr="007E304A">
        <w:rPr>
          <w:rFonts w:eastAsia="MS Mincho"/>
        </w:rPr>
        <w:t xml:space="preserve">ranch would also be supported by the Chief of the Conventions Operations Branch for the functions related to making arrangements for meetings of the Conference of </w:t>
      </w:r>
      <w:r w:rsidR="00FD3D60" w:rsidRPr="007E304A">
        <w:rPr>
          <w:rFonts w:eastAsia="MS Mincho"/>
        </w:rPr>
        <w:t xml:space="preserve">the </w:t>
      </w:r>
      <w:r w:rsidRPr="007E304A">
        <w:rPr>
          <w:rFonts w:eastAsia="MS Mincho"/>
        </w:rPr>
        <w:t xml:space="preserve">Parties </w:t>
      </w:r>
      <w:r w:rsidR="00EC782D" w:rsidRPr="007E304A">
        <w:rPr>
          <w:rFonts w:eastAsia="MS Mincho"/>
        </w:rPr>
        <w:t xml:space="preserve">to the Minamata Convention </w:t>
      </w:r>
      <w:r w:rsidRPr="007E304A">
        <w:rPr>
          <w:rFonts w:eastAsia="MS Mincho"/>
        </w:rPr>
        <w:t xml:space="preserve">and its subsidiary bodies. </w:t>
      </w:r>
      <w:r w:rsidR="00EC782D" w:rsidRPr="007E304A">
        <w:rPr>
          <w:rFonts w:eastAsia="MS Mincho"/>
        </w:rPr>
        <w:t>S</w:t>
      </w:r>
      <w:r w:rsidRPr="007E304A">
        <w:rPr>
          <w:rFonts w:eastAsia="MS Mincho"/>
        </w:rPr>
        <w:t xml:space="preserve">upport to the Chief of the Minamata Convention </w:t>
      </w:r>
      <w:r w:rsidR="00BA0C83" w:rsidRPr="007E304A">
        <w:rPr>
          <w:rFonts w:eastAsia="MS Mincho"/>
        </w:rPr>
        <w:t>b</w:t>
      </w:r>
      <w:r w:rsidRPr="007E304A">
        <w:rPr>
          <w:rFonts w:eastAsia="MS Mincho"/>
        </w:rPr>
        <w:t xml:space="preserve">ranch </w:t>
      </w:r>
      <w:r w:rsidR="00CA45C2">
        <w:rPr>
          <w:rFonts w:eastAsia="MS Mincho"/>
        </w:rPr>
        <w:t>by</w:t>
      </w:r>
      <w:r w:rsidR="00CA45C2" w:rsidRPr="007E304A">
        <w:rPr>
          <w:rFonts w:eastAsia="MS Mincho"/>
        </w:rPr>
        <w:t xml:space="preserve"> </w:t>
      </w:r>
      <w:r w:rsidRPr="007E304A">
        <w:rPr>
          <w:rFonts w:eastAsia="MS Mincho"/>
        </w:rPr>
        <w:t xml:space="preserve">the Deputy Executive Secretary and the Chief of the Convention Operations Branch would be under the overall guidance and leadership of the Executive Secretary. </w:t>
      </w:r>
    </w:p>
    <w:p w14:paraId="2611ACCD" w14:textId="1C714DE4" w:rsidR="0041238C" w:rsidRPr="007E304A" w:rsidRDefault="00CA45C2"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Th</w:t>
      </w:r>
      <w:r>
        <w:rPr>
          <w:rFonts w:eastAsia="MS Mincho"/>
        </w:rPr>
        <w:t>is</w:t>
      </w:r>
      <w:r w:rsidRPr="007E304A">
        <w:rPr>
          <w:rFonts w:eastAsia="MS Mincho"/>
        </w:rPr>
        <w:t xml:space="preserve"> </w:t>
      </w:r>
      <w:r w:rsidR="0041238C" w:rsidRPr="007E304A">
        <w:rPr>
          <w:rFonts w:eastAsia="MS Mincho"/>
        </w:rPr>
        <w:t xml:space="preserve">approach would be in place until </w:t>
      </w:r>
      <w:r w:rsidR="00EC782D" w:rsidRPr="007E304A">
        <w:rPr>
          <w:rFonts w:eastAsia="MS Mincho"/>
        </w:rPr>
        <w:t xml:space="preserve">a </w:t>
      </w:r>
      <w:r w:rsidR="0041238C" w:rsidRPr="007E304A">
        <w:rPr>
          <w:rFonts w:eastAsia="MS Mincho"/>
        </w:rPr>
        <w:t xml:space="preserve">further decision </w:t>
      </w:r>
      <w:r w:rsidR="00EC782D" w:rsidRPr="007E304A">
        <w:rPr>
          <w:rFonts w:eastAsia="MS Mincho"/>
        </w:rPr>
        <w:t xml:space="preserve">is made </w:t>
      </w:r>
      <w:r w:rsidR="0041238C" w:rsidRPr="007E304A">
        <w:rPr>
          <w:rFonts w:eastAsia="MS Mincho"/>
        </w:rPr>
        <w:t xml:space="preserve">with the aim of fully merging the secretariat functions of </w:t>
      </w:r>
      <w:r w:rsidR="0041238C" w:rsidRPr="007E304A">
        <w:t>the</w:t>
      </w:r>
      <w:r w:rsidR="0041238C" w:rsidRPr="007E304A">
        <w:rPr>
          <w:rFonts w:eastAsia="MS Mincho"/>
        </w:rPr>
        <w:t xml:space="preserve"> Minamata Convention into the current structure of the secretariat of the Basel, Rotterdam and Stockholm conventions, as presented in option 1</w:t>
      </w:r>
      <w:r w:rsidR="00824911" w:rsidRPr="007E304A">
        <w:rPr>
          <w:rFonts w:eastAsia="MS Mincho"/>
        </w:rPr>
        <w:t xml:space="preserve"> </w:t>
      </w:r>
      <w:r w:rsidR="0041238C" w:rsidRPr="007E304A">
        <w:rPr>
          <w:rFonts w:eastAsia="MS Mincho"/>
        </w:rPr>
        <w:t xml:space="preserve">(a). </w:t>
      </w:r>
    </w:p>
    <w:p w14:paraId="0F1F0C38" w14:textId="77777777" w:rsidR="0041238C" w:rsidRPr="00B959C3" w:rsidRDefault="0041238C" w:rsidP="006432A8">
      <w:pPr>
        <w:pStyle w:val="CH4"/>
        <w:outlineLvl w:val="0"/>
        <w:rPr>
          <w:rFonts w:eastAsia="MS Mincho"/>
        </w:rPr>
      </w:pPr>
      <w:r w:rsidRPr="007E304A">
        <w:rPr>
          <w:rFonts w:eastAsia="MS Mincho"/>
        </w:rPr>
        <w:tab/>
      </w:r>
      <w:r w:rsidRPr="007E304A">
        <w:rPr>
          <w:rFonts w:eastAsia="MS Mincho"/>
        </w:rPr>
        <w:tab/>
        <w:t>Staffing</w:t>
      </w:r>
    </w:p>
    <w:p w14:paraId="35247F5C" w14:textId="6D892008"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Minamata Convention </w:t>
      </w:r>
      <w:r w:rsidR="00BA0C83" w:rsidRPr="007E304A">
        <w:rPr>
          <w:rFonts w:eastAsia="MS Mincho"/>
        </w:rPr>
        <w:t>b</w:t>
      </w:r>
      <w:r w:rsidRPr="007E304A">
        <w:rPr>
          <w:rFonts w:eastAsia="MS Mincho"/>
        </w:rPr>
        <w:t xml:space="preserve">ranch would be composed of the following staff: one D-1 branch chief for policy and coordination, one P-4 officer for scientific matters, one P-3 officer for technical and science matters, one P-3 officer for technical assistance and capacity-building, one P-3 officer for knowledge </w:t>
      </w:r>
      <w:r w:rsidRPr="007E304A">
        <w:t>management</w:t>
      </w:r>
      <w:r w:rsidRPr="007E304A">
        <w:rPr>
          <w:rFonts w:eastAsia="MS Mincho"/>
        </w:rPr>
        <w:t xml:space="preserve"> and reporting and four General Service posts. </w:t>
      </w:r>
    </w:p>
    <w:p w14:paraId="5436BD0B" w14:textId="409EB48A"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In addition, to increase the capacity of the matrix structure to meet the needs of the Minamata Branch, the equivalent of 1.5 P-3 officers will need to be newly hired under the Chief of the Conventions </w:t>
      </w:r>
      <w:r w:rsidRPr="007E304A">
        <w:t>Operations</w:t>
      </w:r>
      <w:r w:rsidRPr="007E304A">
        <w:rPr>
          <w:rFonts w:eastAsia="MS Mincho"/>
        </w:rPr>
        <w:t xml:space="preserve"> Branch to cover the costs for functions such as legal, outreach and public awareness, information technology and information management.</w:t>
      </w:r>
    </w:p>
    <w:p w14:paraId="52FF39EB" w14:textId="0E364A3C"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Similar to option 1</w:t>
      </w:r>
      <w:r w:rsidR="00824911" w:rsidRPr="007E304A">
        <w:rPr>
          <w:rFonts w:eastAsia="MS Mincho"/>
        </w:rPr>
        <w:t xml:space="preserve"> </w:t>
      </w:r>
      <w:r w:rsidRPr="007E304A">
        <w:rPr>
          <w:rFonts w:eastAsia="MS Mincho"/>
        </w:rPr>
        <w:t>(a)</w:t>
      </w:r>
      <w:r w:rsidR="00824911" w:rsidRPr="007E304A">
        <w:rPr>
          <w:rFonts w:eastAsia="MS Mincho"/>
        </w:rPr>
        <w:t>,</w:t>
      </w:r>
      <w:r w:rsidRPr="007E304A">
        <w:rPr>
          <w:rFonts w:eastAsia="MS Mincho"/>
        </w:rPr>
        <w:t xml:space="preserve"> where existing staff of the secretariat of the Basel, Rotterdam and Stockholm conventions would take on functions for the Minamata Convention, </w:t>
      </w:r>
      <w:r w:rsidR="00FD1408" w:rsidRPr="007E304A">
        <w:rPr>
          <w:rFonts w:eastAsia="MS Mincho"/>
        </w:rPr>
        <w:t xml:space="preserve">such </w:t>
      </w:r>
      <w:r w:rsidRPr="007E304A">
        <w:rPr>
          <w:rFonts w:eastAsia="MS Mincho"/>
        </w:rPr>
        <w:t xml:space="preserve">positions would be cost-shared among the four conventions. In </w:t>
      </w:r>
      <w:r w:rsidR="00EC782D" w:rsidRPr="007E304A">
        <w:rPr>
          <w:rFonts w:eastAsia="MS Mincho"/>
        </w:rPr>
        <w:t>tha</w:t>
      </w:r>
      <w:r w:rsidR="007A591F" w:rsidRPr="007E304A">
        <w:rPr>
          <w:rFonts w:eastAsia="MS Mincho"/>
        </w:rPr>
        <w:t>t</w:t>
      </w:r>
      <w:r w:rsidR="00EC782D" w:rsidRPr="007E304A">
        <w:rPr>
          <w:rFonts w:eastAsia="MS Mincho"/>
        </w:rPr>
        <w:t xml:space="preserve"> </w:t>
      </w:r>
      <w:r w:rsidRPr="007E304A">
        <w:rPr>
          <w:rFonts w:eastAsia="MS Mincho"/>
        </w:rPr>
        <w:t xml:space="preserve">regard, for calculation purposes, </w:t>
      </w:r>
      <w:r w:rsidR="00EC782D" w:rsidRPr="007E304A">
        <w:rPr>
          <w:rFonts w:eastAsia="MS Mincho"/>
        </w:rPr>
        <w:t xml:space="preserve">those positions </w:t>
      </w:r>
      <w:r w:rsidRPr="007E304A">
        <w:rPr>
          <w:rFonts w:eastAsia="MS Mincho"/>
        </w:rPr>
        <w:t>have been estimated to amount to 40 per cent of a D-2 post (Executive Secretary), 20 per cent of a D-1</w:t>
      </w:r>
      <w:r w:rsidR="00535B48" w:rsidRPr="007E304A">
        <w:rPr>
          <w:rFonts w:eastAsia="MS Mincho"/>
        </w:rPr>
        <w:t xml:space="preserve"> </w:t>
      </w:r>
      <w:r w:rsidRPr="007E304A">
        <w:rPr>
          <w:rFonts w:eastAsia="MS Mincho"/>
        </w:rPr>
        <w:t xml:space="preserve">post (Deputy Executive </w:t>
      </w:r>
      <w:r w:rsidRPr="007E304A">
        <w:t>Secretary</w:t>
      </w:r>
      <w:r w:rsidRPr="007E304A">
        <w:rPr>
          <w:rFonts w:eastAsia="MS Mincho"/>
        </w:rPr>
        <w:t xml:space="preserve">) and 40 per cent of a P-5 post (Branch Chief, Conventions Operations Branch) to be paid by the Minamata Convention, and representing their contribution to the functions for the Minamata Convention. </w:t>
      </w:r>
    </w:p>
    <w:p w14:paraId="245DCDEE" w14:textId="4A7469F5"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It should be noted that the fund and administrative functions are to be funded from the </w:t>
      </w:r>
      <w:r w:rsidR="00963EFA" w:rsidRPr="007E304A">
        <w:rPr>
          <w:rFonts w:eastAsia="MS Mincho"/>
        </w:rPr>
        <w:t>programme support costs</w:t>
      </w:r>
      <w:r w:rsidRPr="007E304A">
        <w:rPr>
          <w:rFonts w:eastAsia="MS Mincho"/>
        </w:rPr>
        <w:t xml:space="preserve"> generated by the Minamata Convention and are not cost-shared among the conventions. A P-3</w:t>
      </w:r>
      <w:r w:rsidRPr="007E304A">
        <w:t xml:space="preserve"> </w:t>
      </w:r>
      <w:r w:rsidRPr="007E304A">
        <w:rPr>
          <w:rFonts w:eastAsia="MS Mincho"/>
        </w:rPr>
        <w:t>fund and administration post and one General S</w:t>
      </w:r>
      <w:r w:rsidR="00541C22" w:rsidRPr="007E304A">
        <w:rPr>
          <w:rFonts w:eastAsia="MS Mincho"/>
        </w:rPr>
        <w:t xml:space="preserve">ervice </w:t>
      </w:r>
      <w:r w:rsidRPr="007E304A">
        <w:rPr>
          <w:rFonts w:eastAsia="MS Mincho"/>
        </w:rPr>
        <w:t xml:space="preserve">post will be created and funded by the </w:t>
      </w:r>
      <w:r w:rsidR="00963EFA" w:rsidRPr="007E304A">
        <w:rPr>
          <w:rFonts w:eastAsia="MS Mincho"/>
        </w:rPr>
        <w:t>programme support costs</w:t>
      </w:r>
      <w:r w:rsidRPr="007E304A">
        <w:rPr>
          <w:rFonts w:eastAsia="MS Mincho"/>
        </w:rPr>
        <w:t xml:space="preserve"> generated by the Minamata Convention. </w:t>
      </w:r>
    </w:p>
    <w:p w14:paraId="3DB1E9F8" w14:textId="77777777" w:rsidR="0041238C" w:rsidRPr="00B959C3" w:rsidRDefault="0041238C" w:rsidP="006432A8">
      <w:pPr>
        <w:pStyle w:val="CH4"/>
        <w:outlineLvl w:val="0"/>
        <w:rPr>
          <w:rFonts w:eastAsia="MS Mincho"/>
        </w:rPr>
      </w:pPr>
      <w:r w:rsidRPr="007E304A">
        <w:rPr>
          <w:rFonts w:eastAsia="MS Mincho"/>
        </w:rPr>
        <w:tab/>
      </w:r>
      <w:r w:rsidRPr="007E304A">
        <w:rPr>
          <w:rFonts w:eastAsia="MS Mincho"/>
        </w:rPr>
        <w:tab/>
        <w:t>Analysis</w:t>
      </w:r>
    </w:p>
    <w:p w14:paraId="6D69A602" w14:textId="5F8829FF"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separate and dedicated Minamata Convention </w:t>
      </w:r>
      <w:r w:rsidR="00BA0C83" w:rsidRPr="007E304A">
        <w:rPr>
          <w:rFonts w:eastAsia="MS Mincho"/>
        </w:rPr>
        <w:t>b</w:t>
      </w:r>
      <w:r w:rsidRPr="007E304A">
        <w:rPr>
          <w:rFonts w:eastAsia="MS Mincho"/>
        </w:rPr>
        <w:t xml:space="preserve">ranch </w:t>
      </w:r>
      <w:r w:rsidRPr="007E304A">
        <w:t>would</w:t>
      </w:r>
      <w:r w:rsidRPr="007E304A">
        <w:rPr>
          <w:rFonts w:eastAsia="MS Mincho"/>
        </w:rPr>
        <w:t xml:space="preserve"> </w:t>
      </w:r>
      <w:r w:rsidR="00281175">
        <w:rPr>
          <w:rFonts w:eastAsia="MS Mincho"/>
        </w:rPr>
        <w:t>enable attention to be</w:t>
      </w:r>
      <w:r w:rsidR="00281175" w:rsidRPr="007E304A">
        <w:rPr>
          <w:rFonts w:eastAsia="MS Mincho"/>
        </w:rPr>
        <w:t xml:space="preserve"> </w:t>
      </w:r>
      <w:r w:rsidRPr="007E304A">
        <w:rPr>
          <w:rFonts w:eastAsia="MS Mincho"/>
        </w:rPr>
        <w:t xml:space="preserve">focused on all matters </w:t>
      </w:r>
      <w:r w:rsidR="00897529" w:rsidRPr="007E304A">
        <w:rPr>
          <w:rFonts w:eastAsia="MS Mincho"/>
        </w:rPr>
        <w:t xml:space="preserve">related to </w:t>
      </w:r>
      <w:r w:rsidRPr="007E304A">
        <w:rPr>
          <w:rFonts w:eastAsia="MS Mincho"/>
        </w:rPr>
        <w:t xml:space="preserve">mercury and the Minamata Convention in the early life of the Convention, </w:t>
      </w:r>
      <w:r w:rsidR="009161AE" w:rsidRPr="007E304A">
        <w:rPr>
          <w:rFonts w:eastAsia="MS Mincho"/>
        </w:rPr>
        <w:t xml:space="preserve">and allow the Minamata Convention </w:t>
      </w:r>
      <w:r w:rsidR="0042431C" w:rsidRPr="007E304A">
        <w:rPr>
          <w:rFonts w:eastAsia="MS Mincho"/>
        </w:rPr>
        <w:t>b</w:t>
      </w:r>
      <w:r w:rsidR="009161AE" w:rsidRPr="007E304A">
        <w:rPr>
          <w:rFonts w:eastAsia="MS Mincho"/>
        </w:rPr>
        <w:t xml:space="preserve">ranch to </w:t>
      </w:r>
      <w:r w:rsidR="00897529" w:rsidRPr="007E304A">
        <w:rPr>
          <w:rFonts w:eastAsia="MS Mincho"/>
        </w:rPr>
        <w:t xml:space="preserve">draw on </w:t>
      </w:r>
      <w:r w:rsidRPr="007E304A">
        <w:rPr>
          <w:rFonts w:eastAsia="MS Mincho"/>
        </w:rPr>
        <w:t xml:space="preserve">key </w:t>
      </w:r>
      <w:r w:rsidR="009161AE" w:rsidRPr="007E304A">
        <w:rPr>
          <w:rFonts w:eastAsia="MS Mincho"/>
        </w:rPr>
        <w:t xml:space="preserve">strategic and key </w:t>
      </w:r>
      <w:r w:rsidRPr="007E304A">
        <w:rPr>
          <w:rFonts w:eastAsia="MS Mincho"/>
        </w:rPr>
        <w:t>generic secretariat functions</w:t>
      </w:r>
      <w:r w:rsidR="009161AE" w:rsidRPr="007E304A">
        <w:rPr>
          <w:rFonts w:eastAsia="MS Mincho"/>
        </w:rPr>
        <w:t xml:space="preserve"> from the rest of the secretariat</w:t>
      </w:r>
      <w:r w:rsidRPr="007E304A">
        <w:rPr>
          <w:rFonts w:eastAsia="MS Mincho"/>
        </w:rPr>
        <w:t xml:space="preserve">. The Minamata Convention </w:t>
      </w:r>
      <w:r w:rsidR="00BA0C83" w:rsidRPr="007E304A">
        <w:rPr>
          <w:rFonts w:eastAsia="MS Mincho"/>
        </w:rPr>
        <w:t>b</w:t>
      </w:r>
      <w:r w:rsidRPr="007E304A">
        <w:rPr>
          <w:rFonts w:eastAsia="MS Mincho"/>
        </w:rPr>
        <w:t xml:space="preserve">ranch would be responsible for policy and substantive elements in </w:t>
      </w:r>
      <w:r w:rsidRPr="00076E37">
        <w:rPr>
          <w:rFonts w:eastAsia="MS Mincho"/>
        </w:rPr>
        <w:t>the programme</w:t>
      </w:r>
      <w:r w:rsidRPr="007E304A">
        <w:rPr>
          <w:rFonts w:eastAsia="MS Mincho"/>
        </w:rPr>
        <w:t xml:space="preserve"> of work of the Minamata Convention, including document preparation, the development of scientific and technical items, the facilitation of technical assistance and </w:t>
      </w:r>
      <w:r w:rsidR="00EC782D" w:rsidRPr="007E304A">
        <w:rPr>
          <w:rFonts w:eastAsia="MS Mincho"/>
        </w:rPr>
        <w:t>capacity</w:t>
      </w:r>
      <w:r w:rsidR="00EC782D" w:rsidRPr="007E304A">
        <w:rPr>
          <w:rFonts w:eastAsia="MS Mincho"/>
        </w:rPr>
        <w:noBreakHyphen/>
      </w:r>
      <w:r w:rsidRPr="007E304A">
        <w:rPr>
          <w:rFonts w:eastAsia="MS Mincho"/>
        </w:rPr>
        <w:t>building, and support</w:t>
      </w:r>
      <w:r w:rsidR="00B27ECA" w:rsidRPr="007E304A">
        <w:rPr>
          <w:rFonts w:eastAsia="MS Mincho"/>
        </w:rPr>
        <w:t xml:space="preserve"> to </w:t>
      </w:r>
      <w:r w:rsidRPr="007E304A">
        <w:rPr>
          <w:rFonts w:eastAsia="MS Mincho"/>
        </w:rPr>
        <w:t xml:space="preserve">parties </w:t>
      </w:r>
      <w:r w:rsidR="00EC782D" w:rsidRPr="007E304A">
        <w:rPr>
          <w:rFonts w:eastAsia="MS Mincho"/>
        </w:rPr>
        <w:t xml:space="preserve">in </w:t>
      </w:r>
      <w:r w:rsidRPr="007E304A">
        <w:rPr>
          <w:rFonts w:eastAsia="MS Mincho"/>
        </w:rPr>
        <w:t xml:space="preserve">reporting and information exchange. </w:t>
      </w:r>
      <w:r w:rsidR="00EC782D" w:rsidRPr="007E304A">
        <w:rPr>
          <w:rFonts w:eastAsia="MS Mincho"/>
        </w:rPr>
        <w:t xml:space="preserve">Such an </w:t>
      </w:r>
      <w:r w:rsidRPr="007E304A">
        <w:rPr>
          <w:rFonts w:eastAsia="MS Mincho"/>
        </w:rPr>
        <w:t xml:space="preserve">arrangement would also build on links already established with ongoing knowledge management and e-learning activities among multilateral agreements, including the </w:t>
      </w:r>
      <w:proofErr w:type="spellStart"/>
      <w:r w:rsidRPr="007E304A">
        <w:rPr>
          <w:rFonts w:eastAsia="MS Mincho"/>
        </w:rPr>
        <w:t>InforMEA</w:t>
      </w:r>
      <w:proofErr w:type="spellEnd"/>
      <w:r w:rsidRPr="007E304A">
        <w:rPr>
          <w:rFonts w:eastAsia="MS Mincho"/>
        </w:rPr>
        <w:t xml:space="preserve"> exchange and e-learning portal and the reporting portal</w:t>
      </w:r>
      <w:r w:rsidR="00EC782D" w:rsidRPr="007E304A">
        <w:rPr>
          <w:rFonts w:eastAsia="MS Mincho"/>
        </w:rPr>
        <w:t xml:space="preserve"> built by the World Conservation Monitoring Centre</w:t>
      </w:r>
      <w:r w:rsidR="00A770EF">
        <w:rPr>
          <w:rFonts w:eastAsia="MS Mincho"/>
        </w:rPr>
        <w:t>,</w:t>
      </w:r>
      <w:r w:rsidRPr="007E304A">
        <w:rPr>
          <w:rFonts w:eastAsia="MS Mincho"/>
        </w:rPr>
        <w:t xml:space="preserve"> so as to be informed of best practices and utili</w:t>
      </w:r>
      <w:r w:rsidR="00EC782D" w:rsidRPr="007E304A">
        <w:rPr>
          <w:rFonts w:eastAsia="MS Mincho"/>
        </w:rPr>
        <w:t>z</w:t>
      </w:r>
      <w:r w:rsidRPr="007E304A">
        <w:rPr>
          <w:rFonts w:eastAsia="MS Mincho"/>
        </w:rPr>
        <w:t>e scales of economy.</w:t>
      </w:r>
    </w:p>
    <w:p w14:paraId="09128F8B" w14:textId="65E36B02"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Minamata Convention </w:t>
      </w:r>
      <w:r w:rsidR="00BA0C83" w:rsidRPr="007E304A">
        <w:rPr>
          <w:rFonts w:eastAsia="MS Mincho"/>
        </w:rPr>
        <w:t>b</w:t>
      </w:r>
      <w:r w:rsidRPr="007E304A">
        <w:rPr>
          <w:rFonts w:eastAsia="MS Mincho"/>
        </w:rPr>
        <w:t xml:space="preserve">ranch would draw on the Deputy Executive Secretary to manage administrative matters </w:t>
      </w:r>
      <w:r w:rsidRPr="007E304A">
        <w:t>and</w:t>
      </w:r>
      <w:r w:rsidRPr="007E304A">
        <w:rPr>
          <w:rFonts w:eastAsia="MS Mincho"/>
        </w:rPr>
        <w:t xml:space="preserve"> other arrangements as may be required to effectively discharge the functions of the secretariat to the Minamata Convention. For meetings </w:t>
      </w:r>
      <w:r w:rsidR="007A591F" w:rsidRPr="007E304A">
        <w:rPr>
          <w:rFonts w:eastAsia="MS Mincho"/>
        </w:rPr>
        <w:t>arrangements,</w:t>
      </w:r>
      <w:r w:rsidRPr="007E304A">
        <w:rPr>
          <w:rFonts w:eastAsia="MS Mincho"/>
        </w:rPr>
        <w:t xml:space="preserve"> the Minamata Convention </w:t>
      </w:r>
      <w:r w:rsidR="00BA0C83" w:rsidRPr="007E304A">
        <w:rPr>
          <w:rFonts w:eastAsia="MS Mincho"/>
        </w:rPr>
        <w:t>b</w:t>
      </w:r>
      <w:r w:rsidRPr="007E304A">
        <w:rPr>
          <w:rFonts w:eastAsia="MS Mincho"/>
        </w:rPr>
        <w:t xml:space="preserve">ranch </w:t>
      </w:r>
      <w:r w:rsidRPr="007E304A">
        <w:t>would</w:t>
      </w:r>
      <w:r w:rsidRPr="007E304A">
        <w:rPr>
          <w:rFonts w:eastAsia="MS Mincho"/>
        </w:rPr>
        <w:t xml:space="preserve"> draw on the Chief of the Conventions Operation Branch to coordinate the preparation of the </w:t>
      </w:r>
      <w:r w:rsidR="00F04A02">
        <w:rPr>
          <w:rFonts w:eastAsia="MS Mincho"/>
        </w:rPr>
        <w:t xml:space="preserve">meetings of the </w:t>
      </w:r>
      <w:r w:rsidRPr="007E304A">
        <w:rPr>
          <w:rFonts w:eastAsia="MS Mincho"/>
        </w:rPr>
        <w:t xml:space="preserve">Conference of </w:t>
      </w:r>
      <w:r w:rsidR="00EC782D" w:rsidRPr="007E304A">
        <w:rPr>
          <w:rFonts w:eastAsia="MS Mincho"/>
        </w:rPr>
        <w:t xml:space="preserve">the </w:t>
      </w:r>
      <w:r w:rsidRPr="007E304A">
        <w:rPr>
          <w:rFonts w:eastAsia="MS Mincho"/>
        </w:rPr>
        <w:t xml:space="preserve">Parties </w:t>
      </w:r>
      <w:r w:rsidR="00EC782D" w:rsidRPr="007E304A">
        <w:rPr>
          <w:rFonts w:eastAsia="MS Mincho"/>
        </w:rPr>
        <w:t xml:space="preserve">to the Minamata Convention </w:t>
      </w:r>
      <w:r w:rsidRPr="007E304A">
        <w:rPr>
          <w:rFonts w:eastAsia="MS Mincho"/>
        </w:rPr>
        <w:t>and its subsidiary bodies.</w:t>
      </w:r>
    </w:p>
    <w:p w14:paraId="7597E83A" w14:textId="54CA4EBD"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In terms of staff costs, this option implies a reduction </w:t>
      </w:r>
      <w:r w:rsidR="006A09F5" w:rsidRPr="007E304A">
        <w:rPr>
          <w:rFonts w:eastAsia="MS Mincho"/>
        </w:rPr>
        <w:t xml:space="preserve">in </w:t>
      </w:r>
      <w:r w:rsidRPr="007E304A">
        <w:rPr>
          <w:rFonts w:eastAsia="MS Mincho"/>
        </w:rPr>
        <w:t xml:space="preserve">overall costs to the Basel, Rotterdam and Stockholm </w:t>
      </w:r>
      <w:r w:rsidRPr="007E304A">
        <w:t>conventions</w:t>
      </w:r>
      <w:r w:rsidRPr="007E304A">
        <w:rPr>
          <w:rFonts w:eastAsia="MS Mincho"/>
        </w:rPr>
        <w:t>, as three existing Basel, Rotterdam and Stockholm staff posts would be co-funded by the Minamata Convention. Furthermore, it implies a strengthening of the existing matrix structure as 1.5 P-3 positions would be added to the current staff complement of the secretariat of the Basel, Rotterdam and Stockholm conventions. Th</w:t>
      </w:r>
      <w:r w:rsidR="009333F2" w:rsidRPr="007E304A">
        <w:rPr>
          <w:rFonts w:eastAsia="MS Mincho"/>
        </w:rPr>
        <w:t>o</w:t>
      </w:r>
      <w:r w:rsidRPr="007E304A">
        <w:rPr>
          <w:rFonts w:eastAsia="MS Mincho"/>
        </w:rPr>
        <w:t xml:space="preserve">se 1.5 positions would be funded from the savings that the Basel, Rotterdam and Stockholm conventions would derive from the Minamata Convention contribution. </w:t>
      </w:r>
    </w:p>
    <w:p w14:paraId="5FB4FD51" w14:textId="7D0F005C"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five new professional posts and four new </w:t>
      </w:r>
      <w:r w:rsidR="00EC782D" w:rsidRPr="007E304A">
        <w:rPr>
          <w:rFonts w:eastAsia="MS Mincho"/>
        </w:rPr>
        <w:t>G</w:t>
      </w:r>
      <w:r w:rsidRPr="007E304A">
        <w:rPr>
          <w:rFonts w:eastAsia="MS Mincho"/>
        </w:rPr>
        <w:t xml:space="preserve">eneral Service posts that would need to be created to fulfil </w:t>
      </w:r>
      <w:r w:rsidRPr="007E304A">
        <w:t>Minamata</w:t>
      </w:r>
      <w:r w:rsidRPr="007E304A">
        <w:rPr>
          <w:rFonts w:eastAsia="MS Mincho"/>
        </w:rPr>
        <w:t xml:space="preserve"> Convention </w:t>
      </w:r>
      <w:r w:rsidR="00BA0C83" w:rsidRPr="007E304A">
        <w:rPr>
          <w:rFonts w:eastAsia="MS Mincho"/>
        </w:rPr>
        <w:t>b</w:t>
      </w:r>
      <w:r w:rsidRPr="007E304A">
        <w:rPr>
          <w:rFonts w:eastAsia="MS Mincho"/>
        </w:rPr>
        <w:t xml:space="preserve">ranch </w:t>
      </w:r>
      <w:r w:rsidRPr="00C36381">
        <w:rPr>
          <w:rFonts w:eastAsia="MS Mincho"/>
        </w:rPr>
        <w:t>functions would</w:t>
      </w:r>
      <w:r w:rsidRPr="007E304A">
        <w:rPr>
          <w:rFonts w:eastAsia="MS Mincho"/>
        </w:rPr>
        <w:t xml:space="preserve"> be fully funded by the Minamata Convention. </w:t>
      </w:r>
    </w:p>
    <w:p w14:paraId="3D66FD31" w14:textId="2A9CB96A" w:rsidR="0041238C" w:rsidRPr="007E304A" w:rsidRDefault="009161AE"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I</w:t>
      </w:r>
      <w:r w:rsidR="0041238C" w:rsidRPr="007E304A">
        <w:rPr>
          <w:rFonts w:eastAsia="MS Mincho"/>
        </w:rPr>
        <w:t>n response to the calls for high political visibility and attention</w:t>
      </w:r>
      <w:r w:rsidRPr="007E304A">
        <w:rPr>
          <w:rFonts w:eastAsia="MS Mincho"/>
        </w:rPr>
        <w:t xml:space="preserve"> to the Minamata Convention during the deliberations at the Dead Sea</w:t>
      </w:r>
      <w:r w:rsidR="0041238C" w:rsidRPr="007E304A">
        <w:rPr>
          <w:rFonts w:eastAsia="MS Mincho"/>
        </w:rPr>
        <w:t xml:space="preserve">, the following increases were introduced from </w:t>
      </w:r>
      <w:r w:rsidR="00EC782D" w:rsidRPr="007E304A">
        <w:rPr>
          <w:rFonts w:eastAsia="MS Mincho"/>
        </w:rPr>
        <w:t xml:space="preserve">the </w:t>
      </w:r>
      <w:r w:rsidRPr="007E304A">
        <w:rPr>
          <w:rFonts w:eastAsia="MS Mincho"/>
        </w:rPr>
        <w:t>initial report of the Executive Director</w:t>
      </w:r>
      <w:r w:rsidRPr="00F86035">
        <w:rPr>
          <w:rFonts w:eastAsia="MS Mincho"/>
        </w:rPr>
        <w:t>:</w:t>
      </w:r>
      <w:r w:rsidRPr="007E304A">
        <w:rPr>
          <w:rFonts w:eastAsia="MS Mincho"/>
        </w:rPr>
        <w:t xml:space="preserve"> </w:t>
      </w:r>
      <w:r w:rsidR="00EC782D" w:rsidRPr="007E304A">
        <w:t>t</w:t>
      </w:r>
      <w:r w:rsidR="0041238C" w:rsidRPr="007E304A">
        <w:rPr>
          <w:rFonts w:eastAsia="MS Mincho"/>
        </w:rPr>
        <w:t>he time of the D-2 Executive Secretary was raised from 20 per cent to 40 per</w:t>
      </w:r>
      <w:r w:rsidR="00EC782D" w:rsidRPr="007E304A">
        <w:rPr>
          <w:rFonts w:eastAsia="MS Mincho"/>
        </w:rPr>
        <w:t xml:space="preserve"> cent; and t</w:t>
      </w:r>
      <w:r w:rsidR="0041238C" w:rsidRPr="007E304A">
        <w:rPr>
          <w:rFonts w:eastAsia="MS Mincho"/>
        </w:rPr>
        <w:t xml:space="preserve">he time for the P-5 Conventions Support Branch </w:t>
      </w:r>
      <w:r w:rsidR="00EC782D" w:rsidRPr="007E304A">
        <w:rPr>
          <w:rFonts w:eastAsia="MS Mincho"/>
        </w:rPr>
        <w:t>C</w:t>
      </w:r>
      <w:r w:rsidR="0041238C" w:rsidRPr="007E304A">
        <w:rPr>
          <w:rFonts w:eastAsia="MS Mincho"/>
        </w:rPr>
        <w:t>hief was raised from 25 per cent to 40</w:t>
      </w:r>
      <w:r w:rsidRPr="007E304A">
        <w:rPr>
          <w:rFonts w:eastAsia="MS Mincho"/>
        </w:rPr>
        <w:t xml:space="preserve"> </w:t>
      </w:r>
      <w:r w:rsidR="0041238C" w:rsidRPr="007E304A">
        <w:rPr>
          <w:rFonts w:eastAsia="MS Mincho"/>
        </w:rPr>
        <w:t>per</w:t>
      </w:r>
      <w:r w:rsidRPr="007E304A">
        <w:rPr>
          <w:rFonts w:eastAsia="MS Mincho"/>
        </w:rPr>
        <w:t xml:space="preserve"> </w:t>
      </w:r>
      <w:r w:rsidR="0041238C" w:rsidRPr="007E304A">
        <w:rPr>
          <w:rFonts w:eastAsia="MS Mincho"/>
        </w:rPr>
        <w:t>cent</w:t>
      </w:r>
      <w:r w:rsidR="00EC782D" w:rsidRPr="007E304A">
        <w:rPr>
          <w:rFonts w:eastAsia="MS Mincho"/>
        </w:rPr>
        <w:t xml:space="preserve">, </w:t>
      </w:r>
      <w:r w:rsidR="0041238C" w:rsidRPr="007E304A">
        <w:rPr>
          <w:rFonts w:eastAsia="MS Mincho"/>
        </w:rPr>
        <w:t>recogni</w:t>
      </w:r>
      <w:r w:rsidR="00EC782D" w:rsidRPr="007E304A">
        <w:rPr>
          <w:rFonts w:eastAsia="MS Mincho"/>
        </w:rPr>
        <w:t>z</w:t>
      </w:r>
      <w:r w:rsidR="0041238C" w:rsidRPr="007E304A">
        <w:rPr>
          <w:rFonts w:eastAsia="MS Mincho"/>
        </w:rPr>
        <w:t xml:space="preserve">ing that two meetings of the Conference of </w:t>
      </w:r>
      <w:r w:rsidR="00FD3D60" w:rsidRPr="007E304A">
        <w:rPr>
          <w:rFonts w:eastAsia="MS Mincho"/>
        </w:rPr>
        <w:t xml:space="preserve">the </w:t>
      </w:r>
      <w:r w:rsidR="0041238C" w:rsidRPr="007E304A">
        <w:rPr>
          <w:rFonts w:eastAsia="MS Mincho"/>
        </w:rPr>
        <w:t xml:space="preserve">Parties </w:t>
      </w:r>
      <w:r w:rsidR="00A46CDC" w:rsidRPr="007E304A">
        <w:rPr>
          <w:rFonts w:eastAsia="MS Mincho"/>
        </w:rPr>
        <w:t xml:space="preserve">to </w:t>
      </w:r>
      <w:r w:rsidR="0041238C" w:rsidRPr="007E304A">
        <w:rPr>
          <w:rFonts w:eastAsia="MS Mincho"/>
        </w:rPr>
        <w:t xml:space="preserve">the Minamata Convention are expected to be held in the </w:t>
      </w:r>
      <w:r w:rsidR="00EC782D" w:rsidRPr="007E304A">
        <w:rPr>
          <w:rFonts w:eastAsia="MS Mincho"/>
        </w:rPr>
        <w:t xml:space="preserve">biennium </w:t>
      </w:r>
      <w:r w:rsidR="0041238C" w:rsidRPr="007E304A">
        <w:rPr>
          <w:rFonts w:eastAsia="MS Mincho"/>
        </w:rPr>
        <w:t>2018</w:t>
      </w:r>
      <w:r w:rsidR="00EC782D" w:rsidRPr="007E304A">
        <w:rPr>
          <w:rFonts w:eastAsia="MS Mincho"/>
        </w:rPr>
        <w:t>–</w:t>
      </w:r>
      <w:r w:rsidR="0041238C" w:rsidRPr="007E304A">
        <w:rPr>
          <w:rFonts w:eastAsia="MS Mincho"/>
        </w:rPr>
        <w:t>2019. T</w:t>
      </w:r>
      <w:r w:rsidRPr="007E304A">
        <w:rPr>
          <w:rFonts w:eastAsia="MS Mincho"/>
        </w:rPr>
        <w:t xml:space="preserve">he </w:t>
      </w:r>
      <w:r w:rsidR="0041238C" w:rsidRPr="007E304A">
        <w:rPr>
          <w:rFonts w:eastAsia="MS Mincho"/>
        </w:rPr>
        <w:t xml:space="preserve">revised proposal </w:t>
      </w:r>
      <w:r w:rsidRPr="007E304A">
        <w:rPr>
          <w:rFonts w:eastAsia="MS Mincho"/>
        </w:rPr>
        <w:t xml:space="preserve">also </w:t>
      </w:r>
      <w:r w:rsidR="0041238C" w:rsidRPr="007E304A">
        <w:rPr>
          <w:rFonts w:eastAsia="MS Mincho"/>
        </w:rPr>
        <w:t xml:space="preserve">raises the post of the </w:t>
      </w:r>
      <w:r w:rsidR="00BA0C83" w:rsidRPr="007E304A">
        <w:rPr>
          <w:rFonts w:eastAsia="MS Mincho"/>
        </w:rPr>
        <w:t xml:space="preserve">Chief of the </w:t>
      </w:r>
      <w:r w:rsidR="0041238C" w:rsidRPr="007E304A">
        <w:rPr>
          <w:rFonts w:eastAsia="MS Mincho"/>
        </w:rPr>
        <w:t xml:space="preserve">Minamata Convention </w:t>
      </w:r>
      <w:r w:rsidR="00BA0C83" w:rsidRPr="007E304A">
        <w:rPr>
          <w:rFonts w:eastAsia="MS Mincho"/>
        </w:rPr>
        <w:t>b</w:t>
      </w:r>
      <w:r w:rsidR="0041238C" w:rsidRPr="007E304A">
        <w:rPr>
          <w:rFonts w:eastAsia="MS Mincho"/>
        </w:rPr>
        <w:t xml:space="preserve">ranch from P-5 to D-1. Furthermore, while three </w:t>
      </w:r>
      <w:r w:rsidR="00EC782D" w:rsidRPr="007E304A">
        <w:rPr>
          <w:rFonts w:eastAsia="MS Mincho"/>
        </w:rPr>
        <w:t>G</w:t>
      </w:r>
      <w:r w:rsidR="0041238C" w:rsidRPr="007E304A">
        <w:rPr>
          <w:rFonts w:eastAsia="MS Mincho"/>
        </w:rPr>
        <w:t xml:space="preserve">eneral </w:t>
      </w:r>
      <w:r w:rsidR="00EC782D" w:rsidRPr="007E304A">
        <w:rPr>
          <w:rFonts w:eastAsia="MS Mincho"/>
        </w:rPr>
        <w:t>S</w:t>
      </w:r>
      <w:r w:rsidR="00541C22" w:rsidRPr="007E304A">
        <w:rPr>
          <w:rFonts w:eastAsia="MS Mincho"/>
        </w:rPr>
        <w:t xml:space="preserve">ervice </w:t>
      </w:r>
      <w:r w:rsidR="00474877" w:rsidRPr="007E304A">
        <w:rPr>
          <w:rFonts w:eastAsia="MS Mincho"/>
        </w:rPr>
        <w:t>posts</w:t>
      </w:r>
      <w:r w:rsidR="0041238C" w:rsidRPr="007E304A">
        <w:rPr>
          <w:rFonts w:eastAsia="MS Mincho"/>
        </w:rPr>
        <w:t xml:space="preserve"> were proposed in the initial proposal, here four new </w:t>
      </w:r>
      <w:r w:rsidR="00EC782D" w:rsidRPr="007E304A">
        <w:rPr>
          <w:rFonts w:eastAsia="MS Mincho"/>
        </w:rPr>
        <w:t>G</w:t>
      </w:r>
      <w:r w:rsidR="0041238C" w:rsidRPr="007E304A">
        <w:rPr>
          <w:rFonts w:eastAsia="MS Mincho"/>
        </w:rPr>
        <w:t xml:space="preserve">eneral </w:t>
      </w:r>
      <w:r w:rsidR="00EC782D" w:rsidRPr="007E304A">
        <w:rPr>
          <w:rFonts w:eastAsia="MS Mincho"/>
        </w:rPr>
        <w:t>S</w:t>
      </w:r>
      <w:r w:rsidR="00541C22" w:rsidRPr="007E304A">
        <w:rPr>
          <w:rFonts w:eastAsia="MS Mincho"/>
        </w:rPr>
        <w:t xml:space="preserve">ervice </w:t>
      </w:r>
      <w:r w:rsidR="0041238C" w:rsidRPr="007E304A">
        <w:rPr>
          <w:rFonts w:eastAsia="MS Mincho"/>
        </w:rPr>
        <w:t>posts are proposed. Appendix III gives an outline for how this option could look in practice.</w:t>
      </w:r>
    </w:p>
    <w:p w14:paraId="330C28CD" w14:textId="4856B700" w:rsidR="0041238C" w:rsidRPr="007E304A" w:rsidRDefault="000A4330"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On the basis of </w:t>
      </w:r>
      <w:r w:rsidR="0041238C" w:rsidRPr="007E304A">
        <w:rPr>
          <w:rFonts w:eastAsia="MS Mincho"/>
        </w:rPr>
        <w:t xml:space="preserve">the </w:t>
      </w:r>
      <w:r w:rsidR="0041238C" w:rsidRPr="007E304A">
        <w:t>staffing</w:t>
      </w:r>
      <w:r w:rsidR="0041238C" w:rsidRPr="007E304A">
        <w:rPr>
          <w:rFonts w:eastAsia="MS Mincho"/>
        </w:rPr>
        <w:t xml:space="preserve"> requirements described above, the total staff costs for the option of a Minamata Convention </w:t>
      </w:r>
      <w:r w:rsidR="00BA0C83" w:rsidRPr="007E304A">
        <w:rPr>
          <w:rFonts w:eastAsia="MS Mincho"/>
        </w:rPr>
        <w:t>b</w:t>
      </w:r>
      <w:r w:rsidR="0041238C" w:rsidRPr="007E304A">
        <w:rPr>
          <w:rFonts w:eastAsia="MS Mincho"/>
        </w:rPr>
        <w:t>ranch (see appendix II,</w:t>
      </w:r>
      <w:r w:rsidR="001F6803" w:rsidRPr="007E304A">
        <w:rPr>
          <w:rFonts w:eastAsia="MS Mincho"/>
        </w:rPr>
        <w:t xml:space="preserve"> table</w:t>
      </w:r>
      <w:r w:rsidR="0041238C" w:rsidRPr="007E304A">
        <w:rPr>
          <w:rFonts w:eastAsia="MS Mincho"/>
        </w:rPr>
        <w:t xml:space="preserve"> 2) are estimated at </w:t>
      </w:r>
      <w:r w:rsidR="0041238C" w:rsidRPr="006432A8">
        <w:rPr>
          <w:rFonts w:eastAsia="MS Mincho"/>
          <w:b/>
          <w:bCs/>
        </w:rPr>
        <w:t>$2,</w:t>
      </w:r>
      <w:r w:rsidR="00174A1C" w:rsidRPr="006432A8">
        <w:rPr>
          <w:rFonts w:eastAsia="MS Mincho"/>
          <w:b/>
          <w:bCs/>
        </w:rPr>
        <w:t>772,917</w:t>
      </w:r>
      <w:r w:rsidR="0041238C" w:rsidRPr="006432A8">
        <w:rPr>
          <w:rFonts w:eastAsia="MS Mincho"/>
          <w:b/>
          <w:bCs/>
        </w:rPr>
        <w:t>/year</w:t>
      </w:r>
      <w:r w:rsidR="0041238C" w:rsidRPr="006432A8">
        <w:rPr>
          <w:rFonts w:eastAsia="MS Mincho"/>
        </w:rPr>
        <w:t xml:space="preserve">. </w:t>
      </w:r>
    </w:p>
    <w:p w14:paraId="74861ECE" w14:textId="41B75D88"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As this is an interim option with the aim of </w:t>
      </w:r>
      <w:r w:rsidR="00EC782D" w:rsidRPr="007E304A">
        <w:rPr>
          <w:rFonts w:eastAsia="MS Mincho"/>
        </w:rPr>
        <w:t xml:space="preserve">a </w:t>
      </w:r>
      <w:r w:rsidRPr="007E304A">
        <w:rPr>
          <w:rFonts w:eastAsia="MS Mincho"/>
        </w:rPr>
        <w:t xml:space="preserve">full merger into the existing structure of the Basel, Rotterdam and Stockholm secretariat, the option of a Minamata Convention </w:t>
      </w:r>
      <w:r w:rsidR="00BA0C83" w:rsidRPr="007E304A">
        <w:rPr>
          <w:rFonts w:eastAsia="MS Mincho"/>
        </w:rPr>
        <w:t>b</w:t>
      </w:r>
      <w:r w:rsidRPr="007E304A">
        <w:rPr>
          <w:rFonts w:eastAsia="MS Mincho"/>
        </w:rPr>
        <w:t xml:space="preserve">ranch would be the approach </w:t>
      </w:r>
      <w:r w:rsidR="000A4330" w:rsidRPr="007E304A">
        <w:rPr>
          <w:rFonts w:eastAsia="MS Mincho"/>
        </w:rPr>
        <w:t xml:space="preserve">that is </w:t>
      </w:r>
      <w:r w:rsidRPr="007E304A">
        <w:rPr>
          <w:rFonts w:eastAsia="MS Mincho"/>
        </w:rPr>
        <w:t xml:space="preserve">in place until </w:t>
      </w:r>
      <w:r w:rsidR="00EC782D" w:rsidRPr="007E304A">
        <w:rPr>
          <w:rFonts w:eastAsia="MS Mincho"/>
        </w:rPr>
        <w:t xml:space="preserve">a </w:t>
      </w:r>
      <w:r w:rsidRPr="007E304A">
        <w:t>further</w:t>
      </w:r>
      <w:r w:rsidRPr="007E304A">
        <w:rPr>
          <w:rFonts w:eastAsia="MS Mincho"/>
        </w:rPr>
        <w:t xml:space="preserve"> decision</w:t>
      </w:r>
      <w:r w:rsidR="00EC782D" w:rsidRPr="007E304A">
        <w:rPr>
          <w:rFonts w:eastAsia="MS Mincho"/>
        </w:rPr>
        <w:t xml:space="preserve"> is made</w:t>
      </w:r>
      <w:r w:rsidRPr="007E304A">
        <w:rPr>
          <w:rFonts w:eastAsia="MS Mincho"/>
        </w:rPr>
        <w:t xml:space="preserve">. </w:t>
      </w:r>
    </w:p>
    <w:p w14:paraId="5858B8F9" w14:textId="05BFFD0C" w:rsidR="0041238C" w:rsidRPr="007E304A" w:rsidRDefault="000B1715"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relocation of </w:t>
      </w:r>
      <w:r w:rsidR="0041238C" w:rsidRPr="007E304A">
        <w:rPr>
          <w:rFonts w:eastAsia="MS Mincho"/>
        </w:rPr>
        <w:t xml:space="preserve">functions from the interim secretariat into the Minamata Conventions Branch of the merged secretariat of the Basel, Rotterdam and Stockholm conventions and the Minamata Convention will require the realignment of roles to fit with relevant parts of the current structure of the secretariat of the Basel, Rotterdam </w:t>
      </w:r>
      <w:r w:rsidR="0041238C" w:rsidRPr="007E304A">
        <w:t>and</w:t>
      </w:r>
      <w:r w:rsidR="0041238C" w:rsidRPr="007E304A">
        <w:rPr>
          <w:rFonts w:eastAsia="MS Mincho"/>
        </w:rPr>
        <w:t xml:space="preserve"> Stockholm </w:t>
      </w:r>
      <w:r w:rsidR="00DA24BA">
        <w:rPr>
          <w:rFonts w:eastAsia="MS Mincho"/>
        </w:rPr>
        <w:t>conventions</w:t>
      </w:r>
      <w:r w:rsidR="0041238C" w:rsidRPr="007E304A">
        <w:rPr>
          <w:rFonts w:eastAsia="MS Mincho"/>
        </w:rPr>
        <w:t xml:space="preserve">. Job classification of the new positions will need to be undertaken, and some adjustments to relevant existing positions would be required. </w:t>
      </w:r>
    </w:p>
    <w:p w14:paraId="1732CB13" w14:textId="1863FA23" w:rsidR="0041238C" w:rsidRPr="007E304A" w:rsidRDefault="0041238C" w:rsidP="006432A8">
      <w:pPr>
        <w:pStyle w:val="CH3"/>
        <w:rPr>
          <w:rFonts w:eastAsia="MS Mincho"/>
        </w:rPr>
      </w:pPr>
      <w:r w:rsidRPr="007E304A">
        <w:rPr>
          <w:rFonts w:eastAsia="MS Mincho"/>
        </w:rPr>
        <w:tab/>
        <w:t>2.</w:t>
      </w:r>
      <w:r w:rsidRPr="007E304A">
        <w:rPr>
          <w:rFonts w:eastAsia="MS Mincho"/>
        </w:rPr>
        <w:tab/>
        <w:t xml:space="preserve">Establishing </w:t>
      </w:r>
      <w:r w:rsidR="007610B9" w:rsidRPr="007E304A">
        <w:t xml:space="preserve">a </w:t>
      </w:r>
      <w:r w:rsidR="007610B9">
        <w:t>standalone</w:t>
      </w:r>
      <w:r w:rsidR="007610B9" w:rsidRPr="007E304A">
        <w:t xml:space="preserve"> </w:t>
      </w:r>
      <w:r w:rsidRPr="007E304A">
        <w:rPr>
          <w:rFonts w:eastAsia="MS Mincho"/>
        </w:rPr>
        <w:t xml:space="preserve">secretariat for the Minamata Convention </w:t>
      </w:r>
    </w:p>
    <w:p w14:paraId="12A547EF" w14:textId="3F32CF5C"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w:t>
      </w:r>
      <w:r w:rsidR="00F17E65" w:rsidRPr="007E304A">
        <w:rPr>
          <w:rFonts w:eastAsia="MS Mincho"/>
        </w:rPr>
        <w:t xml:space="preserve">Executive Director was also </w:t>
      </w:r>
      <w:r w:rsidR="00F17E65" w:rsidRPr="001C4B69">
        <w:rPr>
          <w:rFonts w:eastAsia="MS Mincho"/>
        </w:rPr>
        <w:t>requested to consider</w:t>
      </w:r>
      <w:r w:rsidR="00F17E65" w:rsidRPr="007E304A">
        <w:rPr>
          <w:rFonts w:eastAsia="MS Mincho"/>
        </w:rPr>
        <w:t xml:space="preserve"> utilizing the current interim secretariat in his analysis of options on how to perform the permanent secretariat functions. The current staff composition of the interim secretariat includes 40 per cent of one D-1 staff member, one P-5 staff member, one P-4 staff member, one P-3 staff member, </w:t>
      </w:r>
      <w:r w:rsidR="00C2225F" w:rsidRPr="007E304A">
        <w:rPr>
          <w:rFonts w:eastAsia="MS Mincho"/>
        </w:rPr>
        <w:t>33 per cent of one</w:t>
      </w:r>
      <w:r w:rsidR="00F17E65" w:rsidRPr="007E304A">
        <w:rPr>
          <w:rFonts w:eastAsia="MS Mincho"/>
        </w:rPr>
        <w:t xml:space="preserve"> Junior Professional Officer, and two General Service staff members.</w:t>
      </w:r>
      <w:r w:rsidR="00F17E65" w:rsidRPr="007E304A">
        <w:rPr>
          <w:rStyle w:val="FootnoteReference"/>
          <w:rFonts w:eastAsia="MS Mincho"/>
        </w:rPr>
        <w:footnoteReference w:id="9"/>
      </w:r>
      <w:r w:rsidR="00F17E65" w:rsidRPr="007E304A">
        <w:rPr>
          <w:rFonts w:eastAsia="MS Mincho"/>
        </w:rPr>
        <w:t xml:space="preserve"> For </w:t>
      </w:r>
      <w:r w:rsidR="00C2225F" w:rsidRPr="007E304A">
        <w:rPr>
          <w:rFonts w:eastAsia="MS Mincho"/>
        </w:rPr>
        <w:t>the</w:t>
      </w:r>
      <w:r w:rsidR="00F17E65" w:rsidRPr="007E304A">
        <w:rPr>
          <w:rFonts w:eastAsia="MS Mincho"/>
        </w:rPr>
        <w:t xml:space="preserve"> option</w:t>
      </w:r>
      <w:r w:rsidR="00FB4979" w:rsidRPr="007E304A">
        <w:rPr>
          <w:rFonts w:eastAsia="MS Mincho"/>
        </w:rPr>
        <w:t xml:space="preserve"> </w:t>
      </w:r>
      <w:r w:rsidR="00C2225F" w:rsidRPr="007E304A">
        <w:rPr>
          <w:rFonts w:eastAsia="MS Mincho"/>
        </w:rPr>
        <w:t xml:space="preserve">of a standalone secretariat </w:t>
      </w:r>
      <w:r w:rsidR="00F17E65" w:rsidRPr="007E304A">
        <w:rPr>
          <w:rFonts w:eastAsia="MS Mincho"/>
        </w:rPr>
        <w:t>s</w:t>
      </w:r>
      <w:r w:rsidRPr="007E304A">
        <w:rPr>
          <w:rFonts w:eastAsia="MS Mincho"/>
        </w:rPr>
        <w:t xml:space="preserve">ix locations were proposed in </w:t>
      </w:r>
      <w:r w:rsidR="00F72403" w:rsidRPr="007E304A">
        <w:rPr>
          <w:rFonts w:eastAsia="MS Mincho"/>
        </w:rPr>
        <w:t xml:space="preserve">document </w:t>
      </w:r>
      <w:r w:rsidRPr="007E304A">
        <w:t>UNEP(DTIE)/Hg/INC.7/15.</w:t>
      </w:r>
      <w:r w:rsidRPr="007E304A">
        <w:rPr>
          <w:rFonts w:eastAsia="MS Mincho"/>
        </w:rPr>
        <w:t xml:space="preserve"> </w:t>
      </w:r>
    </w:p>
    <w:p w14:paraId="69C55FDB" w14:textId="4E7FBDAC" w:rsidR="0041238C" w:rsidRPr="00B959C3" w:rsidRDefault="0041238C" w:rsidP="006432A8">
      <w:pPr>
        <w:pStyle w:val="CH4"/>
        <w:outlineLvl w:val="0"/>
        <w:rPr>
          <w:rFonts w:eastAsia="MS Mincho"/>
        </w:rPr>
      </w:pPr>
      <w:r w:rsidRPr="007E304A">
        <w:rPr>
          <w:rFonts w:eastAsia="MS Mincho"/>
        </w:rPr>
        <w:tab/>
      </w:r>
      <w:r w:rsidRPr="007E304A">
        <w:rPr>
          <w:rFonts w:eastAsia="MS Mincho"/>
        </w:rPr>
        <w:tab/>
        <w:t>Option 2</w:t>
      </w:r>
      <w:r w:rsidR="00174A1C" w:rsidRPr="007E304A">
        <w:rPr>
          <w:rFonts w:eastAsia="MS Mincho"/>
        </w:rPr>
        <w:t xml:space="preserve"> </w:t>
      </w:r>
      <w:r w:rsidR="001A2884" w:rsidRPr="007E304A">
        <w:rPr>
          <w:rFonts w:eastAsia="MS Mincho"/>
        </w:rPr>
        <w:t>(standalone)</w:t>
      </w:r>
      <w:r w:rsidRPr="007E304A">
        <w:rPr>
          <w:rFonts w:eastAsia="MS Mincho"/>
        </w:rPr>
        <w:t xml:space="preserve">: Establishing </w:t>
      </w:r>
      <w:r w:rsidR="007610B9" w:rsidRPr="007E304A">
        <w:t xml:space="preserve">a </w:t>
      </w:r>
      <w:r w:rsidR="007610B9">
        <w:t>standalone</w:t>
      </w:r>
      <w:r w:rsidR="007610B9" w:rsidRPr="007E304A">
        <w:t xml:space="preserve"> </w:t>
      </w:r>
      <w:r w:rsidRPr="007E304A">
        <w:rPr>
          <w:rFonts w:eastAsia="MS Mincho"/>
        </w:rPr>
        <w:t>secretariat for the Minamata Convention</w:t>
      </w:r>
    </w:p>
    <w:p w14:paraId="6B88132A" w14:textId="77777777" w:rsidR="0041238C" w:rsidRPr="00B959C3" w:rsidRDefault="0041238C" w:rsidP="006432A8">
      <w:pPr>
        <w:pStyle w:val="CH4"/>
        <w:outlineLvl w:val="0"/>
        <w:rPr>
          <w:rFonts w:eastAsia="MS Mincho"/>
        </w:rPr>
      </w:pPr>
      <w:r w:rsidRPr="007E304A">
        <w:rPr>
          <w:rFonts w:eastAsia="MS Mincho"/>
        </w:rPr>
        <w:tab/>
      </w:r>
      <w:r w:rsidRPr="007E304A">
        <w:rPr>
          <w:rFonts w:eastAsia="MS Mincho"/>
        </w:rPr>
        <w:tab/>
        <w:t xml:space="preserve">Structure </w:t>
      </w:r>
    </w:p>
    <w:p w14:paraId="5E4BF42F" w14:textId="116616EB" w:rsidR="0041238C" w:rsidRPr="007E304A" w:rsidRDefault="0028700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On the basis of</w:t>
      </w:r>
      <w:r w:rsidR="0041238C" w:rsidRPr="007E304A">
        <w:rPr>
          <w:rFonts w:eastAsia="MS Mincho"/>
        </w:rPr>
        <w:t xml:space="preserve"> the lessons learned from the existing interim secretariat of the Minamata Convention</w:t>
      </w:r>
      <w:r w:rsidR="00F72403" w:rsidRPr="007E304A">
        <w:rPr>
          <w:rFonts w:eastAsia="MS Mincho"/>
        </w:rPr>
        <w:t>,</w:t>
      </w:r>
      <w:r w:rsidR="0041238C" w:rsidRPr="007E304A">
        <w:rPr>
          <w:rFonts w:eastAsia="MS Mincho"/>
        </w:rPr>
        <w:t xml:space="preserve"> the permanent secretariat to deliver the secretariat functions of the Minamata Convention can be established as </w:t>
      </w:r>
      <w:r w:rsidR="007610B9" w:rsidRPr="007E304A">
        <w:t xml:space="preserve">a </w:t>
      </w:r>
      <w:r w:rsidR="007610B9">
        <w:t>standalone</w:t>
      </w:r>
      <w:r w:rsidR="007610B9" w:rsidRPr="007E304A">
        <w:t xml:space="preserve"> </w:t>
      </w:r>
      <w:r w:rsidR="0041238C" w:rsidRPr="007E304A">
        <w:rPr>
          <w:rFonts w:eastAsia="MS Mincho"/>
        </w:rPr>
        <w:t>secretariat.</w:t>
      </w:r>
      <w:r w:rsidR="009161AE" w:rsidRPr="007E304A" w:rsidDel="009161AE">
        <w:rPr>
          <w:rFonts w:eastAsia="MS Mincho"/>
        </w:rPr>
        <w:t xml:space="preserve"> </w:t>
      </w:r>
      <w:r w:rsidR="0041238C" w:rsidRPr="007E304A">
        <w:rPr>
          <w:rFonts w:eastAsia="MS Mincho"/>
        </w:rPr>
        <w:t xml:space="preserve">With the addition of a number of new staff positions to the current structure of the interim secretariat, the permanent secretariat as </w:t>
      </w:r>
      <w:r w:rsidR="007610B9" w:rsidRPr="007E304A">
        <w:t xml:space="preserve">a </w:t>
      </w:r>
      <w:r w:rsidR="007610B9">
        <w:t>standalone</w:t>
      </w:r>
      <w:r w:rsidR="0041238C" w:rsidRPr="007E304A">
        <w:rPr>
          <w:rFonts w:eastAsia="MS Mincho"/>
        </w:rPr>
        <w:t xml:space="preserve"> </w:t>
      </w:r>
      <w:r w:rsidR="00E531E4" w:rsidRPr="007E304A">
        <w:rPr>
          <w:rFonts w:eastAsia="MS Mincho"/>
        </w:rPr>
        <w:t>secretariat</w:t>
      </w:r>
      <w:r w:rsidR="0041238C" w:rsidRPr="007E304A">
        <w:rPr>
          <w:rFonts w:eastAsia="MS Mincho"/>
        </w:rPr>
        <w:t xml:space="preserve"> will manage its activities, much like other similarly sized </w:t>
      </w:r>
      <w:r w:rsidR="0041238C" w:rsidRPr="007E304A">
        <w:t>multilateral</w:t>
      </w:r>
      <w:r w:rsidR="0041238C" w:rsidRPr="007E304A">
        <w:rPr>
          <w:rFonts w:eastAsia="MS Mincho"/>
        </w:rPr>
        <w:t xml:space="preserve"> environmental agreements hosted by </w:t>
      </w:r>
      <w:r w:rsidR="00116451" w:rsidRPr="007E304A">
        <w:rPr>
          <w:rFonts w:eastAsia="MS Mincho"/>
        </w:rPr>
        <w:t>UNEP</w:t>
      </w:r>
      <w:r w:rsidR="0041238C" w:rsidRPr="007E304A">
        <w:rPr>
          <w:rFonts w:eastAsia="MS Mincho"/>
        </w:rPr>
        <w:t xml:space="preserve">, such as the </w:t>
      </w:r>
      <w:r w:rsidR="00EC782D" w:rsidRPr="007E304A">
        <w:rPr>
          <w:rFonts w:eastAsia="MS Mincho"/>
        </w:rPr>
        <w:t xml:space="preserve">Vienna </w:t>
      </w:r>
      <w:r w:rsidR="0041238C" w:rsidRPr="007E304A">
        <w:rPr>
          <w:rFonts w:eastAsia="MS Mincho"/>
        </w:rPr>
        <w:t xml:space="preserve">Convention </w:t>
      </w:r>
      <w:r w:rsidR="00EC782D" w:rsidRPr="007E304A">
        <w:rPr>
          <w:rFonts w:eastAsia="MS Mincho"/>
        </w:rPr>
        <w:t xml:space="preserve">for the Protection of the Ozone Layer </w:t>
      </w:r>
      <w:r w:rsidR="0041238C" w:rsidRPr="007E304A">
        <w:rPr>
          <w:rFonts w:eastAsia="MS Mincho"/>
        </w:rPr>
        <w:t>and the Convention on International Trade in Endangered Species of Wild Fauna and Flora.</w:t>
      </w:r>
    </w:p>
    <w:p w14:paraId="22E38D7C" w14:textId="148A009A"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Support that had previously been provided to the interim secretariat by other entities within </w:t>
      </w:r>
      <w:r w:rsidR="00116451" w:rsidRPr="007E304A">
        <w:rPr>
          <w:rFonts w:eastAsia="MS Mincho"/>
        </w:rPr>
        <w:t>UNEP</w:t>
      </w:r>
      <w:r w:rsidRPr="007E304A">
        <w:rPr>
          <w:rFonts w:eastAsia="MS Mincho"/>
        </w:rPr>
        <w:t xml:space="preserve"> would be entirely performed by the staff of the </w:t>
      </w:r>
      <w:r w:rsidR="007610B9">
        <w:t>standalone</w:t>
      </w:r>
      <w:r w:rsidRPr="007E304A">
        <w:rPr>
          <w:rFonts w:eastAsia="MS Mincho"/>
        </w:rPr>
        <w:t xml:space="preserve"> secretariat of the </w:t>
      </w:r>
      <w:r w:rsidRPr="007E304A">
        <w:t>Minamata</w:t>
      </w:r>
      <w:r w:rsidRPr="007E304A">
        <w:rPr>
          <w:rFonts w:eastAsia="MS Mincho"/>
        </w:rPr>
        <w:t xml:space="preserve"> Convention.</w:t>
      </w:r>
      <w:r w:rsidRPr="007E304A">
        <w:rPr>
          <w:rStyle w:val="FootnoteReference"/>
          <w:rFonts w:eastAsia="MS Mincho"/>
        </w:rPr>
        <w:footnoteReference w:id="10"/>
      </w:r>
      <w:r w:rsidRPr="007E304A">
        <w:rPr>
          <w:rFonts w:eastAsia="MS Mincho"/>
        </w:rPr>
        <w:t xml:space="preserve"> Cooperative activities on technical assistance and scientific issues with other parts of </w:t>
      </w:r>
      <w:r w:rsidR="00116451" w:rsidRPr="007E304A">
        <w:rPr>
          <w:rFonts w:eastAsia="MS Mincho"/>
        </w:rPr>
        <w:t>UNEP</w:t>
      </w:r>
      <w:r w:rsidRPr="007E304A">
        <w:rPr>
          <w:rFonts w:eastAsia="MS Mincho"/>
        </w:rPr>
        <w:t xml:space="preserve"> would be utilized </w:t>
      </w:r>
      <w:r w:rsidR="009161AE" w:rsidRPr="007E304A">
        <w:rPr>
          <w:rFonts w:eastAsia="MS Mincho"/>
        </w:rPr>
        <w:t xml:space="preserve">and built upon as has already been done </w:t>
      </w:r>
      <w:r w:rsidRPr="007E304A">
        <w:rPr>
          <w:rFonts w:eastAsia="MS Mincho"/>
        </w:rPr>
        <w:t xml:space="preserve">in the period of the interim secretariat. </w:t>
      </w:r>
    </w:p>
    <w:p w14:paraId="0EB7A2CB" w14:textId="77777777" w:rsidR="0041238C" w:rsidRPr="00B959C3" w:rsidRDefault="0041238C" w:rsidP="006432A8">
      <w:pPr>
        <w:pStyle w:val="CH4"/>
        <w:outlineLvl w:val="0"/>
        <w:rPr>
          <w:rFonts w:eastAsia="MS Mincho"/>
        </w:rPr>
      </w:pPr>
      <w:r w:rsidRPr="007E304A">
        <w:rPr>
          <w:rFonts w:eastAsia="MS Mincho"/>
        </w:rPr>
        <w:tab/>
      </w:r>
      <w:r w:rsidRPr="007E304A">
        <w:rPr>
          <w:rFonts w:eastAsia="MS Mincho"/>
        </w:rPr>
        <w:tab/>
        <w:t>Staffing</w:t>
      </w:r>
    </w:p>
    <w:p w14:paraId="35ED09EF" w14:textId="491E0134"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secretariat would </w:t>
      </w:r>
      <w:r w:rsidRPr="00EA1FF1">
        <w:rPr>
          <w:rFonts w:eastAsia="MS Mincho"/>
        </w:rPr>
        <w:t>be headed</w:t>
      </w:r>
      <w:r w:rsidRPr="007E304A">
        <w:rPr>
          <w:rFonts w:eastAsia="MS Mincho"/>
        </w:rPr>
        <w:t xml:space="preserve"> by the Executive Secretary of the Minamata </w:t>
      </w:r>
      <w:r w:rsidRPr="007E304A">
        <w:t xml:space="preserve">Convention </w:t>
      </w:r>
      <w:r w:rsidRPr="007E304A">
        <w:rPr>
          <w:rFonts w:eastAsia="MS Mincho"/>
        </w:rPr>
        <w:t>at the D-1 level, who would be supported by two service branches. The first branch (</w:t>
      </w:r>
      <w:r w:rsidR="00EC782D" w:rsidRPr="007E304A">
        <w:rPr>
          <w:rFonts w:eastAsia="MS Mincho"/>
        </w:rPr>
        <w:t>policy s</w:t>
      </w:r>
      <w:r w:rsidRPr="007E304A">
        <w:rPr>
          <w:rFonts w:eastAsia="MS Mincho"/>
        </w:rPr>
        <w:t>ervices) would focus on policy, science and meeting services, as well as coordination, as appropriate</w:t>
      </w:r>
      <w:r w:rsidR="00284396">
        <w:rPr>
          <w:rFonts w:eastAsia="MS Mincho"/>
        </w:rPr>
        <w:t>,</w:t>
      </w:r>
      <w:r w:rsidRPr="007E304A">
        <w:rPr>
          <w:rFonts w:eastAsia="MS Mincho"/>
        </w:rPr>
        <w:t xml:space="preserve"> with secretariats of relevant international bodies. The second branch (</w:t>
      </w:r>
      <w:r w:rsidR="00EC782D" w:rsidRPr="007E304A">
        <w:rPr>
          <w:rFonts w:eastAsia="MS Mincho"/>
        </w:rPr>
        <w:t>t</w:t>
      </w:r>
      <w:r w:rsidRPr="007E304A">
        <w:rPr>
          <w:rFonts w:eastAsia="MS Mincho"/>
        </w:rPr>
        <w:t xml:space="preserve">echnical </w:t>
      </w:r>
      <w:r w:rsidR="00EC782D" w:rsidRPr="007E304A">
        <w:rPr>
          <w:rFonts w:eastAsia="MS Mincho"/>
        </w:rPr>
        <w:t>s</w:t>
      </w:r>
      <w:r w:rsidRPr="007E304A">
        <w:rPr>
          <w:rFonts w:eastAsia="MS Mincho"/>
        </w:rPr>
        <w:t xml:space="preserve">ervices) would focus on all activities related to capacity-building, technical assistance and the exchange of information related to the implementation of the Convention. Both </w:t>
      </w:r>
      <w:r w:rsidR="00EC782D" w:rsidRPr="007E304A">
        <w:rPr>
          <w:rFonts w:eastAsia="MS Mincho"/>
        </w:rPr>
        <w:t xml:space="preserve">branches </w:t>
      </w:r>
      <w:r w:rsidRPr="007E304A">
        <w:rPr>
          <w:rFonts w:eastAsia="MS Mincho"/>
        </w:rPr>
        <w:t xml:space="preserve">would facilitate and support assistance to parties, as required or </w:t>
      </w:r>
      <w:r w:rsidRPr="007E304A">
        <w:t>requested</w:t>
      </w:r>
      <w:r w:rsidRPr="007E304A">
        <w:rPr>
          <w:rFonts w:eastAsia="MS Mincho"/>
        </w:rPr>
        <w:t xml:space="preserve">, in the implementation of the Convention. </w:t>
      </w:r>
    </w:p>
    <w:p w14:paraId="61A2D48A" w14:textId="29E0655E" w:rsidR="0041238C" w:rsidRPr="007E304A" w:rsidRDefault="0041238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The two branches would each be headed by a branch chief</w:t>
      </w:r>
      <w:r w:rsidR="00EC782D" w:rsidRPr="007E304A">
        <w:rPr>
          <w:rFonts w:eastAsia="MS Mincho"/>
        </w:rPr>
        <w:t xml:space="preserve"> at the P-5 level</w:t>
      </w:r>
      <w:r w:rsidRPr="007E304A">
        <w:rPr>
          <w:rFonts w:eastAsia="MS Mincho"/>
        </w:rPr>
        <w:t xml:space="preserve">. Under the Policy Services Branch, which focuses </w:t>
      </w:r>
      <w:r w:rsidRPr="00890464">
        <w:rPr>
          <w:rFonts w:eastAsia="MS Mincho"/>
        </w:rPr>
        <w:t>on policy</w:t>
      </w:r>
      <w:r w:rsidRPr="007E304A">
        <w:rPr>
          <w:rFonts w:eastAsia="MS Mincho"/>
        </w:rPr>
        <w:t xml:space="preserve"> and overall coordination, work on science and the science</w:t>
      </w:r>
      <w:r w:rsidR="00EC782D" w:rsidRPr="007E304A">
        <w:rPr>
          <w:rFonts w:eastAsia="MS Mincho"/>
        </w:rPr>
        <w:noBreakHyphen/>
      </w:r>
      <w:r w:rsidRPr="007E304A">
        <w:rPr>
          <w:rFonts w:eastAsia="MS Mincho"/>
        </w:rPr>
        <w:t xml:space="preserve">policy interface would be carried out by a science officer at </w:t>
      </w:r>
      <w:r w:rsidR="00EC782D" w:rsidRPr="007E304A">
        <w:rPr>
          <w:rFonts w:eastAsia="MS Mincho"/>
        </w:rPr>
        <w:t xml:space="preserve">the </w:t>
      </w:r>
      <w:r w:rsidRPr="007E304A">
        <w:rPr>
          <w:rFonts w:eastAsia="MS Mincho"/>
        </w:rPr>
        <w:t xml:space="preserve">P-4 level and a science policy outreach officer at </w:t>
      </w:r>
      <w:r w:rsidR="00EC782D" w:rsidRPr="007E304A">
        <w:rPr>
          <w:rFonts w:eastAsia="MS Mincho"/>
        </w:rPr>
        <w:t xml:space="preserve">the </w:t>
      </w:r>
      <w:r w:rsidRPr="007E304A">
        <w:rPr>
          <w:rFonts w:eastAsia="MS Mincho"/>
        </w:rPr>
        <w:t xml:space="preserve">P-3 level. A legal officer at </w:t>
      </w:r>
      <w:r w:rsidR="00EC782D" w:rsidRPr="007E304A">
        <w:rPr>
          <w:rFonts w:eastAsia="MS Mincho"/>
        </w:rPr>
        <w:t xml:space="preserve">the </w:t>
      </w:r>
      <w:r w:rsidRPr="007E304A">
        <w:rPr>
          <w:rFonts w:eastAsia="MS Mincho"/>
        </w:rPr>
        <w:t>P-3 level would work on legal guidance and general policy issues</w:t>
      </w:r>
      <w:r w:rsidR="00EC782D" w:rsidRPr="007E304A">
        <w:rPr>
          <w:rFonts w:eastAsia="MS Mincho"/>
        </w:rPr>
        <w:t xml:space="preserve">, and </w:t>
      </w:r>
      <w:r w:rsidRPr="007E304A">
        <w:rPr>
          <w:rFonts w:eastAsia="MS Mincho"/>
        </w:rPr>
        <w:t xml:space="preserve">the coordination and preparation for conferences would be supported by another P-3 officer. Under the Technical Services Branch, which focuses on capacity-building and technical assistance, work on capacity-building and technical assistance would be carried out by an officer at </w:t>
      </w:r>
      <w:r w:rsidR="00EC782D" w:rsidRPr="007E304A">
        <w:rPr>
          <w:rFonts w:eastAsia="MS Mincho"/>
        </w:rPr>
        <w:t xml:space="preserve">the </w:t>
      </w:r>
      <w:r w:rsidRPr="007E304A">
        <w:rPr>
          <w:rFonts w:eastAsia="MS Mincho"/>
        </w:rPr>
        <w:t>P-4 level. To assist exchange of information</w:t>
      </w:r>
      <w:r w:rsidR="000C04CC" w:rsidRPr="007E304A">
        <w:rPr>
          <w:rFonts w:eastAsia="MS Mincho"/>
        </w:rPr>
        <w:t>,</w:t>
      </w:r>
      <w:r w:rsidRPr="007E304A">
        <w:rPr>
          <w:rFonts w:eastAsia="MS Mincho"/>
        </w:rPr>
        <w:t xml:space="preserve"> a P-3 officer would lead knowledge management, </w:t>
      </w:r>
      <w:r w:rsidR="00EC782D" w:rsidRPr="007E304A">
        <w:rPr>
          <w:rFonts w:eastAsia="MS Mincho"/>
        </w:rPr>
        <w:t>information technology</w:t>
      </w:r>
      <w:r w:rsidRPr="007E304A">
        <w:rPr>
          <w:rFonts w:eastAsia="MS Mincho"/>
        </w:rPr>
        <w:t xml:space="preserve"> services and outreach to support capacity-building and technical assistance. Th</w:t>
      </w:r>
      <w:r w:rsidR="00EC782D" w:rsidRPr="007E304A">
        <w:rPr>
          <w:rFonts w:eastAsia="MS Mincho"/>
        </w:rPr>
        <w:t>e</w:t>
      </w:r>
      <w:r w:rsidRPr="007E304A">
        <w:rPr>
          <w:rFonts w:eastAsia="MS Mincho"/>
        </w:rPr>
        <w:t xml:space="preserve"> secretariat arrangement option would be supported by a total of four General Service staff members (see</w:t>
      </w:r>
      <w:r w:rsidR="00884409" w:rsidRPr="007E304A">
        <w:rPr>
          <w:rFonts w:eastAsia="MS Mincho"/>
        </w:rPr>
        <w:t> </w:t>
      </w:r>
      <w:r w:rsidRPr="007E304A">
        <w:rPr>
          <w:rFonts w:eastAsia="MS Mincho"/>
        </w:rPr>
        <w:t xml:space="preserve">appendix IV for an outline of this option). </w:t>
      </w:r>
    </w:p>
    <w:p w14:paraId="3EC08D3F" w14:textId="209D93F4" w:rsidR="0041238C" w:rsidRPr="00B959C3" w:rsidRDefault="0041238C" w:rsidP="006432A8">
      <w:pPr>
        <w:pStyle w:val="CH4"/>
        <w:outlineLvl w:val="0"/>
        <w:rPr>
          <w:rFonts w:eastAsia="MS Mincho"/>
        </w:rPr>
      </w:pPr>
      <w:r w:rsidRPr="007E304A">
        <w:rPr>
          <w:rFonts w:eastAsia="MS Mincho"/>
        </w:rPr>
        <w:tab/>
      </w:r>
      <w:r w:rsidRPr="007E304A">
        <w:rPr>
          <w:rFonts w:eastAsia="MS Mincho"/>
        </w:rPr>
        <w:tab/>
      </w:r>
      <w:r w:rsidR="00A57567" w:rsidRPr="007E304A">
        <w:rPr>
          <w:rFonts w:eastAsia="MS Mincho"/>
        </w:rPr>
        <w:t>Analysis</w:t>
      </w:r>
    </w:p>
    <w:p w14:paraId="51A68ECC" w14:textId="0D45D583" w:rsidR="00A57567" w:rsidRPr="007E304A" w:rsidRDefault="00A57567" w:rsidP="00A57567">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Establishing </w:t>
      </w:r>
      <w:r w:rsidR="007610B9" w:rsidRPr="007E304A">
        <w:t xml:space="preserve">a </w:t>
      </w:r>
      <w:r w:rsidR="007610B9">
        <w:t>standalone</w:t>
      </w:r>
      <w:r w:rsidR="007610B9" w:rsidRPr="007E304A">
        <w:t xml:space="preserve"> </w:t>
      </w:r>
      <w:r w:rsidRPr="007E304A">
        <w:rPr>
          <w:rFonts w:eastAsia="MS Mincho"/>
        </w:rPr>
        <w:t>secretariat headed by an executive secretary of the Minamata Convention would mean all the functions of the secretariat would be performed by its own staff complement. Legal services would be integral to the functions of the Policy Services Branch, while information management support services would be integral to the substantive information support services offered by the Technical Services Branch. Such an arrangement would build on the current structure of the interim secretariat and on the practices of the interim secretariat,</w:t>
      </w:r>
      <w:r w:rsidRPr="007E304A">
        <w:rPr>
          <w:rStyle w:val="FootnoteReference"/>
          <w:rFonts w:eastAsia="MS Mincho"/>
        </w:rPr>
        <w:footnoteReference w:id="11"/>
      </w:r>
      <w:r w:rsidRPr="007E304A">
        <w:rPr>
          <w:rFonts w:eastAsia="MS Mincho"/>
        </w:rPr>
        <w:t xml:space="preserve"> as well as on links </w:t>
      </w:r>
      <w:r w:rsidRPr="007E304A">
        <w:t>already</w:t>
      </w:r>
      <w:r w:rsidRPr="007E304A">
        <w:rPr>
          <w:rFonts w:eastAsia="MS Mincho"/>
        </w:rPr>
        <w:t xml:space="preserve"> established with ongoing knowledge management and e-learning activities among multilateral agreements, including the </w:t>
      </w:r>
      <w:proofErr w:type="spellStart"/>
      <w:r w:rsidRPr="007E304A">
        <w:rPr>
          <w:rFonts w:eastAsia="MS Mincho"/>
        </w:rPr>
        <w:t>InforMEA</w:t>
      </w:r>
      <w:proofErr w:type="spellEnd"/>
      <w:r w:rsidRPr="007E304A">
        <w:rPr>
          <w:rFonts w:eastAsia="MS Mincho"/>
        </w:rPr>
        <w:t xml:space="preserve"> exchange and e-learning portal and the reporting portal built by the World Conservation Monitoring Centre, so as to be informed of best practices and utilize scales of economy. </w:t>
      </w:r>
    </w:p>
    <w:p w14:paraId="7DC0FD73" w14:textId="2722A01E" w:rsidR="00A57567" w:rsidRPr="007E304A" w:rsidRDefault="00A57567" w:rsidP="00A57567">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A </w:t>
      </w:r>
      <w:r w:rsidR="007610B9">
        <w:t>standalone</w:t>
      </w:r>
      <w:r w:rsidRPr="007E304A">
        <w:rPr>
          <w:rFonts w:eastAsia="MS Mincho"/>
        </w:rPr>
        <w:t xml:space="preserve"> secretariat would be supported by a small administrative services unit, which would consist of a P-3 </w:t>
      </w:r>
      <w:r w:rsidR="001A2884" w:rsidRPr="007E304A">
        <w:rPr>
          <w:rFonts w:eastAsia="MS Mincho"/>
        </w:rPr>
        <w:t>F</w:t>
      </w:r>
      <w:r w:rsidRPr="007E304A">
        <w:rPr>
          <w:rFonts w:eastAsia="MS Mincho"/>
        </w:rPr>
        <w:t xml:space="preserve">und and </w:t>
      </w:r>
      <w:r w:rsidR="001A2884" w:rsidRPr="007E304A">
        <w:rPr>
          <w:rFonts w:eastAsia="MS Mincho"/>
        </w:rPr>
        <w:t>A</w:t>
      </w:r>
      <w:r w:rsidRPr="007E304A">
        <w:rPr>
          <w:rFonts w:eastAsia="MS Mincho"/>
        </w:rPr>
        <w:t xml:space="preserve">dministrative </w:t>
      </w:r>
      <w:r w:rsidR="001A2884" w:rsidRPr="007E304A">
        <w:rPr>
          <w:rFonts w:eastAsia="MS Mincho"/>
        </w:rPr>
        <w:t>O</w:t>
      </w:r>
      <w:r w:rsidRPr="007E304A">
        <w:rPr>
          <w:rFonts w:eastAsia="MS Mincho"/>
        </w:rPr>
        <w:t xml:space="preserve">fficer and a General Service post supported through programme support costs, in the same way as would be provided by the Minamata Convention </w:t>
      </w:r>
      <w:r w:rsidR="001A2884" w:rsidRPr="007E304A">
        <w:rPr>
          <w:rFonts w:eastAsia="MS Mincho"/>
        </w:rPr>
        <w:t>in</w:t>
      </w:r>
      <w:r w:rsidRPr="007E304A">
        <w:rPr>
          <w:rFonts w:eastAsia="MS Mincho"/>
        </w:rPr>
        <w:t xml:space="preserve"> options 1 (a) and 1 (b). </w:t>
      </w:r>
    </w:p>
    <w:p w14:paraId="451BEC5D" w14:textId="77777777" w:rsidR="004B6984" w:rsidRPr="007E304A" w:rsidRDefault="004B6984"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Relocating the secretariat to a </w:t>
      </w:r>
      <w:r w:rsidRPr="007E304A">
        <w:t>different</w:t>
      </w:r>
      <w:r w:rsidRPr="007E304A">
        <w:rPr>
          <w:rFonts w:eastAsia="MS Mincho"/>
        </w:rPr>
        <w:t xml:space="preserve"> duty station could imply a degree of discontinuity of work depending on the percentage of current staff of the interim secretariat that may or may not relocate to the new duty station. A location outside of Geneva may imply a reduction in opportunities for cooperation with the secretariat of the Basel, Rotterdam and Stockholm conventions on a daily working level, although cooperation and coordination can be maintained through electronic means, building on current best practices with other partners, as well as scheduled visits.</w:t>
      </w:r>
    </w:p>
    <w:p w14:paraId="65F516C6" w14:textId="3BCE6BF4" w:rsidR="00C41D2B" w:rsidRPr="007E304A" w:rsidRDefault="00A57567"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Six locations were put forward in the initial report of the Executive Director, namely Bangkok, Geneva, Nairobi, Osaka, Vienna and Washington</w:t>
      </w:r>
      <w:r w:rsidR="001A2884" w:rsidRPr="007E304A">
        <w:rPr>
          <w:rFonts w:eastAsia="MS Mincho"/>
        </w:rPr>
        <w:t>,</w:t>
      </w:r>
      <w:r w:rsidRPr="007E304A">
        <w:rPr>
          <w:rFonts w:eastAsia="MS Mincho"/>
        </w:rPr>
        <w:t xml:space="preserve"> D.C. </w:t>
      </w:r>
      <w:r w:rsidR="004B6984" w:rsidRPr="007E304A">
        <w:rPr>
          <w:rFonts w:eastAsia="MS Mincho"/>
        </w:rPr>
        <w:t>The following table provides an overview analysis of the six locations:</w:t>
      </w:r>
    </w:p>
    <w:p w14:paraId="60CD5084" w14:textId="51D33BBB" w:rsidR="0041238C" w:rsidRPr="007E304A" w:rsidRDefault="0041238C" w:rsidP="006432A8">
      <w:pPr>
        <w:pStyle w:val="Normal-pool"/>
        <w:tabs>
          <w:tab w:val="clear" w:pos="1247"/>
          <w:tab w:val="clear" w:pos="1814"/>
          <w:tab w:val="clear" w:pos="2381"/>
          <w:tab w:val="clear" w:pos="2948"/>
          <w:tab w:val="clear" w:pos="3515"/>
          <w:tab w:val="clear" w:pos="4082"/>
          <w:tab w:val="left" w:pos="624"/>
        </w:tabs>
        <w:spacing w:after="120"/>
        <w:ind w:left="1247"/>
        <w:rPr>
          <w:rFonts w:eastAsia="MS Mincho"/>
        </w:rPr>
      </w:pPr>
    </w:p>
    <w:tbl>
      <w:tblPr>
        <w:tblStyle w:val="TableGrid"/>
        <w:tblW w:w="0" w:type="auto"/>
        <w:tblInd w:w="624" w:type="dxa"/>
        <w:tblLook w:val="04A0" w:firstRow="1" w:lastRow="0" w:firstColumn="1" w:lastColumn="0" w:noHBand="0" w:noVBand="1"/>
      </w:tblPr>
      <w:tblGrid>
        <w:gridCol w:w="1435"/>
        <w:gridCol w:w="4575"/>
        <w:gridCol w:w="3006"/>
      </w:tblGrid>
      <w:tr w:rsidR="0059785C" w:rsidRPr="007E304A" w14:paraId="02779035" w14:textId="77777777" w:rsidTr="00EA17CB">
        <w:trPr>
          <w:tblHeader/>
        </w:trPr>
        <w:tc>
          <w:tcPr>
            <w:tcW w:w="1435" w:type="dxa"/>
          </w:tcPr>
          <w:p w14:paraId="6142DD08"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Location</w:t>
            </w:r>
          </w:p>
        </w:tc>
        <w:tc>
          <w:tcPr>
            <w:tcW w:w="4575" w:type="dxa"/>
          </w:tcPr>
          <w:p w14:paraId="5D265BAA"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 xml:space="preserve">Description </w:t>
            </w:r>
          </w:p>
        </w:tc>
        <w:tc>
          <w:tcPr>
            <w:tcW w:w="3006" w:type="dxa"/>
          </w:tcPr>
          <w:p w14:paraId="239767D8"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Costs</w:t>
            </w:r>
          </w:p>
        </w:tc>
      </w:tr>
      <w:tr w:rsidR="0059785C" w:rsidRPr="007E304A" w14:paraId="6D9798B0" w14:textId="77777777" w:rsidTr="006432A8">
        <w:tc>
          <w:tcPr>
            <w:tcW w:w="1435" w:type="dxa"/>
          </w:tcPr>
          <w:p w14:paraId="3FE3E059"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Bangkok</w:t>
            </w:r>
          </w:p>
          <w:p w14:paraId="24229EC9" w14:textId="3601A27E" w:rsidR="0059785C" w:rsidRPr="007E304A" w:rsidRDefault="00C2225F" w:rsidP="00AB20EE">
            <w:pPr>
              <w:rPr>
                <w:rFonts w:asciiTheme="majorBidi" w:hAnsiTheme="majorBidi" w:cstheme="majorBidi"/>
              </w:rPr>
            </w:pPr>
            <w:r w:rsidRPr="007E304A">
              <w:rPr>
                <w:rFonts w:asciiTheme="majorBidi" w:hAnsiTheme="majorBidi" w:cstheme="majorBidi"/>
              </w:rPr>
              <w:t>(</w:t>
            </w:r>
            <w:r w:rsidR="0059785C" w:rsidRPr="007E304A">
              <w:rPr>
                <w:rFonts w:asciiTheme="majorBidi" w:hAnsiTheme="majorBidi" w:cstheme="majorBidi"/>
              </w:rPr>
              <w:t>based on standard salary costs</w:t>
            </w:r>
            <w:r w:rsidRPr="007E304A">
              <w:rPr>
                <w:rFonts w:asciiTheme="majorBidi" w:hAnsiTheme="majorBidi" w:cstheme="majorBidi"/>
              </w:rPr>
              <w:t>)</w:t>
            </w:r>
          </w:p>
        </w:tc>
        <w:tc>
          <w:tcPr>
            <w:tcW w:w="4575" w:type="dxa"/>
          </w:tcPr>
          <w:p w14:paraId="5F325770" w14:textId="77A0ECB0" w:rsidR="0059785C" w:rsidRPr="007E304A" w:rsidRDefault="0059785C">
            <w:pPr>
              <w:rPr>
                <w:rFonts w:asciiTheme="majorBidi" w:hAnsiTheme="majorBidi" w:cstheme="majorBidi"/>
              </w:rPr>
            </w:pPr>
            <w:r w:rsidRPr="007E304A">
              <w:rPr>
                <w:rFonts w:asciiTheme="majorBidi" w:eastAsia="MS Mincho" w:hAnsiTheme="majorBidi" w:cstheme="majorBidi"/>
              </w:rPr>
              <w:t xml:space="preserve">Bangkok is a regional United Nations hub housing the UNEP </w:t>
            </w:r>
            <w:r w:rsidR="001A2884" w:rsidRPr="007E304A">
              <w:rPr>
                <w:rFonts w:asciiTheme="majorBidi" w:eastAsia="MS Mincho" w:hAnsiTheme="majorBidi" w:cstheme="majorBidi"/>
              </w:rPr>
              <w:t xml:space="preserve">Regional Office for </w:t>
            </w:r>
            <w:r w:rsidRPr="007E304A">
              <w:rPr>
                <w:rFonts w:asciiTheme="majorBidi" w:eastAsia="MS Mincho" w:hAnsiTheme="majorBidi" w:cstheme="majorBidi"/>
              </w:rPr>
              <w:t>Asia</w:t>
            </w:r>
            <w:r w:rsidR="006E5420" w:rsidRPr="006432A8">
              <w:rPr>
                <w:rFonts w:asciiTheme="majorBidi" w:eastAsia="MS Mincho" w:hAnsiTheme="majorBidi" w:cstheme="majorBidi"/>
              </w:rPr>
              <w:t xml:space="preserve"> and the Pacific</w:t>
            </w:r>
            <w:r w:rsidRPr="007E304A">
              <w:rPr>
                <w:rFonts w:asciiTheme="majorBidi" w:eastAsia="MS Mincho" w:hAnsiTheme="majorBidi" w:cstheme="majorBidi"/>
              </w:rPr>
              <w:t>, the Economic and Social Commission for Asia and the Pacific, and a range of other regional secretariats and regional offices of other United Nations agencies and non-governmental organizations. Bangkok has emerged as an international transport hub with facilitative visa entry procedures. Bangkok also has suitable United Nations conference facilities.</w:t>
            </w:r>
          </w:p>
        </w:tc>
        <w:tc>
          <w:tcPr>
            <w:tcW w:w="3006" w:type="dxa"/>
          </w:tcPr>
          <w:p w14:paraId="29515C66" w14:textId="77777777"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The staffing cost </w:t>
            </w:r>
            <w:r w:rsidRPr="00CD0BF2">
              <w:rPr>
                <w:rFonts w:asciiTheme="majorBidi" w:eastAsia="MS Mincho" w:hAnsiTheme="majorBidi" w:cstheme="majorBidi"/>
              </w:rPr>
              <w:t xml:space="preserve">for this option is </w:t>
            </w:r>
            <w:r w:rsidRPr="00CD0BF2">
              <w:rPr>
                <w:rFonts w:asciiTheme="majorBidi" w:eastAsia="MS Mincho" w:hAnsiTheme="majorBidi" w:cstheme="majorBidi"/>
                <w:b/>
                <w:bCs/>
              </w:rPr>
              <w:t>$2,140,500/year</w:t>
            </w:r>
            <w:r w:rsidRPr="00CD0BF2">
              <w:rPr>
                <w:rFonts w:asciiTheme="majorBidi" w:eastAsia="MS Mincho" w:hAnsiTheme="majorBidi" w:cstheme="majorBidi"/>
              </w:rPr>
              <w:t xml:space="preserve"> (see appendix II</w:t>
            </w:r>
            <w:r w:rsidRPr="007E304A">
              <w:rPr>
                <w:rFonts w:asciiTheme="majorBidi" w:eastAsia="MS Mincho" w:hAnsiTheme="majorBidi" w:cstheme="majorBidi"/>
              </w:rPr>
              <w:t>, table 3).</w:t>
            </w:r>
          </w:p>
          <w:p w14:paraId="3152806F" w14:textId="77777777"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Furthermore, as per appendix II, table 4: </w:t>
            </w:r>
          </w:p>
          <w:p w14:paraId="4515F1D3" w14:textId="5BED48D1" w:rsidR="0059785C" w:rsidRPr="00CD0BF2" w:rsidRDefault="0059785C" w:rsidP="00AB20EE">
            <w:pPr>
              <w:pStyle w:val="Normalnumber"/>
              <w:numPr>
                <w:ilvl w:val="0"/>
                <w:numId w:val="0"/>
              </w:numPr>
              <w:tabs>
                <w:tab w:val="left" w:pos="1871"/>
              </w:tabs>
              <w:rPr>
                <w:rFonts w:asciiTheme="majorBidi" w:eastAsia="MS Mincho" w:hAnsiTheme="majorBidi" w:cstheme="majorBidi"/>
              </w:rPr>
            </w:pPr>
            <w:r w:rsidRPr="00CD0BF2">
              <w:rPr>
                <w:rFonts w:asciiTheme="majorBidi" w:eastAsia="MS Mincho" w:hAnsiTheme="majorBidi" w:cstheme="majorBidi"/>
              </w:rPr>
              <w:t>Estimated secretariat operation costs at this location are $200,000/year;</w:t>
            </w:r>
            <w:r w:rsidR="002C7EC3" w:rsidRPr="00CD0BF2">
              <w:rPr>
                <w:rFonts w:asciiTheme="majorBidi" w:eastAsia="MS Mincho" w:hAnsiTheme="majorBidi" w:cstheme="majorBidi"/>
              </w:rPr>
              <w:t xml:space="preserve"> </w:t>
            </w:r>
          </w:p>
          <w:p w14:paraId="75EAFAC6" w14:textId="0784C592" w:rsidR="0059785C" w:rsidRPr="00CD0BF2" w:rsidRDefault="0059785C" w:rsidP="00AB20EE">
            <w:pPr>
              <w:pStyle w:val="Normalnumber"/>
              <w:numPr>
                <w:ilvl w:val="0"/>
                <w:numId w:val="0"/>
              </w:numPr>
              <w:tabs>
                <w:tab w:val="left" w:pos="1871"/>
              </w:tabs>
              <w:rPr>
                <w:rFonts w:asciiTheme="majorBidi" w:eastAsia="MS Mincho" w:hAnsiTheme="majorBidi" w:cstheme="majorBidi"/>
              </w:rPr>
            </w:pPr>
            <w:r w:rsidRPr="00CD0BF2">
              <w:rPr>
                <w:rFonts w:asciiTheme="majorBidi" w:eastAsia="MS Mincho" w:hAnsiTheme="majorBidi" w:cstheme="majorBidi"/>
              </w:rPr>
              <w:t xml:space="preserve">Estimated costs </w:t>
            </w:r>
            <w:r w:rsidR="00CD0BF2" w:rsidRPr="001664EC">
              <w:rPr>
                <w:rFonts w:asciiTheme="majorBidi" w:eastAsia="MS Mincho" w:hAnsiTheme="majorBidi" w:cstheme="majorBidi"/>
              </w:rPr>
              <w:t>per meeting of the</w:t>
            </w:r>
            <w:r w:rsidRPr="00CD0BF2">
              <w:rPr>
                <w:rFonts w:asciiTheme="majorBidi" w:eastAsia="MS Mincho" w:hAnsiTheme="majorBidi" w:cstheme="majorBidi"/>
              </w:rPr>
              <w:t xml:space="preserve"> Conference of the Parties </w:t>
            </w:r>
            <w:r w:rsidR="00CD0BF2" w:rsidRPr="001664EC">
              <w:rPr>
                <w:rFonts w:asciiTheme="majorBidi" w:eastAsia="MS Mincho" w:hAnsiTheme="majorBidi" w:cstheme="majorBidi"/>
              </w:rPr>
              <w:t xml:space="preserve">at this </w:t>
            </w:r>
            <w:r w:rsidRPr="00CD0BF2">
              <w:rPr>
                <w:rFonts w:asciiTheme="majorBidi" w:eastAsia="MS Mincho" w:hAnsiTheme="majorBidi" w:cstheme="majorBidi"/>
              </w:rPr>
              <w:t>location are $820,000;</w:t>
            </w:r>
          </w:p>
          <w:p w14:paraId="52A376F0" w14:textId="1D39C0E3" w:rsidR="0059785C" w:rsidRPr="007E304A" w:rsidRDefault="0059785C" w:rsidP="00AB20EE">
            <w:pPr>
              <w:pStyle w:val="Normalnumber"/>
              <w:numPr>
                <w:ilvl w:val="0"/>
                <w:numId w:val="0"/>
              </w:numPr>
              <w:tabs>
                <w:tab w:val="left" w:pos="1871"/>
              </w:tabs>
              <w:rPr>
                <w:rFonts w:asciiTheme="majorBidi" w:eastAsia="MS Mincho" w:hAnsiTheme="majorBidi" w:cstheme="majorBidi"/>
              </w:rPr>
            </w:pPr>
            <w:r w:rsidRPr="00CD0BF2">
              <w:rPr>
                <w:rFonts w:asciiTheme="majorBidi" w:eastAsia="MS Mincho" w:hAnsiTheme="majorBidi" w:cstheme="majorBidi"/>
              </w:rPr>
              <w:t>Estimated staff travel</w:t>
            </w:r>
            <w:r w:rsidRPr="007E304A">
              <w:rPr>
                <w:rFonts w:asciiTheme="majorBidi" w:eastAsia="MS Mincho" w:hAnsiTheme="majorBidi" w:cstheme="majorBidi"/>
              </w:rPr>
              <w:t xml:space="preserve"> costs to Geneva for chemicals and waste meetings are about $40,000 for the biennium 2018–2019. </w:t>
            </w:r>
          </w:p>
          <w:p w14:paraId="6416BC83" w14:textId="77777777"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For information, travel costs for funded technical delegates to a meeting of the Conference of the Parties in Bangkok are about $470,000. </w:t>
            </w:r>
          </w:p>
          <w:p w14:paraId="574AD9EF" w14:textId="77777777" w:rsidR="0059785C" w:rsidRPr="007E304A" w:rsidRDefault="0059785C" w:rsidP="00AB20EE">
            <w:pPr>
              <w:rPr>
                <w:rFonts w:asciiTheme="majorBidi" w:hAnsiTheme="majorBidi" w:cstheme="majorBidi"/>
              </w:rPr>
            </w:pPr>
          </w:p>
        </w:tc>
      </w:tr>
      <w:tr w:rsidR="0059785C" w:rsidRPr="007E304A" w14:paraId="26EA0599" w14:textId="77777777" w:rsidTr="006432A8">
        <w:tc>
          <w:tcPr>
            <w:tcW w:w="1435" w:type="dxa"/>
          </w:tcPr>
          <w:p w14:paraId="6BC9833C"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Geneva</w:t>
            </w:r>
          </w:p>
          <w:p w14:paraId="2CBC72D5" w14:textId="3350D51C" w:rsidR="0059785C" w:rsidRPr="007E304A" w:rsidRDefault="00C2225F" w:rsidP="00AB20EE">
            <w:pPr>
              <w:rPr>
                <w:rFonts w:asciiTheme="majorBidi" w:hAnsiTheme="majorBidi" w:cstheme="majorBidi"/>
              </w:rPr>
            </w:pPr>
            <w:r w:rsidRPr="007E304A">
              <w:rPr>
                <w:rFonts w:asciiTheme="majorBidi" w:hAnsiTheme="majorBidi" w:cstheme="majorBidi"/>
              </w:rPr>
              <w:t>(</w:t>
            </w:r>
            <w:r w:rsidR="0059785C" w:rsidRPr="007E304A">
              <w:rPr>
                <w:rFonts w:asciiTheme="majorBidi" w:hAnsiTheme="majorBidi" w:cstheme="majorBidi"/>
              </w:rPr>
              <w:t>based on actual salary costs</w:t>
            </w:r>
            <w:r w:rsidRPr="007E304A">
              <w:rPr>
                <w:rFonts w:asciiTheme="majorBidi" w:hAnsiTheme="majorBidi" w:cstheme="majorBidi"/>
              </w:rPr>
              <w:t>)</w:t>
            </w:r>
          </w:p>
        </w:tc>
        <w:tc>
          <w:tcPr>
            <w:tcW w:w="4575" w:type="dxa"/>
          </w:tcPr>
          <w:p w14:paraId="6D7CCB9A" w14:textId="7F208463" w:rsidR="0059785C" w:rsidRPr="007E304A" w:rsidRDefault="0059785C" w:rsidP="00FE650B">
            <w:pPr>
              <w:pStyle w:val="Normalnumber"/>
              <w:numPr>
                <w:ilvl w:val="0"/>
                <w:numId w:val="0"/>
              </w:numPr>
              <w:rPr>
                <w:rFonts w:asciiTheme="majorBidi" w:hAnsiTheme="majorBidi" w:cstheme="majorBidi"/>
              </w:rPr>
            </w:pPr>
            <w:r w:rsidRPr="007E304A">
              <w:rPr>
                <w:rFonts w:asciiTheme="majorBidi" w:eastAsia="MS Mincho" w:hAnsiTheme="majorBidi" w:cstheme="majorBidi"/>
              </w:rPr>
              <w:t xml:space="preserve">Based at International Environment House, the location would allow close cooperation with a number of entities in the </w:t>
            </w:r>
            <w:r w:rsidRPr="00CD0BF2">
              <w:rPr>
                <w:rFonts w:asciiTheme="majorBidi" w:eastAsia="MS Mincho" w:hAnsiTheme="majorBidi" w:cstheme="majorBidi"/>
              </w:rPr>
              <w:t>chemicals and waste cluster, including the Chemicals and Health Branch, and in particular the UNEP Global Mercury Partnership, the secretariat of the Basel, Rotterdam and</w:t>
            </w:r>
            <w:r w:rsidRPr="007E304A">
              <w:rPr>
                <w:rFonts w:asciiTheme="majorBidi" w:eastAsia="MS Mincho" w:hAnsiTheme="majorBidi" w:cstheme="majorBidi"/>
              </w:rPr>
              <w:t xml:space="preserve"> Stockholm conventions and the secretariat of the Strategic Approach to International Chemicals Management. Furthermore, for implementation purposes, Geneva also hosts the UNEP </w:t>
            </w:r>
            <w:r w:rsidR="006E5420" w:rsidRPr="007E304A">
              <w:rPr>
                <w:rFonts w:asciiTheme="majorBidi" w:eastAsia="MS Mincho" w:hAnsiTheme="majorBidi" w:cstheme="majorBidi"/>
              </w:rPr>
              <w:t xml:space="preserve">Regional Office for </w:t>
            </w:r>
            <w:r w:rsidRPr="007E304A">
              <w:rPr>
                <w:rFonts w:asciiTheme="majorBidi" w:eastAsia="MS Mincho" w:hAnsiTheme="majorBidi" w:cstheme="majorBidi"/>
              </w:rPr>
              <w:t xml:space="preserve">Europe and </w:t>
            </w:r>
            <w:r w:rsidR="00F738F9">
              <w:rPr>
                <w:rFonts w:asciiTheme="majorBidi" w:eastAsia="MS Mincho" w:hAnsiTheme="majorBidi" w:cstheme="majorBidi"/>
              </w:rPr>
              <w:t xml:space="preserve"> </w:t>
            </w:r>
            <w:r w:rsidR="006A09FE">
              <w:rPr>
                <w:rFonts w:asciiTheme="majorBidi" w:eastAsia="MS Mincho" w:hAnsiTheme="majorBidi" w:cstheme="majorBidi"/>
              </w:rPr>
              <w:t xml:space="preserve">the </w:t>
            </w:r>
            <w:r w:rsidR="00F738F9">
              <w:rPr>
                <w:rFonts w:asciiTheme="majorBidi" w:eastAsia="MS Mincho" w:hAnsiTheme="majorBidi" w:cstheme="majorBidi"/>
              </w:rPr>
              <w:t xml:space="preserve">global headquarters of </w:t>
            </w:r>
            <w:r w:rsidRPr="007E304A">
              <w:rPr>
                <w:rFonts w:asciiTheme="majorBidi" w:eastAsia="MS Mincho" w:hAnsiTheme="majorBidi" w:cstheme="majorBidi"/>
              </w:rPr>
              <w:t xml:space="preserve">the World Health Organization, the International Labour Organization, the United Nations Institute for Training and Research and the World Trade Organization. The United Nations Office at Geneva, </w:t>
            </w:r>
            <w:r w:rsidR="00A0504C">
              <w:rPr>
                <w:rFonts w:asciiTheme="majorBidi" w:eastAsia="MS Mincho" w:hAnsiTheme="majorBidi" w:cstheme="majorBidi"/>
              </w:rPr>
              <w:t>which is a United</w:t>
            </w:r>
            <w:r w:rsidR="00FE650B">
              <w:rPr>
                <w:rFonts w:asciiTheme="majorBidi" w:eastAsia="MS Mincho" w:hAnsiTheme="majorBidi" w:cstheme="majorBidi"/>
              </w:rPr>
              <w:t> </w:t>
            </w:r>
            <w:r w:rsidR="00A0504C">
              <w:rPr>
                <w:rFonts w:asciiTheme="majorBidi" w:eastAsia="MS Mincho" w:hAnsiTheme="majorBidi" w:cstheme="majorBidi"/>
              </w:rPr>
              <w:t xml:space="preserve">Nations headquarters duty station, </w:t>
            </w:r>
            <w:r w:rsidRPr="007E304A">
              <w:rPr>
                <w:rFonts w:asciiTheme="majorBidi" w:eastAsia="MS Mincho" w:hAnsiTheme="majorBidi" w:cstheme="majorBidi"/>
              </w:rPr>
              <w:t xml:space="preserve">the Economic Commission for Europe and numerous other intergovernmental and non-governmental organizations and associations are also located in Geneva. The presence of the permanent missions in Geneva – often with specific substantive expertise in the chemicals and waste cluster – provides the opportunity to give joint briefings related to chemicals and waste issues. Geneva also has suitable United Nations conference facilities. </w:t>
            </w:r>
          </w:p>
        </w:tc>
        <w:tc>
          <w:tcPr>
            <w:tcW w:w="3006" w:type="dxa"/>
          </w:tcPr>
          <w:p w14:paraId="679BB207" w14:textId="77777777"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The staffing cost for this option is </w:t>
            </w:r>
            <w:r w:rsidRPr="006432A8">
              <w:rPr>
                <w:rFonts w:asciiTheme="majorBidi" w:eastAsia="MS Mincho" w:hAnsiTheme="majorBidi" w:cstheme="majorBidi"/>
                <w:b/>
                <w:bCs/>
              </w:rPr>
              <w:t>$3,233,709/year</w:t>
            </w:r>
            <w:r w:rsidRPr="007E304A">
              <w:rPr>
                <w:rFonts w:asciiTheme="majorBidi" w:eastAsia="MS Mincho" w:hAnsiTheme="majorBidi" w:cstheme="majorBidi"/>
              </w:rPr>
              <w:t xml:space="preserve"> (see appendix II, table 2 and table 3).</w:t>
            </w:r>
          </w:p>
          <w:p w14:paraId="5B09A3B6" w14:textId="77777777"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Furthermore, as per appendix II, table 4: </w:t>
            </w:r>
          </w:p>
          <w:p w14:paraId="1BDA6FE9" w14:textId="77777777" w:rsidR="0059785C" w:rsidRPr="004277CF" w:rsidRDefault="0059785C" w:rsidP="00AB20EE">
            <w:pPr>
              <w:pStyle w:val="Normalnumber"/>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secretariat operation costs at this location are $200,000/year;</w:t>
            </w:r>
          </w:p>
          <w:p w14:paraId="2603FB9D" w14:textId="25F67ECB" w:rsidR="0059785C" w:rsidRPr="007E304A" w:rsidRDefault="0059785C" w:rsidP="00AB20EE">
            <w:pPr>
              <w:pStyle w:val="Normalnumber"/>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costs per meeting</w:t>
            </w:r>
            <w:r w:rsidRPr="007E304A">
              <w:rPr>
                <w:rFonts w:asciiTheme="majorBidi" w:eastAsia="MS Mincho" w:hAnsiTheme="majorBidi" w:cstheme="majorBidi"/>
              </w:rPr>
              <w:t xml:space="preserve"> of the Conference of the Parties </w:t>
            </w:r>
            <w:r w:rsidRPr="007A4FE0">
              <w:rPr>
                <w:rFonts w:asciiTheme="majorBidi" w:eastAsia="MS Mincho" w:hAnsiTheme="majorBidi" w:cstheme="majorBidi"/>
              </w:rPr>
              <w:t>at this location</w:t>
            </w:r>
            <w:r w:rsidRPr="007E304A">
              <w:rPr>
                <w:rFonts w:asciiTheme="majorBidi" w:eastAsia="MS Mincho" w:hAnsiTheme="majorBidi" w:cstheme="majorBidi"/>
              </w:rPr>
              <w:t xml:space="preserve"> are $1,300,000.</w:t>
            </w:r>
          </w:p>
          <w:p w14:paraId="6793A9E8" w14:textId="17E98B19" w:rsidR="0059785C" w:rsidRPr="007E304A" w:rsidRDefault="0059785C" w:rsidP="001664EC">
            <w:pPr>
              <w:pStyle w:val="Normalnumber"/>
              <w:numPr>
                <w:ilvl w:val="0"/>
                <w:numId w:val="0"/>
              </w:numPr>
              <w:rPr>
                <w:rFonts w:asciiTheme="majorBidi" w:hAnsiTheme="majorBidi" w:cstheme="majorBidi"/>
              </w:rPr>
            </w:pPr>
            <w:r w:rsidRPr="007E304A">
              <w:rPr>
                <w:rFonts w:asciiTheme="majorBidi" w:eastAsia="MS Mincho" w:hAnsiTheme="majorBidi" w:cstheme="majorBidi"/>
              </w:rPr>
              <w:t xml:space="preserve">Travel costs for funded technical delegates to a </w:t>
            </w:r>
            <w:r w:rsidR="001A2884" w:rsidRPr="007E304A">
              <w:rPr>
                <w:rFonts w:asciiTheme="majorBidi" w:eastAsia="MS Mincho" w:hAnsiTheme="majorBidi" w:cstheme="majorBidi"/>
              </w:rPr>
              <w:t xml:space="preserve">meeting of the </w:t>
            </w:r>
            <w:r w:rsidRPr="007E304A">
              <w:rPr>
                <w:rFonts w:asciiTheme="majorBidi" w:eastAsia="MS Mincho" w:hAnsiTheme="majorBidi" w:cstheme="majorBidi"/>
              </w:rPr>
              <w:t xml:space="preserve">Conference of the Parties in Geneva are </w:t>
            </w:r>
            <w:r w:rsidR="00754637">
              <w:rPr>
                <w:rFonts w:asciiTheme="majorBidi" w:eastAsia="MS Mincho" w:hAnsiTheme="majorBidi" w:cstheme="majorBidi"/>
              </w:rPr>
              <w:t>estimated at</w:t>
            </w:r>
            <w:r w:rsidR="00754637" w:rsidRPr="007E304A">
              <w:rPr>
                <w:rFonts w:asciiTheme="majorBidi" w:eastAsia="MS Mincho" w:hAnsiTheme="majorBidi" w:cstheme="majorBidi"/>
              </w:rPr>
              <w:t xml:space="preserve"> </w:t>
            </w:r>
            <w:r w:rsidRPr="007E304A">
              <w:rPr>
                <w:rFonts w:asciiTheme="majorBidi" w:eastAsia="MS Mincho" w:hAnsiTheme="majorBidi" w:cstheme="majorBidi"/>
              </w:rPr>
              <w:t>$850,000.</w:t>
            </w:r>
          </w:p>
        </w:tc>
      </w:tr>
      <w:tr w:rsidR="0059785C" w:rsidRPr="007E304A" w14:paraId="2CD67FAD" w14:textId="77777777" w:rsidTr="006432A8">
        <w:tc>
          <w:tcPr>
            <w:tcW w:w="1435" w:type="dxa"/>
          </w:tcPr>
          <w:p w14:paraId="7AE580AA"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Nairobi</w:t>
            </w:r>
          </w:p>
          <w:p w14:paraId="518601E7" w14:textId="186F1B38" w:rsidR="0059785C" w:rsidRPr="007E304A" w:rsidRDefault="00C2225F" w:rsidP="00AB20EE">
            <w:pPr>
              <w:rPr>
                <w:rFonts w:asciiTheme="majorBidi" w:hAnsiTheme="majorBidi" w:cstheme="majorBidi"/>
              </w:rPr>
            </w:pPr>
            <w:r w:rsidRPr="007E304A">
              <w:rPr>
                <w:rFonts w:asciiTheme="majorBidi" w:hAnsiTheme="majorBidi" w:cstheme="majorBidi"/>
              </w:rPr>
              <w:t>(</w:t>
            </w:r>
            <w:r w:rsidR="0059785C" w:rsidRPr="007E304A">
              <w:rPr>
                <w:rFonts w:asciiTheme="majorBidi" w:hAnsiTheme="majorBidi" w:cstheme="majorBidi"/>
              </w:rPr>
              <w:t>based on standard salary costs</w:t>
            </w:r>
            <w:r w:rsidRPr="007E304A">
              <w:rPr>
                <w:rFonts w:asciiTheme="majorBidi" w:hAnsiTheme="majorBidi" w:cstheme="majorBidi"/>
              </w:rPr>
              <w:t>)</w:t>
            </w:r>
          </w:p>
        </w:tc>
        <w:tc>
          <w:tcPr>
            <w:tcW w:w="4575" w:type="dxa"/>
          </w:tcPr>
          <w:p w14:paraId="3745254E" w14:textId="627156A4" w:rsidR="0059785C" w:rsidRPr="004277CF" w:rsidRDefault="0059785C" w:rsidP="00FE650B">
            <w:pPr>
              <w:pStyle w:val="Normalnumber"/>
              <w:numPr>
                <w:ilvl w:val="0"/>
                <w:numId w:val="0"/>
              </w:numPr>
              <w:rPr>
                <w:rFonts w:asciiTheme="majorBidi" w:eastAsia="MS Mincho" w:hAnsiTheme="majorBidi" w:cstheme="majorBidi"/>
              </w:rPr>
            </w:pPr>
            <w:r w:rsidRPr="004277CF">
              <w:rPr>
                <w:rFonts w:eastAsia="MS Mincho"/>
              </w:rPr>
              <w:t>As the headquarter</w:t>
            </w:r>
            <w:r w:rsidR="00923CAE" w:rsidRPr="004277CF">
              <w:rPr>
                <w:rFonts w:eastAsia="MS Mincho"/>
              </w:rPr>
              <w:t>s</w:t>
            </w:r>
            <w:r w:rsidRPr="004277CF">
              <w:rPr>
                <w:rFonts w:eastAsia="MS Mincho"/>
              </w:rPr>
              <w:t xml:space="preserve"> duty station of UNEP, Nairobi provides the opportunity for close cooperation with and support from other areas of the organization, in particular the Corporate Services Division, the Law Division, the Science Division, the Ecosystems Division and the Communications Division. Furthermore, the Ozone Secretariat is based in Nairobi, as is the UNEP Regional Office for Africa, numerous regional offices of United Nations entities and other intergovernmental organizations, and permanent missions. Nairobi also has suitable United</w:t>
            </w:r>
            <w:r w:rsidR="00FE650B">
              <w:rPr>
                <w:rFonts w:eastAsia="MS Mincho"/>
              </w:rPr>
              <w:t> </w:t>
            </w:r>
            <w:r w:rsidRPr="004277CF">
              <w:rPr>
                <w:rFonts w:eastAsia="MS Mincho"/>
              </w:rPr>
              <w:t xml:space="preserve">Nations conference facilities. </w:t>
            </w:r>
          </w:p>
        </w:tc>
        <w:tc>
          <w:tcPr>
            <w:tcW w:w="3006" w:type="dxa"/>
          </w:tcPr>
          <w:p w14:paraId="72B4ECC9" w14:textId="77777777" w:rsidR="0059785C" w:rsidRPr="004277CF" w:rsidRDefault="0059785C" w:rsidP="00AB20EE">
            <w:pPr>
              <w:pStyle w:val="Normalnumber"/>
              <w:numPr>
                <w:ilvl w:val="0"/>
                <w:numId w:val="0"/>
              </w:numPr>
              <w:rPr>
                <w:rFonts w:eastAsia="MS Mincho"/>
              </w:rPr>
            </w:pPr>
            <w:r w:rsidRPr="004277CF">
              <w:rPr>
                <w:rFonts w:eastAsia="MS Mincho"/>
              </w:rPr>
              <w:t xml:space="preserve">The staffing cost for this option is </w:t>
            </w:r>
            <w:r w:rsidRPr="004277CF">
              <w:rPr>
                <w:rFonts w:eastAsia="MS Mincho"/>
                <w:b/>
                <w:bCs/>
              </w:rPr>
              <w:t>$2,074,550/</w:t>
            </w:r>
            <w:r w:rsidRPr="004277CF">
              <w:rPr>
                <w:rFonts w:eastAsia="MS Mincho"/>
              </w:rPr>
              <w:t>year (see appendix II, table 3).</w:t>
            </w:r>
          </w:p>
          <w:p w14:paraId="21ECD7DA" w14:textId="77777777" w:rsidR="0059785C" w:rsidRPr="004277CF" w:rsidRDefault="0059785C" w:rsidP="00AB20EE">
            <w:pPr>
              <w:pStyle w:val="Normalnumber"/>
              <w:numPr>
                <w:ilvl w:val="0"/>
                <w:numId w:val="0"/>
              </w:numPr>
              <w:rPr>
                <w:rFonts w:eastAsia="MS Mincho"/>
              </w:rPr>
            </w:pPr>
            <w:r w:rsidRPr="004277CF">
              <w:rPr>
                <w:rFonts w:eastAsia="MS Mincho"/>
              </w:rPr>
              <w:t xml:space="preserve">Furthermore, as per appendix II, table 4: </w:t>
            </w:r>
          </w:p>
          <w:p w14:paraId="1621915A" w14:textId="77777777" w:rsidR="0059785C" w:rsidRPr="004277CF" w:rsidRDefault="0059785C" w:rsidP="00AB20EE">
            <w:pPr>
              <w:pStyle w:val="Normalnumber"/>
              <w:numPr>
                <w:ilvl w:val="0"/>
                <w:numId w:val="0"/>
              </w:numPr>
              <w:tabs>
                <w:tab w:val="left" w:pos="1871"/>
              </w:tabs>
              <w:rPr>
                <w:rFonts w:eastAsia="MS Mincho"/>
              </w:rPr>
            </w:pPr>
            <w:r w:rsidRPr="004277CF">
              <w:rPr>
                <w:rFonts w:eastAsia="MS Mincho"/>
              </w:rPr>
              <w:t>Estimated secretariat operation costs at this location are $200,000/year;</w:t>
            </w:r>
          </w:p>
          <w:p w14:paraId="20D1E44B" w14:textId="77777777" w:rsidR="0059785C" w:rsidRPr="004277CF" w:rsidRDefault="0059785C" w:rsidP="00AB20EE">
            <w:pPr>
              <w:pStyle w:val="Normalnumber"/>
              <w:numPr>
                <w:ilvl w:val="0"/>
                <w:numId w:val="0"/>
              </w:numPr>
              <w:tabs>
                <w:tab w:val="left" w:pos="1871"/>
              </w:tabs>
              <w:rPr>
                <w:rFonts w:eastAsia="MS Mincho"/>
              </w:rPr>
            </w:pPr>
            <w:r w:rsidRPr="004277CF">
              <w:rPr>
                <w:rFonts w:eastAsia="MS Mincho"/>
              </w:rPr>
              <w:t>Estimated costs per meeting of the Conference of the Parties at this location are $620,000;</w:t>
            </w:r>
          </w:p>
          <w:p w14:paraId="2F2FC65F" w14:textId="77777777" w:rsidR="0059785C" w:rsidRPr="004277CF" w:rsidRDefault="0059785C" w:rsidP="00AB20EE">
            <w:pPr>
              <w:pStyle w:val="Normalnumber"/>
              <w:numPr>
                <w:ilvl w:val="0"/>
                <w:numId w:val="0"/>
              </w:numPr>
              <w:tabs>
                <w:tab w:val="left" w:pos="1871"/>
              </w:tabs>
              <w:rPr>
                <w:rFonts w:eastAsia="MS Mincho"/>
              </w:rPr>
            </w:pPr>
            <w:r w:rsidRPr="004277CF">
              <w:rPr>
                <w:rFonts w:eastAsia="MS Mincho"/>
              </w:rPr>
              <w:t xml:space="preserve">Estimated staff travel costs to Geneva for chemicals and waste meetings are about $36,000 for the biennium 2018–2019. </w:t>
            </w:r>
          </w:p>
          <w:p w14:paraId="03A6B0BA" w14:textId="7544EC85" w:rsidR="0059785C" w:rsidRPr="004277CF" w:rsidRDefault="0059785C" w:rsidP="00EA17CB">
            <w:pPr>
              <w:pStyle w:val="Normalnumber"/>
              <w:numPr>
                <w:ilvl w:val="0"/>
                <w:numId w:val="0"/>
              </w:numPr>
              <w:rPr>
                <w:rFonts w:asciiTheme="majorBidi" w:eastAsia="MS Mincho" w:hAnsiTheme="majorBidi" w:cstheme="majorBidi"/>
              </w:rPr>
            </w:pPr>
            <w:r w:rsidRPr="004277CF">
              <w:rPr>
                <w:rFonts w:eastAsia="MS Mincho"/>
              </w:rPr>
              <w:t xml:space="preserve">Travel costs for funded technical delegates to a meeting of the Conference of the Parties in Nairobi are </w:t>
            </w:r>
            <w:r w:rsidR="00754637" w:rsidRPr="004277CF">
              <w:rPr>
                <w:rFonts w:eastAsia="MS Mincho"/>
              </w:rPr>
              <w:t xml:space="preserve">estimated to be </w:t>
            </w:r>
            <w:r w:rsidRPr="004277CF">
              <w:rPr>
                <w:rFonts w:eastAsia="MS Mincho"/>
              </w:rPr>
              <w:t xml:space="preserve">about $630,000. </w:t>
            </w:r>
          </w:p>
        </w:tc>
      </w:tr>
      <w:tr w:rsidR="0059785C" w:rsidRPr="007E304A" w14:paraId="6DF73096" w14:textId="77777777" w:rsidTr="006432A8">
        <w:tc>
          <w:tcPr>
            <w:tcW w:w="1435" w:type="dxa"/>
          </w:tcPr>
          <w:p w14:paraId="3BECDADA"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Osaka</w:t>
            </w:r>
          </w:p>
          <w:p w14:paraId="0894B038" w14:textId="5C0A6AD0" w:rsidR="0059785C" w:rsidRPr="007E304A" w:rsidRDefault="004D6C4B" w:rsidP="00AB20EE">
            <w:pPr>
              <w:rPr>
                <w:rFonts w:asciiTheme="majorBidi" w:hAnsiTheme="majorBidi" w:cstheme="majorBidi"/>
              </w:rPr>
            </w:pPr>
            <w:r w:rsidRPr="007E304A">
              <w:rPr>
                <w:rFonts w:asciiTheme="majorBidi" w:hAnsiTheme="majorBidi" w:cstheme="majorBidi"/>
              </w:rPr>
              <w:t>(</w:t>
            </w:r>
            <w:r w:rsidR="0059785C" w:rsidRPr="007E304A">
              <w:rPr>
                <w:rFonts w:asciiTheme="majorBidi" w:hAnsiTheme="majorBidi" w:cstheme="majorBidi"/>
              </w:rPr>
              <w:t>based on standard salary costs</w:t>
            </w:r>
            <w:r w:rsidRPr="007E304A">
              <w:rPr>
                <w:rFonts w:asciiTheme="majorBidi" w:hAnsiTheme="majorBidi" w:cstheme="majorBidi"/>
              </w:rPr>
              <w:t>)</w:t>
            </w:r>
          </w:p>
        </w:tc>
        <w:tc>
          <w:tcPr>
            <w:tcW w:w="4575" w:type="dxa"/>
          </w:tcPr>
          <w:p w14:paraId="4B3911B6" w14:textId="2B09EF41" w:rsidR="0059785C" w:rsidRPr="004277CF" w:rsidRDefault="0059785C" w:rsidP="00FE650B">
            <w:pPr>
              <w:rPr>
                <w:rFonts w:asciiTheme="majorBidi" w:hAnsiTheme="majorBidi" w:cstheme="majorBidi"/>
              </w:rPr>
            </w:pPr>
            <w:r w:rsidRPr="004277CF">
              <w:rPr>
                <w:rFonts w:asciiTheme="majorBidi" w:eastAsia="MS Mincho" w:hAnsiTheme="majorBidi" w:cstheme="majorBidi"/>
              </w:rPr>
              <w:t>For Osaka, the presence of the UNEP International Environmental Technology Centre, which is doing extensive work on waste, including mercury waste, is considered an advantage. The International Environmental Technology Centre is an extended part of the Chemicals and Health Branch of the Economy Division of UNEP. As Osaka does not have a United</w:t>
            </w:r>
            <w:r w:rsidR="00FE650B">
              <w:rPr>
                <w:rFonts w:asciiTheme="majorBidi" w:eastAsia="MS Mincho" w:hAnsiTheme="majorBidi" w:cstheme="majorBidi"/>
              </w:rPr>
              <w:t> </w:t>
            </w:r>
            <w:r w:rsidRPr="004277CF">
              <w:rPr>
                <w:rFonts w:asciiTheme="majorBidi" w:eastAsia="MS Mincho" w:hAnsiTheme="majorBidi" w:cstheme="majorBidi"/>
              </w:rPr>
              <w:t xml:space="preserve">Nations </w:t>
            </w:r>
            <w:r w:rsidR="004D6C4B" w:rsidRPr="004277CF">
              <w:rPr>
                <w:rFonts w:asciiTheme="majorBidi" w:eastAsia="MS Mincho" w:hAnsiTheme="majorBidi" w:cstheme="majorBidi"/>
              </w:rPr>
              <w:t xml:space="preserve">conference </w:t>
            </w:r>
            <w:r w:rsidRPr="004277CF">
              <w:rPr>
                <w:rFonts w:asciiTheme="majorBidi" w:eastAsia="MS Mincho" w:hAnsiTheme="majorBidi" w:cstheme="majorBidi"/>
              </w:rPr>
              <w:t>facility, either commercial premises need to be rented or meetings can be convened in Bangkok, the closest city with suitable United Nations conference facilities.</w:t>
            </w:r>
          </w:p>
        </w:tc>
        <w:tc>
          <w:tcPr>
            <w:tcW w:w="3006" w:type="dxa"/>
          </w:tcPr>
          <w:p w14:paraId="676943E3" w14:textId="135962EC" w:rsidR="0059785C" w:rsidRPr="004277CF" w:rsidRDefault="0059785C" w:rsidP="004D6C4B">
            <w:pPr>
              <w:pStyle w:val="Normalnumber"/>
              <w:numPr>
                <w:ilvl w:val="0"/>
                <w:numId w:val="0"/>
              </w:numPr>
              <w:rPr>
                <w:rFonts w:asciiTheme="majorBidi" w:eastAsia="MS Mincho" w:hAnsiTheme="majorBidi" w:cstheme="majorBidi"/>
              </w:rPr>
            </w:pPr>
            <w:r w:rsidRPr="004277CF">
              <w:rPr>
                <w:rFonts w:asciiTheme="majorBidi" w:eastAsia="MS Mincho" w:hAnsiTheme="majorBidi" w:cstheme="majorBidi"/>
              </w:rPr>
              <w:t xml:space="preserve">The staffing cost for this option is </w:t>
            </w:r>
            <w:r w:rsidR="004D6C4B" w:rsidRPr="004277CF">
              <w:rPr>
                <w:rFonts w:asciiTheme="majorBidi" w:eastAsia="MS Mincho" w:hAnsiTheme="majorBidi" w:cstheme="majorBidi"/>
                <w:b/>
                <w:bCs/>
              </w:rPr>
              <w:t>$2,674</w:t>
            </w:r>
            <w:r w:rsidRPr="004277CF">
              <w:rPr>
                <w:rFonts w:asciiTheme="majorBidi" w:eastAsia="MS Mincho" w:hAnsiTheme="majorBidi" w:cstheme="majorBidi"/>
                <w:b/>
                <w:bCs/>
              </w:rPr>
              <w:t>,</w:t>
            </w:r>
            <w:r w:rsidR="004D6C4B" w:rsidRPr="004277CF">
              <w:rPr>
                <w:rFonts w:asciiTheme="majorBidi" w:eastAsia="MS Mincho" w:hAnsiTheme="majorBidi" w:cstheme="majorBidi"/>
                <w:b/>
                <w:bCs/>
              </w:rPr>
              <w:t>800</w:t>
            </w:r>
            <w:r w:rsidRPr="004277CF">
              <w:rPr>
                <w:rFonts w:asciiTheme="majorBidi" w:eastAsia="MS Mincho" w:hAnsiTheme="majorBidi" w:cstheme="majorBidi"/>
                <w:b/>
                <w:bCs/>
              </w:rPr>
              <w:t>/year</w:t>
            </w:r>
            <w:r w:rsidRPr="004277CF">
              <w:rPr>
                <w:rFonts w:asciiTheme="majorBidi" w:eastAsia="MS Mincho" w:hAnsiTheme="majorBidi" w:cstheme="majorBidi"/>
              </w:rPr>
              <w:t xml:space="preserve"> (see appendix II, table 3).</w:t>
            </w:r>
          </w:p>
          <w:p w14:paraId="4C5E5453" w14:textId="77777777" w:rsidR="0059785C" w:rsidRPr="004277CF" w:rsidRDefault="0059785C" w:rsidP="00AB20EE">
            <w:pPr>
              <w:pStyle w:val="Normalnumber"/>
              <w:numPr>
                <w:ilvl w:val="0"/>
                <w:numId w:val="0"/>
              </w:numPr>
              <w:rPr>
                <w:rFonts w:asciiTheme="majorBidi" w:eastAsia="MS Mincho" w:hAnsiTheme="majorBidi" w:cstheme="majorBidi"/>
              </w:rPr>
            </w:pPr>
            <w:r w:rsidRPr="004277CF">
              <w:rPr>
                <w:rFonts w:asciiTheme="majorBidi" w:eastAsia="MS Mincho" w:hAnsiTheme="majorBidi" w:cstheme="majorBidi"/>
              </w:rPr>
              <w:t xml:space="preserve">Furthermore, as per appendix II, table 4: </w:t>
            </w:r>
          </w:p>
          <w:p w14:paraId="59D5CD77" w14:textId="77777777" w:rsidR="0059785C" w:rsidRPr="004277CF" w:rsidRDefault="0059785C" w:rsidP="00AB20EE">
            <w:pPr>
              <w:pStyle w:val="Normalnumber"/>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secretariat operation costs at this location are $200,000/year;</w:t>
            </w:r>
          </w:p>
          <w:p w14:paraId="7A383BD9" w14:textId="77777777" w:rsidR="0059785C" w:rsidRPr="004277CF" w:rsidRDefault="0059785C" w:rsidP="00AB20EE">
            <w:pPr>
              <w:pStyle w:val="Normalnumber"/>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costs in Bangkok as a location for meetings of the Conference of the Parties are $840,000 per meeting;</w:t>
            </w:r>
          </w:p>
          <w:p w14:paraId="5A5CEA11" w14:textId="77777777" w:rsidR="0059785C" w:rsidRPr="004277CF" w:rsidRDefault="0059785C" w:rsidP="00AB20EE">
            <w:pPr>
              <w:pStyle w:val="Normalnumber"/>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staff travel costs to Geneva for chemicals and waste meetings are about $45,000 for the biennium 2018–2019.</w:t>
            </w:r>
          </w:p>
          <w:p w14:paraId="5E228939" w14:textId="606D3570" w:rsidR="0059785C" w:rsidRPr="004277CF" w:rsidRDefault="004277CF" w:rsidP="00EA17CB">
            <w:pPr>
              <w:pStyle w:val="Normalnumber"/>
              <w:numPr>
                <w:ilvl w:val="0"/>
                <w:numId w:val="0"/>
              </w:numPr>
              <w:tabs>
                <w:tab w:val="left" w:pos="1871"/>
              </w:tabs>
              <w:rPr>
                <w:rFonts w:asciiTheme="majorBidi" w:hAnsiTheme="majorBidi" w:cstheme="majorBidi"/>
              </w:rPr>
            </w:pPr>
            <w:r>
              <w:rPr>
                <w:rFonts w:asciiTheme="majorBidi" w:eastAsia="MS Mincho" w:hAnsiTheme="majorBidi" w:cstheme="majorBidi"/>
              </w:rPr>
              <w:t>Estimated t</w:t>
            </w:r>
            <w:r w:rsidR="0059785C" w:rsidRPr="004277CF">
              <w:rPr>
                <w:rFonts w:asciiTheme="majorBidi" w:eastAsia="MS Mincho" w:hAnsiTheme="majorBidi" w:cstheme="majorBidi"/>
              </w:rPr>
              <w:t xml:space="preserve">ravel costs for funded technical delegates to a meeting of the Conference of the Parties in Bangkok are about $470,000. </w:t>
            </w:r>
          </w:p>
        </w:tc>
      </w:tr>
      <w:tr w:rsidR="0059785C" w:rsidRPr="007E304A" w14:paraId="0E63D469" w14:textId="77777777" w:rsidTr="006432A8">
        <w:tc>
          <w:tcPr>
            <w:tcW w:w="1435" w:type="dxa"/>
          </w:tcPr>
          <w:p w14:paraId="3F0FE560" w14:textId="77777777" w:rsidR="0059785C" w:rsidRPr="007E304A" w:rsidRDefault="0059785C" w:rsidP="00EA17CB">
            <w:pPr>
              <w:keepNext/>
              <w:keepLines/>
              <w:rPr>
                <w:rFonts w:asciiTheme="majorBidi" w:hAnsiTheme="majorBidi" w:cstheme="majorBidi"/>
                <w:b/>
                <w:bCs/>
              </w:rPr>
            </w:pPr>
            <w:r w:rsidRPr="007E304A">
              <w:rPr>
                <w:rFonts w:asciiTheme="majorBidi" w:hAnsiTheme="majorBidi" w:cstheme="majorBidi"/>
                <w:b/>
                <w:bCs/>
              </w:rPr>
              <w:t>Vienna</w:t>
            </w:r>
          </w:p>
          <w:p w14:paraId="5FDF6984" w14:textId="24108143" w:rsidR="0059785C" w:rsidRPr="007E304A" w:rsidRDefault="004D6C4B" w:rsidP="00EA17CB">
            <w:pPr>
              <w:keepNext/>
              <w:keepLines/>
              <w:rPr>
                <w:rFonts w:asciiTheme="majorBidi" w:hAnsiTheme="majorBidi" w:cstheme="majorBidi"/>
              </w:rPr>
            </w:pPr>
            <w:r w:rsidRPr="007E304A">
              <w:rPr>
                <w:rFonts w:asciiTheme="majorBidi" w:hAnsiTheme="majorBidi" w:cstheme="majorBidi"/>
              </w:rPr>
              <w:t>(</w:t>
            </w:r>
            <w:r w:rsidR="0059785C" w:rsidRPr="007E304A">
              <w:rPr>
                <w:rFonts w:asciiTheme="majorBidi" w:hAnsiTheme="majorBidi" w:cstheme="majorBidi"/>
              </w:rPr>
              <w:t>based on standard salary costs</w:t>
            </w:r>
            <w:r w:rsidRPr="007E304A">
              <w:rPr>
                <w:rFonts w:asciiTheme="majorBidi" w:hAnsiTheme="majorBidi" w:cstheme="majorBidi"/>
              </w:rPr>
              <w:t>)</w:t>
            </w:r>
          </w:p>
        </w:tc>
        <w:tc>
          <w:tcPr>
            <w:tcW w:w="4575" w:type="dxa"/>
          </w:tcPr>
          <w:p w14:paraId="18DFDE66" w14:textId="372C6522" w:rsidR="0059785C" w:rsidRPr="007E304A" w:rsidRDefault="0059785C" w:rsidP="00EA17CB">
            <w:pPr>
              <w:keepNext/>
              <w:keepLines/>
              <w:rPr>
                <w:rFonts w:asciiTheme="majorBidi" w:hAnsiTheme="majorBidi" w:cstheme="majorBidi"/>
              </w:rPr>
            </w:pPr>
            <w:r w:rsidRPr="007E304A">
              <w:rPr>
                <w:rFonts w:asciiTheme="majorBidi" w:eastAsia="MS Mincho" w:hAnsiTheme="majorBidi" w:cstheme="majorBidi"/>
              </w:rPr>
              <w:t>The location provides</w:t>
            </w:r>
            <w:r w:rsidR="00754637">
              <w:rPr>
                <w:rFonts w:asciiTheme="majorBidi" w:eastAsia="MS Mincho" w:hAnsiTheme="majorBidi" w:cstheme="majorBidi"/>
              </w:rPr>
              <w:t xml:space="preserve"> an opportunity for</w:t>
            </w:r>
            <w:r w:rsidRPr="007E304A">
              <w:rPr>
                <w:rFonts w:asciiTheme="majorBidi" w:eastAsia="MS Mincho" w:hAnsiTheme="majorBidi" w:cstheme="majorBidi"/>
              </w:rPr>
              <w:t xml:space="preserve"> close cooperation with the United Nations Industrial Development Organization, a key executing agency of the Global Environment Facility (GEF) involved extensively in implementing activities related to the Minamata Convention</w:t>
            </w:r>
            <w:r w:rsidR="00754637">
              <w:rPr>
                <w:rFonts w:asciiTheme="majorBidi" w:eastAsia="MS Mincho" w:hAnsiTheme="majorBidi" w:cstheme="majorBidi"/>
              </w:rPr>
              <w:t>,</w:t>
            </w:r>
            <w:r w:rsidRPr="007E304A">
              <w:rPr>
                <w:rFonts w:asciiTheme="majorBidi" w:eastAsia="MS Mincho" w:hAnsiTheme="majorBidi" w:cstheme="majorBidi"/>
              </w:rPr>
              <w:t xml:space="preserve"> and the presence of permanent missions. The permanent secretariat could be </w:t>
            </w:r>
            <w:r w:rsidR="00FE650B">
              <w:rPr>
                <w:rFonts w:asciiTheme="majorBidi" w:eastAsia="MS Mincho" w:hAnsiTheme="majorBidi" w:cstheme="majorBidi"/>
              </w:rPr>
              <w:br/>
            </w:r>
            <w:r w:rsidRPr="007E304A">
              <w:rPr>
                <w:rFonts w:asciiTheme="majorBidi" w:eastAsia="MS Mincho" w:hAnsiTheme="majorBidi" w:cstheme="majorBidi"/>
              </w:rPr>
              <w:t>co-hosted in the UNEP office with the interim secretariat of the Framework Convention on the Protection and Sustainable Development of the Carpathians. Vienna also has suitable United Nations conference facilities.</w:t>
            </w:r>
          </w:p>
        </w:tc>
        <w:tc>
          <w:tcPr>
            <w:tcW w:w="3006" w:type="dxa"/>
          </w:tcPr>
          <w:p w14:paraId="5F63A2AE" w14:textId="77777777" w:rsidR="0059785C" w:rsidRPr="007E304A" w:rsidRDefault="0059785C" w:rsidP="00EA17CB">
            <w:pPr>
              <w:pStyle w:val="Normalnumber"/>
              <w:keepNext/>
              <w:keepLines/>
              <w:numPr>
                <w:ilvl w:val="0"/>
                <w:numId w:val="0"/>
              </w:numPr>
              <w:rPr>
                <w:rFonts w:asciiTheme="majorBidi" w:eastAsia="MS Mincho" w:hAnsiTheme="majorBidi" w:cstheme="majorBidi"/>
              </w:rPr>
            </w:pPr>
            <w:r w:rsidRPr="007E304A">
              <w:rPr>
                <w:rFonts w:asciiTheme="majorBidi" w:eastAsia="MS Mincho" w:hAnsiTheme="majorBidi" w:cstheme="majorBidi"/>
              </w:rPr>
              <w:t xml:space="preserve">The staffing cost for this option is </w:t>
            </w:r>
            <w:r w:rsidRPr="006432A8">
              <w:rPr>
                <w:rFonts w:asciiTheme="majorBidi" w:eastAsia="MS Mincho" w:hAnsiTheme="majorBidi" w:cstheme="majorBidi"/>
                <w:b/>
                <w:bCs/>
              </w:rPr>
              <w:t>$2,346,400/year</w:t>
            </w:r>
            <w:r w:rsidRPr="007E304A">
              <w:rPr>
                <w:rFonts w:asciiTheme="majorBidi" w:eastAsia="MS Mincho" w:hAnsiTheme="majorBidi" w:cstheme="majorBidi"/>
              </w:rPr>
              <w:t xml:space="preserve"> (see appendix II, table 3).</w:t>
            </w:r>
          </w:p>
          <w:p w14:paraId="0C64CCD3" w14:textId="77777777" w:rsidR="0059785C" w:rsidRPr="007E304A" w:rsidRDefault="0059785C" w:rsidP="00EA17CB">
            <w:pPr>
              <w:pStyle w:val="Normalnumber"/>
              <w:keepNext/>
              <w:keepLines/>
              <w:numPr>
                <w:ilvl w:val="0"/>
                <w:numId w:val="0"/>
              </w:numPr>
              <w:rPr>
                <w:rFonts w:asciiTheme="majorBidi" w:eastAsia="MS Mincho" w:hAnsiTheme="majorBidi" w:cstheme="majorBidi"/>
              </w:rPr>
            </w:pPr>
            <w:r w:rsidRPr="007E304A">
              <w:rPr>
                <w:rFonts w:asciiTheme="majorBidi" w:eastAsia="MS Mincho" w:hAnsiTheme="majorBidi" w:cstheme="majorBidi"/>
              </w:rPr>
              <w:t xml:space="preserve">Furthermore, as per appendix II, table 4: </w:t>
            </w:r>
          </w:p>
          <w:p w14:paraId="12126571" w14:textId="77777777" w:rsidR="0059785C" w:rsidRPr="004277CF" w:rsidRDefault="0059785C" w:rsidP="00EA17CB">
            <w:pPr>
              <w:pStyle w:val="Normalnumber"/>
              <w:keepNext/>
              <w:keepLines/>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secretariat operation costs at this location are $250,000/year;</w:t>
            </w:r>
          </w:p>
          <w:p w14:paraId="66CA48A9" w14:textId="77777777" w:rsidR="0059785C" w:rsidRPr="004277CF" w:rsidRDefault="0059785C" w:rsidP="00EA17CB">
            <w:pPr>
              <w:pStyle w:val="Normalnumber"/>
              <w:keepNext/>
              <w:keepLines/>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costs per meeting of the Conference of the Parties at this location are $870,000;</w:t>
            </w:r>
          </w:p>
          <w:p w14:paraId="79526677" w14:textId="77777777" w:rsidR="0059785C" w:rsidRPr="007E304A" w:rsidRDefault="0059785C" w:rsidP="00EA17CB">
            <w:pPr>
              <w:pStyle w:val="Normalnumber"/>
              <w:keepNext/>
              <w:keepLines/>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staff travel costs to Geneva for chemicals and waste meetings are about $20,000 for the biennium 2018–2019</w:t>
            </w:r>
            <w:r w:rsidRPr="007E304A">
              <w:rPr>
                <w:rFonts w:asciiTheme="majorBidi" w:eastAsia="MS Mincho" w:hAnsiTheme="majorBidi" w:cstheme="majorBidi"/>
              </w:rPr>
              <w:t xml:space="preserve">. </w:t>
            </w:r>
          </w:p>
          <w:p w14:paraId="376DE7D6" w14:textId="0B9C3955" w:rsidR="0059785C" w:rsidRPr="007E304A" w:rsidRDefault="0059785C" w:rsidP="00EA17CB">
            <w:pPr>
              <w:pStyle w:val="Normalnumber"/>
              <w:keepNext/>
              <w:keepLines/>
              <w:numPr>
                <w:ilvl w:val="0"/>
                <w:numId w:val="0"/>
              </w:numPr>
              <w:rPr>
                <w:rFonts w:asciiTheme="majorBidi" w:hAnsiTheme="majorBidi" w:cstheme="majorBidi"/>
              </w:rPr>
            </w:pPr>
            <w:r w:rsidRPr="007E304A">
              <w:rPr>
                <w:rFonts w:asciiTheme="majorBidi" w:eastAsia="MS Mincho" w:hAnsiTheme="majorBidi" w:cstheme="majorBidi"/>
              </w:rPr>
              <w:t xml:space="preserve">Travel costs for funded technical delegates to a meeting of the Conference of the Parties in Vienna are </w:t>
            </w:r>
            <w:r w:rsidR="009D5A4B">
              <w:rPr>
                <w:rFonts w:asciiTheme="majorBidi" w:eastAsia="MS Mincho" w:hAnsiTheme="majorBidi" w:cstheme="majorBidi"/>
              </w:rPr>
              <w:t xml:space="preserve">estimated to be </w:t>
            </w:r>
            <w:r w:rsidRPr="007E304A">
              <w:rPr>
                <w:rFonts w:asciiTheme="majorBidi" w:eastAsia="MS Mincho" w:hAnsiTheme="majorBidi" w:cstheme="majorBidi"/>
              </w:rPr>
              <w:t xml:space="preserve">about $670,000. </w:t>
            </w:r>
          </w:p>
        </w:tc>
      </w:tr>
      <w:tr w:rsidR="0059785C" w:rsidRPr="007E304A" w14:paraId="6CD28C5E" w14:textId="77777777" w:rsidTr="006432A8">
        <w:tc>
          <w:tcPr>
            <w:tcW w:w="1435" w:type="dxa"/>
          </w:tcPr>
          <w:p w14:paraId="26D8878E" w14:textId="77777777" w:rsidR="0059785C" w:rsidRPr="007E304A" w:rsidRDefault="0059785C" w:rsidP="00AB20EE">
            <w:pPr>
              <w:rPr>
                <w:rFonts w:asciiTheme="majorBidi" w:eastAsia="MS Mincho" w:hAnsiTheme="majorBidi" w:cstheme="majorBidi"/>
              </w:rPr>
            </w:pPr>
            <w:r w:rsidRPr="007E304A">
              <w:rPr>
                <w:rFonts w:asciiTheme="majorBidi" w:eastAsia="MS Mincho" w:hAnsiTheme="majorBidi" w:cstheme="majorBidi"/>
                <w:b/>
              </w:rPr>
              <w:t>Washington, D.C.</w:t>
            </w:r>
          </w:p>
          <w:p w14:paraId="5BD50A08" w14:textId="3DD6F26D" w:rsidR="0059785C" w:rsidRPr="007E304A" w:rsidRDefault="004D6C4B" w:rsidP="00AB20EE">
            <w:pPr>
              <w:rPr>
                <w:rFonts w:asciiTheme="majorBidi" w:hAnsiTheme="majorBidi" w:cstheme="majorBidi"/>
              </w:rPr>
            </w:pPr>
            <w:r w:rsidRPr="007E304A">
              <w:rPr>
                <w:rFonts w:asciiTheme="majorBidi" w:hAnsiTheme="majorBidi" w:cstheme="majorBidi"/>
              </w:rPr>
              <w:t>(</w:t>
            </w:r>
            <w:r w:rsidR="0059785C" w:rsidRPr="007E304A">
              <w:rPr>
                <w:rFonts w:asciiTheme="majorBidi" w:hAnsiTheme="majorBidi" w:cstheme="majorBidi"/>
              </w:rPr>
              <w:t>based on standard salary costs</w:t>
            </w:r>
            <w:r w:rsidRPr="007E304A">
              <w:rPr>
                <w:rFonts w:asciiTheme="majorBidi" w:hAnsiTheme="majorBidi" w:cstheme="majorBidi"/>
              </w:rPr>
              <w:t>)</w:t>
            </w:r>
          </w:p>
        </w:tc>
        <w:tc>
          <w:tcPr>
            <w:tcW w:w="4575" w:type="dxa"/>
          </w:tcPr>
          <w:p w14:paraId="16EEBEA2" w14:textId="340AA539"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The location provides the opportunity for close cooperation with the secretariat of GEF and also the opportunity to work closely with the World Bank, another executing agency involved in implementation activities related to the Minamata Convention. The UNEP </w:t>
            </w:r>
            <w:r w:rsidR="006E5420" w:rsidRPr="007E304A">
              <w:rPr>
                <w:rFonts w:asciiTheme="majorBidi" w:eastAsia="MS Mincho" w:hAnsiTheme="majorBidi" w:cstheme="majorBidi"/>
              </w:rPr>
              <w:t xml:space="preserve">Regional Office for </w:t>
            </w:r>
            <w:r w:rsidRPr="007E304A">
              <w:rPr>
                <w:rFonts w:asciiTheme="majorBidi" w:eastAsia="MS Mincho" w:hAnsiTheme="majorBidi" w:cstheme="majorBidi"/>
              </w:rPr>
              <w:t>North America is based in Washington, D.C., and also hosts the GEF Scientific and Technical Advisory Panel, which provides advice to GEF on strategies, policies and projects, including on matters related to the Minamata Convention. A presence in North America would also allow more direct links to the United Nations Development Programme, another executing agency of GEF involved in implementing activities related to the Minamata Convention. It also offers the opportunity to work with permanent missions. As Washington, D.C.</w:t>
            </w:r>
            <w:r w:rsidR="009D5A4B">
              <w:rPr>
                <w:rFonts w:asciiTheme="majorBidi" w:eastAsia="MS Mincho" w:hAnsiTheme="majorBidi" w:cstheme="majorBidi"/>
              </w:rPr>
              <w:t>,</w:t>
            </w:r>
            <w:r w:rsidRPr="007E304A">
              <w:rPr>
                <w:rFonts w:asciiTheme="majorBidi" w:eastAsia="MS Mincho" w:hAnsiTheme="majorBidi" w:cstheme="majorBidi"/>
              </w:rPr>
              <w:t xml:space="preserve"> does not offer a United Nations conference facility, either commercial meetings costs need to be factored in, or meetings could be held in Montreal, the closest city with suitable United Nations conference facilities (besides New York). </w:t>
            </w:r>
          </w:p>
          <w:p w14:paraId="60140BA4" w14:textId="77777777" w:rsidR="0059785C" w:rsidRPr="007E304A" w:rsidRDefault="0059785C" w:rsidP="00AB20EE">
            <w:pPr>
              <w:rPr>
                <w:rFonts w:asciiTheme="majorBidi" w:hAnsiTheme="majorBidi" w:cstheme="majorBidi"/>
              </w:rPr>
            </w:pPr>
          </w:p>
        </w:tc>
        <w:tc>
          <w:tcPr>
            <w:tcW w:w="3006" w:type="dxa"/>
          </w:tcPr>
          <w:p w14:paraId="7C0F74A8" w14:textId="77777777"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The staffing cost for this option is </w:t>
            </w:r>
            <w:r w:rsidRPr="006432A8">
              <w:rPr>
                <w:rFonts w:asciiTheme="majorBidi" w:eastAsia="MS Mincho" w:hAnsiTheme="majorBidi" w:cstheme="majorBidi"/>
                <w:b/>
                <w:bCs/>
              </w:rPr>
              <w:t>$2,490,050/year</w:t>
            </w:r>
            <w:r w:rsidRPr="007E304A">
              <w:rPr>
                <w:rFonts w:asciiTheme="majorBidi" w:eastAsia="MS Mincho" w:hAnsiTheme="majorBidi" w:cstheme="majorBidi"/>
              </w:rPr>
              <w:t xml:space="preserve"> (see appendix II, table 3).</w:t>
            </w:r>
          </w:p>
          <w:p w14:paraId="77FB4850" w14:textId="77777777" w:rsidR="0059785C" w:rsidRPr="007E304A" w:rsidRDefault="0059785C" w:rsidP="00AB20EE">
            <w:pPr>
              <w:pStyle w:val="Normalnumber"/>
              <w:numPr>
                <w:ilvl w:val="0"/>
                <w:numId w:val="0"/>
              </w:numPr>
              <w:rPr>
                <w:rFonts w:asciiTheme="majorBidi" w:eastAsia="MS Mincho" w:hAnsiTheme="majorBidi" w:cstheme="majorBidi"/>
              </w:rPr>
            </w:pPr>
            <w:r w:rsidRPr="007E304A">
              <w:rPr>
                <w:rFonts w:asciiTheme="majorBidi" w:eastAsia="MS Mincho" w:hAnsiTheme="majorBidi" w:cstheme="majorBidi"/>
              </w:rPr>
              <w:t xml:space="preserve">Furthermore, as per appendix II, table 4: </w:t>
            </w:r>
          </w:p>
          <w:p w14:paraId="7E122BDB" w14:textId="77777777" w:rsidR="0059785C" w:rsidRPr="004277CF" w:rsidRDefault="0059785C" w:rsidP="00AB20EE">
            <w:pPr>
              <w:pStyle w:val="Normalnumber"/>
              <w:numPr>
                <w:ilvl w:val="0"/>
                <w:numId w:val="0"/>
              </w:numPr>
              <w:tabs>
                <w:tab w:val="left" w:pos="1871"/>
              </w:tabs>
              <w:rPr>
                <w:rFonts w:asciiTheme="majorBidi" w:eastAsia="MS Mincho" w:hAnsiTheme="majorBidi" w:cstheme="majorBidi"/>
              </w:rPr>
            </w:pPr>
            <w:r w:rsidRPr="007E304A">
              <w:rPr>
                <w:rFonts w:asciiTheme="majorBidi" w:eastAsia="MS Mincho" w:hAnsiTheme="majorBidi" w:cstheme="majorBidi"/>
              </w:rPr>
              <w:t xml:space="preserve">Estimated secretariat operation </w:t>
            </w:r>
            <w:r w:rsidRPr="004277CF">
              <w:rPr>
                <w:rFonts w:asciiTheme="majorBidi" w:eastAsia="MS Mincho" w:hAnsiTheme="majorBidi" w:cstheme="majorBidi"/>
              </w:rPr>
              <w:t>costs at this location are $450,000/year;</w:t>
            </w:r>
          </w:p>
          <w:p w14:paraId="1A296812" w14:textId="77777777" w:rsidR="0059785C" w:rsidRPr="004277CF" w:rsidRDefault="0059785C" w:rsidP="00AB20EE">
            <w:pPr>
              <w:pStyle w:val="Normalnumber"/>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costs in Montreal as a location for meetings of the Conference of the Parties are $980,000 per meeting;</w:t>
            </w:r>
          </w:p>
          <w:p w14:paraId="418A4997" w14:textId="77777777" w:rsidR="0059785C" w:rsidRPr="004277CF" w:rsidRDefault="0059785C" w:rsidP="00AB20EE">
            <w:pPr>
              <w:pStyle w:val="Normalnumber"/>
              <w:numPr>
                <w:ilvl w:val="0"/>
                <w:numId w:val="0"/>
              </w:numPr>
              <w:tabs>
                <w:tab w:val="left" w:pos="1871"/>
              </w:tabs>
              <w:rPr>
                <w:rFonts w:asciiTheme="majorBidi" w:eastAsia="MS Mincho" w:hAnsiTheme="majorBidi" w:cstheme="majorBidi"/>
              </w:rPr>
            </w:pPr>
            <w:r w:rsidRPr="004277CF">
              <w:rPr>
                <w:rFonts w:asciiTheme="majorBidi" w:eastAsia="MS Mincho" w:hAnsiTheme="majorBidi" w:cstheme="majorBidi"/>
              </w:rPr>
              <w:t>Estimated staff travel costs to Geneva for chemicals and waste meetings are about $40,000 for the biennium 2018–2019.</w:t>
            </w:r>
          </w:p>
          <w:p w14:paraId="3D7FD9C7" w14:textId="3C044163" w:rsidR="0059785C" w:rsidRPr="007E304A" w:rsidRDefault="004277CF" w:rsidP="00EA17CB">
            <w:pPr>
              <w:pStyle w:val="Normalnumber"/>
              <w:numPr>
                <w:ilvl w:val="0"/>
                <w:numId w:val="0"/>
              </w:numPr>
              <w:tabs>
                <w:tab w:val="left" w:pos="1871"/>
              </w:tabs>
              <w:rPr>
                <w:rFonts w:asciiTheme="majorBidi" w:hAnsiTheme="majorBidi" w:cstheme="majorBidi"/>
              </w:rPr>
            </w:pPr>
            <w:r w:rsidRPr="004277CF">
              <w:rPr>
                <w:rFonts w:asciiTheme="majorBidi" w:eastAsia="MS Mincho" w:hAnsiTheme="majorBidi" w:cstheme="majorBidi"/>
              </w:rPr>
              <w:t>Estimated t</w:t>
            </w:r>
            <w:r w:rsidR="0059785C" w:rsidRPr="004277CF">
              <w:rPr>
                <w:rFonts w:asciiTheme="majorBidi" w:eastAsia="MS Mincho" w:hAnsiTheme="majorBidi" w:cstheme="majorBidi"/>
              </w:rPr>
              <w:t>ravel costs for funded technical delegates to a meeting of the Conference of the Parties in Montreal are about $670,000.</w:t>
            </w:r>
            <w:r w:rsidR="0059785C" w:rsidRPr="007E304A">
              <w:rPr>
                <w:rFonts w:asciiTheme="majorBidi" w:eastAsia="MS Mincho" w:hAnsiTheme="majorBidi" w:cstheme="majorBidi"/>
              </w:rPr>
              <w:t xml:space="preserve"> </w:t>
            </w:r>
          </w:p>
        </w:tc>
      </w:tr>
    </w:tbl>
    <w:p w14:paraId="10348820" w14:textId="5F7A131B" w:rsidR="0041238C" w:rsidRPr="006432A8" w:rsidRDefault="0041238C" w:rsidP="006432A8">
      <w:pPr>
        <w:pStyle w:val="Normal-pool"/>
        <w:rPr>
          <w:rFonts w:eastAsia="MS Mincho"/>
        </w:rPr>
      </w:pPr>
    </w:p>
    <w:p w14:paraId="1B2290EB" w14:textId="111C4FA2" w:rsidR="0041238C" w:rsidRPr="007E304A" w:rsidRDefault="0041238C" w:rsidP="006432A8">
      <w:pPr>
        <w:pStyle w:val="ZZAnxheader"/>
        <w:spacing w:after="240"/>
        <w:ind w:left="1247"/>
        <w:outlineLvl w:val="0"/>
      </w:pPr>
      <w:r w:rsidRPr="007E304A">
        <w:rPr>
          <w:rFonts w:eastAsia="MS Mincho"/>
        </w:rPr>
        <w:br w:type="page"/>
      </w:r>
      <w:r w:rsidRPr="007E304A">
        <w:t>Appendix I</w:t>
      </w:r>
    </w:p>
    <w:p w14:paraId="181E5872" w14:textId="3D2B2A6D" w:rsidR="0041238C" w:rsidRPr="007E304A" w:rsidRDefault="0041238C" w:rsidP="00161024">
      <w:pPr>
        <w:pStyle w:val="ZZAnxtitle"/>
        <w:outlineLvl w:val="0"/>
      </w:pPr>
      <w:r w:rsidRPr="007E304A">
        <w:t xml:space="preserve">Functions of the </w:t>
      </w:r>
      <w:r w:rsidR="008529CB" w:rsidRPr="007E304A">
        <w:t>s</w:t>
      </w:r>
      <w:r w:rsidRPr="007E304A">
        <w:t>ecretariat of the Minamata Convention</w:t>
      </w:r>
    </w:p>
    <w:p w14:paraId="5F33D56B" w14:textId="759D4F84" w:rsidR="0041238C" w:rsidRPr="007E304A"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In considering </w:t>
      </w:r>
      <w:r w:rsidRPr="00890464">
        <w:rPr>
          <w:rFonts w:eastAsia="MS Mincho"/>
        </w:rPr>
        <w:t>how the functions</w:t>
      </w:r>
      <w:r w:rsidRPr="007E304A">
        <w:rPr>
          <w:rFonts w:eastAsia="MS Mincho"/>
        </w:rPr>
        <w:t xml:space="preserve"> of the permanent secretariat are to be provided by the Executive Director of the United Nations Environment Programme</w:t>
      </w:r>
      <w:r w:rsidR="00116451" w:rsidRPr="007E304A">
        <w:rPr>
          <w:rFonts w:eastAsia="MS Mincho"/>
        </w:rPr>
        <w:t xml:space="preserve"> (UNEP)</w:t>
      </w:r>
      <w:r w:rsidRPr="007E304A">
        <w:rPr>
          <w:rFonts w:eastAsia="MS Mincho"/>
        </w:rPr>
        <w:t xml:space="preserve">, the anticipated requirements of the Convention are used as a basis. A narrative of </w:t>
      </w:r>
      <w:r w:rsidR="008529CB" w:rsidRPr="007E304A">
        <w:rPr>
          <w:rFonts w:eastAsia="MS Mincho"/>
        </w:rPr>
        <w:t xml:space="preserve">such </w:t>
      </w:r>
      <w:r w:rsidRPr="007E304A">
        <w:rPr>
          <w:rFonts w:eastAsia="MS Mincho"/>
        </w:rPr>
        <w:t>requirements is provided below. Th</w:t>
      </w:r>
      <w:r w:rsidR="004A62DB" w:rsidRPr="007E304A">
        <w:rPr>
          <w:rFonts w:eastAsia="MS Mincho"/>
        </w:rPr>
        <w:t>e</w:t>
      </w:r>
      <w:r w:rsidRPr="007E304A">
        <w:rPr>
          <w:rFonts w:eastAsia="MS Mincho"/>
        </w:rPr>
        <w:t xml:space="preserve"> narrative follows the functions as identified in article 24, and describes the projected work that the Convention would do over the coming years </w:t>
      </w:r>
      <w:r w:rsidR="0028700C" w:rsidRPr="007E304A">
        <w:rPr>
          <w:rFonts w:eastAsia="MS Mincho"/>
        </w:rPr>
        <w:t>on the basis of</w:t>
      </w:r>
      <w:r w:rsidRPr="007E304A">
        <w:rPr>
          <w:rFonts w:eastAsia="MS Mincho"/>
        </w:rPr>
        <w:t xml:space="preserve"> the provisions in the Convention text and the expected decisions emanating from the first meeting of the Conference of </w:t>
      </w:r>
      <w:r w:rsidR="00FD3D60" w:rsidRPr="007E304A">
        <w:rPr>
          <w:rFonts w:eastAsia="MS Mincho"/>
        </w:rPr>
        <w:t xml:space="preserve">the </w:t>
      </w:r>
      <w:r w:rsidRPr="007E304A">
        <w:rPr>
          <w:rFonts w:eastAsia="MS Mincho"/>
        </w:rPr>
        <w:t>Parties. While th</w:t>
      </w:r>
      <w:r w:rsidR="008529CB" w:rsidRPr="007E304A">
        <w:rPr>
          <w:rFonts w:eastAsia="MS Mincho"/>
        </w:rPr>
        <w:t>e</w:t>
      </w:r>
      <w:r w:rsidRPr="007E304A">
        <w:rPr>
          <w:rFonts w:eastAsia="MS Mincho"/>
        </w:rPr>
        <w:t xml:space="preserve"> narrative speaks to all the areas of work of the Convention over the </w:t>
      </w:r>
      <w:r w:rsidR="004A62DB" w:rsidRPr="007E304A">
        <w:rPr>
          <w:rFonts w:eastAsia="MS Mincho"/>
        </w:rPr>
        <w:t xml:space="preserve">coming </w:t>
      </w:r>
      <w:r w:rsidRPr="007E304A">
        <w:rPr>
          <w:rFonts w:eastAsia="MS Mincho"/>
        </w:rPr>
        <w:t xml:space="preserve">years, the </w:t>
      </w:r>
      <w:r w:rsidR="004A62DB" w:rsidRPr="007E304A">
        <w:rPr>
          <w:rFonts w:eastAsia="MS Mincho"/>
        </w:rPr>
        <w:t xml:space="preserve">note by the secretariat </w:t>
      </w:r>
      <w:r w:rsidRPr="007E304A">
        <w:rPr>
          <w:rFonts w:eastAsia="MS Mincho"/>
        </w:rPr>
        <w:t xml:space="preserve">on the programme of work </w:t>
      </w:r>
      <w:r w:rsidR="004A62DB" w:rsidRPr="007E304A">
        <w:rPr>
          <w:rFonts w:eastAsia="MS Mincho"/>
        </w:rPr>
        <w:t>of the secretariat and budget for the period 2018</w:t>
      </w:r>
      <w:r w:rsidR="00153B0E" w:rsidRPr="007E304A">
        <w:rPr>
          <w:rFonts w:eastAsia="MS Mincho"/>
        </w:rPr>
        <w:t>–2019 (</w:t>
      </w:r>
      <w:r w:rsidRPr="007E304A">
        <w:rPr>
          <w:rFonts w:eastAsia="MS Mincho"/>
        </w:rPr>
        <w:t>UNEP/MC/COP.1/21</w:t>
      </w:r>
      <w:r w:rsidR="00153B0E" w:rsidRPr="007E304A">
        <w:rPr>
          <w:rFonts w:eastAsia="MS Mincho"/>
        </w:rPr>
        <w:t>)</w:t>
      </w:r>
      <w:r w:rsidRPr="007E304A">
        <w:rPr>
          <w:rFonts w:eastAsia="MS Mincho"/>
        </w:rPr>
        <w:t xml:space="preserve"> describes the work of the secretariat for the first biennium</w:t>
      </w:r>
      <w:r w:rsidR="00153B0E" w:rsidRPr="007E304A">
        <w:rPr>
          <w:rFonts w:eastAsia="MS Mincho"/>
        </w:rPr>
        <w:t xml:space="preserve"> of </w:t>
      </w:r>
      <w:r w:rsidR="00446F6E" w:rsidRPr="006432A8">
        <w:rPr>
          <w:rFonts w:eastAsia="MS Mincho"/>
        </w:rPr>
        <w:t>its operation</w:t>
      </w:r>
      <w:r w:rsidRPr="007E304A">
        <w:rPr>
          <w:rFonts w:eastAsia="MS Mincho"/>
        </w:rPr>
        <w:t>.</w:t>
      </w:r>
    </w:p>
    <w:p w14:paraId="628F5910" w14:textId="77777777" w:rsidR="0041238C" w:rsidRPr="00B959C3" w:rsidRDefault="0041238C" w:rsidP="006432A8">
      <w:pPr>
        <w:pStyle w:val="CH2"/>
      </w:pPr>
      <w:r w:rsidRPr="00B959C3">
        <w:tab/>
        <w:t>A.</w:t>
      </w:r>
      <w:r w:rsidRPr="00B959C3">
        <w:tab/>
        <w:t xml:space="preserve">To make arrangements for meetings of the Conference of the Parties and its subsidiary bodies and to provide them with services as required </w:t>
      </w:r>
    </w:p>
    <w:p w14:paraId="3058A9EF" w14:textId="05BAC004"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While the details are not yet elaborated, it is anticipated that parties will request an annual meeting of the Conference </w:t>
      </w:r>
      <w:r w:rsidR="00317A0A" w:rsidRPr="007E304A">
        <w:rPr>
          <w:rFonts w:eastAsia="MS Mincho"/>
        </w:rPr>
        <w:t xml:space="preserve">of the Parties </w:t>
      </w:r>
      <w:r w:rsidRPr="006432A8">
        <w:rPr>
          <w:rFonts w:eastAsia="MS Mincho"/>
        </w:rPr>
        <w:t>for the first few meetings to enable rapid adoption of guidance that was not adopted at the first meeting</w:t>
      </w:r>
      <w:r w:rsidR="00317A0A" w:rsidRPr="007E304A">
        <w:rPr>
          <w:rFonts w:eastAsia="MS Mincho"/>
        </w:rPr>
        <w:t xml:space="preserve">. </w:t>
      </w:r>
      <w:r w:rsidRPr="006432A8">
        <w:rPr>
          <w:rFonts w:eastAsia="MS Mincho"/>
        </w:rPr>
        <w:t xml:space="preserve">Experience with the Basel, Rotterdam and Stockholm conventions would indicate that it is likely that the first three meetings of the Conference of the Parties will be held on an annual basis and that parties may then decide to move to a two-year cycle. However, parties may determine that less frequent meetings may be appropriate, depending on the work to be undertaken. Some meetings of the Conference of the Parties may include a high-level segment. </w:t>
      </w:r>
    </w:p>
    <w:p w14:paraId="547BF79C"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In addition, the Conference of the Parties at its first meeting will identify the membership of the implementation and compliance committee, which will meet intersessionally, and will need to elaborate its rules of procedure and commence its work. The committee is considered somewhat small (15 members). At the first meeting of the Conference of the Parties, additional subsidiary bodies of the Convention could be established for which secretariat services will be required. </w:t>
      </w:r>
    </w:p>
    <w:p w14:paraId="32D707F2" w14:textId="7C025D4A"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The generic arrangements to be u</w:t>
      </w:r>
      <w:r w:rsidRPr="0064320B">
        <w:rPr>
          <w:rFonts w:eastAsia="MS Mincho"/>
        </w:rPr>
        <w:t>ndertake</w:t>
      </w:r>
      <w:r w:rsidRPr="006432A8">
        <w:rPr>
          <w:rFonts w:eastAsia="MS Mincho"/>
        </w:rPr>
        <w:t xml:space="preserve">n by the </w:t>
      </w:r>
      <w:r w:rsidRPr="00187D94">
        <w:rPr>
          <w:rFonts w:eastAsia="MS Mincho"/>
        </w:rPr>
        <w:t>secretariat for the</w:t>
      </w:r>
      <w:r w:rsidR="0064320B" w:rsidRPr="00187D94">
        <w:rPr>
          <w:rFonts w:eastAsia="MS Mincho"/>
        </w:rPr>
        <w:t xml:space="preserve"> </w:t>
      </w:r>
      <w:r w:rsidR="00187D94" w:rsidRPr="00187D94">
        <w:rPr>
          <w:rFonts w:eastAsia="MS Mincho"/>
        </w:rPr>
        <w:t>meetings of the</w:t>
      </w:r>
      <w:r w:rsidRPr="00187D94">
        <w:rPr>
          <w:rFonts w:eastAsia="MS Mincho"/>
        </w:rPr>
        <w:t xml:space="preserve"> Conference of the Parties and its subsidiary bodies include the issuing of invitation letters</w:t>
      </w:r>
      <w:r w:rsidRPr="006432A8">
        <w:rPr>
          <w:rFonts w:eastAsia="MS Mincho"/>
        </w:rPr>
        <w:t xml:space="preserve"> to parties and observers, including countries, intergovernmental organizations and non-governmental organizations; compilation of the list of participants; possibly negotiating a legal instrument with the country hosting the meeting if the meeting is held outside a United Nations headquarters venue, such as Geneva, Nairobi or Bangkok; arrangements for travel and payment of daily subsistence allowances for sponsored participants from developing countries and countries with economies in transition, including facilitating visas and mobilizing resources in order to be able to support travel; booking of conference facilities, including all logistical arrangements, such as the provision of security, set-up of conference rooms, requests for suitable technology to support the meeting, side events and exhibition, media and outreach; and arrangements at the local level, including in non-headquarters duty stations (identification of suitable hotels). </w:t>
      </w:r>
    </w:p>
    <w:p w14:paraId="7E589472"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On a technical level, the secretariat is responsible for the preparation of all meeting documents, including liaison and coordination with relevant actors, and working with Conference Services to ensure that edited and translated documents are available in a timely manner. </w:t>
      </w:r>
    </w:p>
    <w:p w14:paraId="2743C8D6"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For high-level meetings, there may be special arrangements to support the attendance of senior representatives (such as ministers), including formal requests for travel and arrangements to facilitate access to the venue. </w:t>
      </w:r>
    </w:p>
    <w:p w14:paraId="6E7C711D" w14:textId="77777777" w:rsidR="0041238C" w:rsidRPr="006432A8" w:rsidRDefault="0041238C" w:rsidP="006432A8">
      <w:pPr>
        <w:pStyle w:val="CH2"/>
      </w:pPr>
      <w:r w:rsidRPr="006432A8">
        <w:tab/>
        <w:t>B.</w:t>
      </w:r>
      <w:r w:rsidRPr="006432A8">
        <w:tab/>
        <w:t>To facilitate assistance to parties, particularly developing country parties and parties with economies in transition, on request, in the implementation of this Convention</w:t>
      </w:r>
    </w:p>
    <w:p w14:paraId="370C484B" w14:textId="0A4D4EE8" w:rsidR="0041238C" w:rsidRPr="00187D94"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187D94">
        <w:rPr>
          <w:rFonts w:eastAsia="MS Mincho"/>
        </w:rPr>
        <w:t xml:space="preserve">Capacity-building and technical assistance work will be required to support parties in their efforts to achieve full implementation of the Convention and to support non-parties in achieving early </w:t>
      </w:r>
      <w:r w:rsidR="00187D94" w:rsidRPr="00187D94">
        <w:rPr>
          <w:rFonts w:eastAsia="MS Mincho"/>
        </w:rPr>
        <w:t xml:space="preserve">ratification and </w:t>
      </w:r>
      <w:r w:rsidRPr="00187D94">
        <w:rPr>
          <w:rFonts w:eastAsia="MS Mincho"/>
        </w:rPr>
        <w:t xml:space="preserve">implementation. This work is expected to be more focused on needs identified through work on the Minamata Initial Assessments undertaken under the Global Environment Facility (GEF). </w:t>
      </w:r>
    </w:p>
    <w:p w14:paraId="6D3E284E"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Work may be requested from the secretariat on all obligations under the Convention, including providing assistance with regard to supply and trade in mercury in relation to article 3 of the Convention, as well as trade in mercury-added products in relation to article 4 of the Convention. </w:t>
      </w:r>
    </w:p>
    <w:p w14:paraId="049D27FC"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Parties may also require assistance in the development and maintenance of inventories, including those needed to identify stocks of mercury (article 3), sources of supply of mercury (article 3), the manufacture of mercury-added products (article 4), facilities that use mercury or mercury compounds in manufacturing processes (article 5), artisanal and small-scale gold mining (article 7), emissions (article 8), releases (article 9), management of mercury wastes (article 11) and contaminated sites (article 12). </w:t>
      </w:r>
    </w:p>
    <w:p w14:paraId="1C13948A"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Parties may also require assistance in their </w:t>
      </w:r>
      <w:r w:rsidRPr="00694FDB">
        <w:rPr>
          <w:rFonts w:eastAsia="MS Mincho"/>
        </w:rPr>
        <w:t>obligations to control</w:t>
      </w:r>
      <w:r w:rsidRPr="006432A8">
        <w:rPr>
          <w:rFonts w:eastAsia="MS Mincho"/>
        </w:rPr>
        <w:t xml:space="preserve">, and where feasible reduce, emissions of mercury from sources listed in Annex D to the Convention as required in article 8, as well as releases from identified sources as required in article 9. They may also require assistance in developing suitable interim storage for mercury intended for a use allowed to a party under the Convention, as well as in the environmentally sound management of mercury wastes. </w:t>
      </w:r>
    </w:p>
    <w:p w14:paraId="36362922"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Assistance may also be required to facilitate relevant work under article 17 (information exchange), article 18 (public information, awareness and education) and article 19 (research, development and monitoring). Collaborative work with the World Health Organization may be required to assist in the implementation of article 16 (health aspects). </w:t>
      </w:r>
    </w:p>
    <w:p w14:paraId="56D4BD44" w14:textId="05A2AFAD"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The above areas of activities will be facilitated by the secretariat, in partnership with relevant actors, including, </w:t>
      </w:r>
      <w:r w:rsidRPr="00187D94">
        <w:rPr>
          <w:rFonts w:eastAsia="MS Mincho"/>
        </w:rPr>
        <w:t xml:space="preserve">inter alia, the Chemicals and Health Branch of </w:t>
      </w:r>
      <w:r w:rsidR="00116451" w:rsidRPr="00187D94">
        <w:rPr>
          <w:rFonts w:eastAsia="MS Mincho"/>
        </w:rPr>
        <w:t>UNEP</w:t>
      </w:r>
      <w:r w:rsidRPr="00187D94">
        <w:rPr>
          <w:rFonts w:eastAsia="MS Mincho"/>
        </w:rPr>
        <w:t xml:space="preserve">, the regional offices of </w:t>
      </w:r>
      <w:r w:rsidR="00116451" w:rsidRPr="00187D94">
        <w:rPr>
          <w:rFonts w:eastAsia="MS Mincho"/>
        </w:rPr>
        <w:t>UNEP</w:t>
      </w:r>
      <w:r w:rsidRPr="00187D94">
        <w:rPr>
          <w:rFonts w:eastAsia="MS Mincho"/>
        </w:rPr>
        <w:t>, the Basel and Stockholm regional centres, as well as GEF and its implementing agencies, including the United Nations Development Programme, and the United Nations Industrial Development</w:t>
      </w:r>
      <w:r w:rsidRPr="006432A8">
        <w:rPr>
          <w:rFonts w:eastAsia="MS Mincho"/>
        </w:rPr>
        <w:t xml:space="preserve"> Organization. Other international agencies involved in the work include the World Health Organization, the International Labour Organization, the World Customs Organization and the World Trade Organization. As relevant, work may be facilitated by cooperation with the secretariat of the Basel, Rotterdam and Stockholm conventions, and technical cooperation may be established with the UNEP Global Mercury Partnership and the United Nations Institute for Training and Research.</w:t>
      </w:r>
    </w:p>
    <w:p w14:paraId="3A6DB138" w14:textId="77777777" w:rsidR="0041238C" w:rsidRPr="006432A8" w:rsidRDefault="0041238C" w:rsidP="006432A8">
      <w:pPr>
        <w:pStyle w:val="CH2"/>
      </w:pPr>
      <w:r w:rsidRPr="006432A8">
        <w:tab/>
        <w:t>C.</w:t>
      </w:r>
      <w:r w:rsidRPr="006432A8">
        <w:tab/>
        <w:t>To coordinate, as appropriate, with the secretariats of relevant international bodies, particularly other chemicals and waste conventions</w:t>
      </w:r>
    </w:p>
    <w:p w14:paraId="1D34912E"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Coordination of activities has been integral to much of the work of the interim secretariat during the negotiating process of the Minamata Convention. Such coordination is expected to be extended, particularly in the delivery of aspects of the financial mechanism following entry into force. </w:t>
      </w:r>
    </w:p>
    <w:p w14:paraId="04B25167" w14:textId="316E81D9"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Such coordination of activities includes but is not limited to activities on capacity-building and technical assistance in cooperation with the secretariat of the Basel, Rotterdam and Stockholm conventions, as well as other relevant secretariats of international bodies. Efforts will also be made with the </w:t>
      </w:r>
      <w:r w:rsidR="00CB1596" w:rsidRPr="007E304A">
        <w:rPr>
          <w:rFonts w:eastAsia="MS Mincho"/>
        </w:rPr>
        <w:t xml:space="preserve">secretariat of the </w:t>
      </w:r>
      <w:r w:rsidRPr="006432A8">
        <w:rPr>
          <w:rFonts w:eastAsia="MS Mincho"/>
        </w:rPr>
        <w:t>Basel, Rotterdam and Stockholm convention</w:t>
      </w:r>
      <w:r w:rsidR="00CB1596" w:rsidRPr="007E304A">
        <w:rPr>
          <w:rFonts w:eastAsia="MS Mincho"/>
        </w:rPr>
        <w:t>s</w:t>
      </w:r>
      <w:r w:rsidRPr="006432A8">
        <w:rPr>
          <w:rFonts w:eastAsia="MS Mincho"/>
        </w:rPr>
        <w:t xml:space="preserve"> to ensure coordination in other activities, such as the planning of meetings calendars, to ensure maximum efficiency in the delivery of activities, as well as to avoid any overlap or challenges for attendance at relevant meetings. Coordination will also take place in relation to the work of the implementation and compliance committee. Much of this is already occurring </w:t>
      </w:r>
      <w:r w:rsidR="0028700C" w:rsidRPr="007E304A">
        <w:rPr>
          <w:rFonts w:eastAsia="MS Mincho"/>
        </w:rPr>
        <w:t>on the basis of</w:t>
      </w:r>
      <w:r w:rsidRPr="006432A8">
        <w:rPr>
          <w:rFonts w:eastAsia="MS Mincho"/>
        </w:rPr>
        <w:t xml:space="preserve"> the organ</w:t>
      </w:r>
      <w:r w:rsidR="00963EFA" w:rsidRPr="007E304A">
        <w:rPr>
          <w:rFonts w:eastAsia="MS Mincho"/>
        </w:rPr>
        <w:t>ization</w:t>
      </w:r>
      <w:r w:rsidRPr="006432A8">
        <w:rPr>
          <w:rFonts w:eastAsia="MS Mincho"/>
        </w:rPr>
        <w:t xml:space="preserve"> of back-to-back meetings in the regions.</w:t>
      </w:r>
    </w:p>
    <w:p w14:paraId="47E99F07" w14:textId="5112BF00"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Coordination is also required with other secretariats, in particular the secretariat of </w:t>
      </w:r>
      <w:r w:rsidR="00DC5650" w:rsidRPr="007E304A">
        <w:rPr>
          <w:rFonts w:eastAsia="MS Mincho"/>
        </w:rPr>
        <w:t xml:space="preserve">GEF </w:t>
      </w:r>
      <w:r w:rsidRPr="006432A8">
        <w:rPr>
          <w:rFonts w:eastAsia="MS Mincho"/>
        </w:rPr>
        <w:t xml:space="preserve">to develop </w:t>
      </w:r>
      <w:proofErr w:type="spellStart"/>
      <w:r w:rsidRPr="006432A8">
        <w:rPr>
          <w:rFonts w:eastAsia="MS Mincho"/>
        </w:rPr>
        <w:t>workplans</w:t>
      </w:r>
      <w:proofErr w:type="spellEnd"/>
      <w:r w:rsidRPr="006432A8">
        <w:rPr>
          <w:rFonts w:eastAsia="MS Mincho"/>
        </w:rPr>
        <w:t xml:space="preserve"> and implement the guidance provided by the Conference of the Parties to </w:t>
      </w:r>
      <w:r w:rsidR="00CD6354" w:rsidRPr="007E304A">
        <w:rPr>
          <w:rFonts w:eastAsia="MS Mincho"/>
        </w:rPr>
        <w:t xml:space="preserve">the </w:t>
      </w:r>
      <w:r w:rsidRPr="006432A8">
        <w:rPr>
          <w:rFonts w:eastAsia="MS Mincho"/>
        </w:rPr>
        <w:t xml:space="preserve">Council of </w:t>
      </w:r>
      <w:r w:rsidR="00DC5650" w:rsidRPr="007E304A">
        <w:rPr>
          <w:rFonts w:eastAsia="MS Mincho"/>
        </w:rPr>
        <w:t>GEF</w:t>
      </w:r>
      <w:r w:rsidRPr="006432A8">
        <w:rPr>
          <w:rFonts w:eastAsia="MS Mincho"/>
        </w:rPr>
        <w:t xml:space="preserve">. </w:t>
      </w:r>
    </w:p>
    <w:p w14:paraId="6886BBBD" w14:textId="77777777" w:rsidR="0041238C" w:rsidRPr="006432A8" w:rsidRDefault="0041238C" w:rsidP="006432A8">
      <w:pPr>
        <w:pStyle w:val="CH2"/>
      </w:pPr>
      <w:r w:rsidRPr="006432A8">
        <w:tab/>
        <w:t>D.</w:t>
      </w:r>
      <w:r w:rsidRPr="006432A8">
        <w:tab/>
        <w:t>To assist parties in the exchange of information related to the implementation of this Convention</w:t>
      </w:r>
    </w:p>
    <w:p w14:paraId="13DD2697" w14:textId="7807009F"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Information exchange will </w:t>
      </w:r>
      <w:r w:rsidRPr="00EB428F">
        <w:rPr>
          <w:rFonts w:eastAsia="MS Mincho"/>
        </w:rPr>
        <w:t>require the</w:t>
      </w:r>
      <w:r w:rsidRPr="006432A8">
        <w:rPr>
          <w:rFonts w:eastAsia="MS Mincho"/>
        </w:rPr>
        <w:t xml:space="preserve"> establishment and maintenance of a formal structure, which will be necessary for parties to meet their obligations under the Convention. In particular during its establishment phase, </w:t>
      </w:r>
      <w:r w:rsidR="00CD6354" w:rsidRPr="007E304A">
        <w:rPr>
          <w:rFonts w:eastAsia="MS Mincho"/>
        </w:rPr>
        <w:t xml:space="preserve">the </w:t>
      </w:r>
      <w:r w:rsidRPr="006432A8">
        <w:rPr>
          <w:rFonts w:eastAsia="MS Mincho"/>
        </w:rPr>
        <w:t>information exchange platform is likely to require the allocation of resources</w:t>
      </w:r>
      <w:r w:rsidR="00434D08" w:rsidRPr="007E304A">
        <w:rPr>
          <w:rFonts w:eastAsia="MS Mincho"/>
        </w:rPr>
        <w:t xml:space="preserve"> and will </w:t>
      </w:r>
      <w:r w:rsidRPr="006432A8">
        <w:rPr>
          <w:rFonts w:eastAsia="MS Mincho"/>
        </w:rPr>
        <w:t xml:space="preserve">benefit from early efforts by the interim </w:t>
      </w:r>
      <w:r w:rsidR="00434D08" w:rsidRPr="007E304A">
        <w:rPr>
          <w:rFonts w:eastAsia="MS Mincho"/>
        </w:rPr>
        <w:t>s</w:t>
      </w:r>
      <w:r w:rsidRPr="006432A8">
        <w:rPr>
          <w:rFonts w:eastAsia="MS Mincho"/>
        </w:rPr>
        <w:t>ecretariat to collaborate with other knowledge</w:t>
      </w:r>
      <w:r w:rsidR="00434D08" w:rsidRPr="007E304A">
        <w:rPr>
          <w:rFonts w:eastAsia="MS Mincho"/>
        </w:rPr>
        <w:t>-</w:t>
      </w:r>
      <w:r w:rsidRPr="006432A8">
        <w:rPr>
          <w:rFonts w:eastAsia="MS Mincho"/>
        </w:rPr>
        <w:t xml:space="preserve">sharing platforms such as </w:t>
      </w:r>
      <w:proofErr w:type="spellStart"/>
      <w:r w:rsidRPr="006432A8">
        <w:rPr>
          <w:rFonts w:eastAsia="MS Mincho"/>
        </w:rPr>
        <w:t>InforMEA</w:t>
      </w:r>
      <w:proofErr w:type="spellEnd"/>
      <w:r w:rsidRPr="006432A8">
        <w:rPr>
          <w:rFonts w:eastAsia="MS Mincho"/>
        </w:rPr>
        <w:t xml:space="preserve">. </w:t>
      </w:r>
    </w:p>
    <w:p w14:paraId="261E3C09" w14:textId="7777777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More concretely, the secretariat is requested under article 17 to facilitate cooperation in the exchange of information on a number of issues, as well as with relevant organizations, including the secretariats of multilateral environmental organizations and other international initiatives, in addition to information from parties. That information will include information from intergovernmental and non-governmental organizations with expertise in the area of mercury, and from national and international institutions with such expertise. Information exchange as it relates to article 17 covers the following:</w:t>
      </w:r>
    </w:p>
    <w:p w14:paraId="70F1DC30" w14:textId="3FAFDCBB" w:rsidR="0041238C" w:rsidRPr="007E304A" w:rsidRDefault="0041238C" w:rsidP="006432A8">
      <w:pPr>
        <w:pStyle w:val="Normalnumber"/>
        <w:numPr>
          <w:ilvl w:val="1"/>
          <w:numId w:val="75"/>
        </w:numPr>
        <w:ind w:left="1247" w:firstLine="624"/>
        <w:rPr>
          <w:rFonts w:eastAsia="MS Mincho"/>
        </w:rPr>
      </w:pPr>
      <w:r w:rsidRPr="007E304A">
        <w:rPr>
          <w:rFonts w:eastAsia="MS Mincho"/>
        </w:rPr>
        <w:t xml:space="preserve">Scientific, technical, economic and legal information concerning mercury and mercury compounds, including toxicological, </w:t>
      </w:r>
      <w:proofErr w:type="spellStart"/>
      <w:r w:rsidRPr="007E304A">
        <w:rPr>
          <w:rFonts w:eastAsia="MS Mincho"/>
        </w:rPr>
        <w:t>ecotoxicological</w:t>
      </w:r>
      <w:proofErr w:type="spellEnd"/>
      <w:r w:rsidRPr="007E304A">
        <w:rPr>
          <w:rFonts w:eastAsia="MS Mincho"/>
        </w:rPr>
        <w:t xml:space="preserve"> and safety information;</w:t>
      </w:r>
    </w:p>
    <w:p w14:paraId="0999231D" w14:textId="77777777" w:rsidR="0041238C" w:rsidRPr="007E304A" w:rsidRDefault="0041238C" w:rsidP="006432A8">
      <w:pPr>
        <w:pStyle w:val="Normalnumber"/>
        <w:numPr>
          <w:ilvl w:val="1"/>
          <w:numId w:val="75"/>
        </w:numPr>
        <w:ind w:left="1247" w:firstLine="624"/>
        <w:rPr>
          <w:rFonts w:eastAsia="MS Mincho"/>
        </w:rPr>
      </w:pPr>
      <w:r w:rsidRPr="007E304A">
        <w:rPr>
          <w:rFonts w:eastAsia="MS Mincho"/>
        </w:rPr>
        <w:t>Information on the reduction or elimination of the production, use, trade, emissions and releases of mercury and mercury compounds;</w:t>
      </w:r>
    </w:p>
    <w:p w14:paraId="52E4C4CF" w14:textId="77777777" w:rsidR="0041238C" w:rsidRPr="007E304A" w:rsidRDefault="0041238C" w:rsidP="006432A8">
      <w:pPr>
        <w:pStyle w:val="Normalnumber"/>
        <w:numPr>
          <w:ilvl w:val="1"/>
          <w:numId w:val="75"/>
        </w:numPr>
        <w:ind w:left="1247" w:firstLine="624"/>
      </w:pPr>
      <w:r w:rsidRPr="007E304A">
        <w:rPr>
          <w:rFonts w:eastAsia="MS Mincho"/>
        </w:rPr>
        <w:t>Information on technically and economically viable alternatives to</w:t>
      </w:r>
      <w:r w:rsidRPr="007E304A">
        <w:t>:</w:t>
      </w:r>
    </w:p>
    <w:p w14:paraId="2D5F18A9" w14:textId="77777777" w:rsidR="0041238C" w:rsidRPr="007E304A" w:rsidRDefault="0041238C" w:rsidP="006432A8">
      <w:pPr>
        <w:pStyle w:val="Normalnumber"/>
        <w:numPr>
          <w:ilvl w:val="2"/>
          <w:numId w:val="76"/>
        </w:numPr>
        <w:ind w:left="3119" w:hanging="624"/>
      </w:pPr>
      <w:r w:rsidRPr="007E304A">
        <w:t>Mercury-added products;</w:t>
      </w:r>
    </w:p>
    <w:p w14:paraId="3441CE9B" w14:textId="58B3CD45" w:rsidR="0041238C" w:rsidRPr="007E304A" w:rsidRDefault="0041238C" w:rsidP="006432A8">
      <w:pPr>
        <w:pStyle w:val="Normalnumber"/>
        <w:numPr>
          <w:ilvl w:val="2"/>
          <w:numId w:val="76"/>
        </w:numPr>
        <w:ind w:left="3119" w:hanging="624"/>
      </w:pPr>
      <w:r w:rsidRPr="007E304A">
        <w:t>Manufacturing processes in which mercury or mercury compounds are used;</w:t>
      </w:r>
    </w:p>
    <w:p w14:paraId="5B9FE786" w14:textId="52D8C8E3" w:rsidR="0041238C" w:rsidRPr="007E304A" w:rsidRDefault="0041238C" w:rsidP="006432A8">
      <w:pPr>
        <w:pStyle w:val="Normalnumber"/>
        <w:numPr>
          <w:ilvl w:val="2"/>
          <w:numId w:val="76"/>
        </w:numPr>
        <w:ind w:left="3119" w:hanging="624"/>
      </w:pPr>
      <w:r w:rsidRPr="007E304A">
        <w:t>Activities and process</w:t>
      </w:r>
      <w:r w:rsidR="008A7766" w:rsidRPr="007E304A">
        <w:t>es</w:t>
      </w:r>
      <w:r w:rsidRPr="007E304A">
        <w:t xml:space="preserve"> that emit or release mercury or mercury compounds</w:t>
      </w:r>
      <w:r w:rsidR="001A5954">
        <w:t>;</w:t>
      </w:r>
    </w:p>
    <w:p w14:paraId="2081EA01" w14:textId="04D6BA05" w:rsidR="0041238C" w:rsidRPr="007E304A" w:rsidRDefault="00C0782B" w:rsidP="006432A8">
      <w:pPr>
        <w:pStyle w:val="Normal-pool"/>
        <w:tabs>
          <w:tab w:val="clear" w:pos="1247"/>
          <w:tab w:val="clear" w:pos="1814"/>
          <w:tab w:val="clear" w:pos="2381"/>
          <w:tab w:val="clear" w:pos="2948"/>
          <w:tab w:val="clear" w:pos="3515"/>
          <w:tab w:val="clear" w:pos="4082"/>
          <w:tab w:val="left" w:pos="624"/>
        </w:tabs>
        <w:spacing w:after="120"/>
        <w:ind w:left="1247" w:firstLine="624"/>
      </w:pPr>
      <w:r w:rsidRPr="007E304A">
        <w:tab/>
      </w:r>
      <w:r w:rsidR="0041238C" w:rsidRPr="007E304A">
        <w:t xml:space="preserve">including information on the health and environmental risks and economic and social costs and </w:t>
      </w:r>
      <w:r w:rsidR="0041238C" w:rsidRPr="007E304A">
        <w:rPr>
          <w:rFonts w:eastAsia="MS Mincho"/>
        </w:rPr>
        <w:t>benefits</w:t>
      </w:r>
      <w:r w:rsidR="0041238C" w:rsidRPr="007E304A">
        <w:t xml:space="preserve"> of such alternatives;</w:t>
      </w:r>
    </w:p>
    <w:p w14:paraId="32FAF88A" w14:textId="77777777" w:rsidR="0041238C" w:rsidRPr="007E304A" w:rsidRDefault="0041238C" w:rsidP="006432A8">
      <w:pPr>
        <w:pStyle w:val="Normalnumber"/>
        <w:numPr>
          <w:ilvl w:val="1"/>
          <w:numId w:val="75"/>
        </w:numPr>
        <w:ind w:left="1247" w:firstLine="624"/>
      </w:pPr>
      <w:r w:rsidRPr="007E304A">
        <w:rPr>
          <w:rFonts w:eastAsia="MS Mincho"/>
        </w:rPr>
        <w:t xml:space="preserve">Epidemiological information </w:t>
      </w:r>
      <w:r w:rsidRPr="007E304A">
        <w:t xml:space="preserve">concerning health impacts associated with exposure to mercury and mercury compounds, in close cooperation with the World Health Organization and other relevant </w:t>
      </w:r>
      <w:r w:rsidRPr="006432A8">
        <w:rPr>
          <w:rFonts w:eastAsia="MS Mincho"/>
        </w:rPr>
        <w:t>organizations</w:t>
      </w:r>
      <w:r w:rsidRPr="007E304A">
        <w:t xml:space="preserve">, as appropriate. </w:t>
      </w:r>
    </w:p>
    <w:p w14:paraId="611D873E" w14:textId="77777777" w:rsidR="0041238C" w:rsidRPr="007E304A"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pPr>
      <w:r w:rsidRPr="007E304A">
        <w:t xml:space="preserve">In addition, other provisions of the Convention will require the secretariat to facilitate the exchange of </w:t>
      </w:r>
      <w:r w:rsidRPr="006432A8">
        <w:rPr>
          <w:rFonts w:eastAsia="MS Mincho"/>
        </w:rPr>
        <w:t>information</w:t>
      </w:r>
      <w:r w:rsidRPr="007E304A">
        <w:t>, such as provisions under the following articles:</w:t>
      </w:r>
    </w:p>
    <w:p w14:paraId="44DA4FCE" w14:textId="77777777" w:rsidR="0041238C" w:rsidRPr="007E304A" w:rsidRDefault="0041238C" w:rsidP="006432A8">
      <w:pPr>
        <w:pStyle w:val="Normal-pool"/>
        <w:numPr>
          <w:ilvl w:val="0"/>
          <w:numId w:val="136"/>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 xml:space="preserve">Article 3, which requires the secretariat to maintain a public register of notifications of consent; </w:t>
      </w:r>
    </w:p>
    <w:p w14:paraId="06347C76" w14:textId="3CAAFF26" w:rsidR="0041238C" w:rsidRPr="007E304A" w:rsidRDefault="0041238C" w:rsidP="006432A8">
      <w:pPr>
        <w:pStyle w:val="Normal-pool"/>
        <w:numPr>
          <w:ilvl w:val="0"/>
          <w:numId w:val="136"/>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Article 4, which requires the secretariat, on the basis of information provided by parties, to collect and maintain information on mercury-added products and their alternatives, and to make such information publicly available, as well as information provided by a party on mercury</w:t>
      </w:r>
      <w:r w:rsidRPr="007E304A">
        <w:rPr>
          <w:rFonts w:eastAsia="MS Mincho"/>
        </w:rPr>
        <w:noBreakHyphen/>
        <w:t>added products not covered by any known use of mercury-added products prior to the date of entry into force of the Convention for it and any other relevant information submitted by parties</w:t>
      </w:r>
      <w:r w:rsidR="007F73B8" w:rsidRPr="007E304A">
        <w:rPr>
          <w:rFonts w:eastAsia="MS Mincho"/>
        </w:rPr>
        <w:t>;</w:t>
      </w:r>
    </w:p>
    <w:p w14:paraId="2697808D" w14:textId="619F858E" w:rsidR="0041238C" w:rsidRPr="00187D94" w:rsidRDefault="0041238C" w:rsidP="006432A8">
      <w:pPr>
        <w:pStyle w:val="Normal-pool"/>
        <w:numPr>
          <w:ilvl w:val="0"/>
          <w:numId w:val="136"/>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7E304A">
        <w:rPr>
          <w:rFonts w:eastAsia="MS Mincho"/>
        </w:rPr>
        <w:t xml:space="preserve">Article 5, which requires </w:t>
      </w:r>
      <w:r w:rsidRPr="00187D94">
        <w:rPr>
          <w:rFonts w:eastAsia="MS Mincho"/>
        </w:rPr>
        <w:t>the secretariat, on the basis of information provided by parties, to collect and maintain information on mercury-added products and their alternatives, and to make such information publicly available, as well as information provided by a party on the number and types of facilities within its territory that use mercury or mercury compounds for processes listed in Annex B and the estimated annual amount of mercury or mercury compounds used in those facilities and any other relevant information submitted by parties;</w:t>
      </w:r>
    </w:p>
    <w:p w14:paraId="1D2B7838" w14:textId="77777777" w:rsidR="0041238C" w:rsidRPr="007E304A" w:rsidRDefault="0041238C" w:rsidP="006432A8">
      <w:pPr>
        <w:pStyle w:val="Normal-pool"/>
        <w:numPr>
          <w:ilvl w:val="0"/>
          <w:numId w:val="136"/>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sidRPr="00187D94">
        <w:rPr>
          <w:rFonts w:eastAsia="MS Mincho"/>
        </w:rPr>
        <w:t>Article 6, which requires the secretariat to maintain a register of exemptions</w:t>
      </w:r>
      <w:r w:rsidRPr="007E304A">
        <w:rPr>
          <w:rFonts w:eastAsia="MS Mincho"/>
        </w:rPr>
        <w:t>.</w:t>
      </w:r>
    </w:p>
    <w:p w14:paraId="27AFAB67" w14:textId="3FD3714D" w:rsidR="0041238C" w:rsidRPr="007E304A" w:rsidRDefault="00187D94"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pPr>
      <w:r>
        <w:t>Lastly</w:t>
      </w:r>
      <w:r w:rsidR="0041238C" w:rsidRPr="007E304A">
        <w:t xml:space="preserve">, the assistance of the secretariat may also be felt necessary in other areas where the exchange of information is called for, for instance under article 5, where parties are encouraged to exchange information on relevant new technological developments, economically and technically feasible </w:t>
      </w:r>
      <w:r w:rsidR="0041238C" w:rsidRPr="006432A8">
        <w:rPr>
          <w:rFonts w:eastAsia="MS Mincho"/>
        </w:rPr>
        <w:t>mercury</w:t>
      </w:r>
      <w:r w:rsidR="0041238C" w:rsidRPr="007E304A">
        <w:t>-free alternatives, and possible measures and techniques to reduce and where feasible to eliminate the use of mercury and mercury compounds in, and emissions and releases of mercury and mercury compounds from, the manufacturing processes listed in Annex B</w:t>
      </w:r>
      <w:r w:rsidR="00302341">
        <w:t>,</w:t>
      </w:r>
      <w:r w:rsidR="0041238C" w:rsidRPr="007E304A">
        <w:t xml:space="preserve"> or under article 18. </w:t>
      </w:r>
    </w:p>
    <w:p w14:paraId="194F4498" w14:textId="070B2A87" w:rsidR="0041238C" w:rsidRPr="006432A8" w:rsidRDefault="0041238C" w:rsidP="006432A8">
      <w:pPr>
        <w:pStyle w:val="CH2"/>
      </w:pPr>
      <w:r w:rsidRPr="00B959C3">
        <w:tab/>
        <w:t>E.</w:t>
      </w:r>
      <w:r w:rsidRPr="00B959C3">
        <w:tab/>
        <w:t xml:space="preserve">To prepare and make available to the parties periodic reports </w:t>
      </w:r>
      <w:r w:rsidR="0028700C" w:rsidRPr="00B959C3">
        <w:t>on the basis of</w:t>
      </w:r>
      <w:r w:rsidRPr="00B959C3">
        <w:t xml:space="preserve"> information received pursuant to articles 15 and 21 and other available information</w:t>
      </w:r>
    </w:p>
    <w:p w14:paraId="11073B36" w14:textId="526B28BA"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The work to prepare and make </w:t>
      </w:r>
      <w:r w:rsidRPr="00EB428F">
        <w:rPr>
          <w:rFonts w:eastAsia="MS Mincho"/>
        </w:rPr>
        <w:t>available to the parties</w:t>
      </w:r>
      <w:r w:rsidRPr="006432A8">
        <w:rPr>
          <w:rFonts w:eastAsia="MS Mincho"/>
        </w:rPr>
        <w:t xml:space="preserve"> periodic reports </w:t>
      </w:r>
      <w:r w:rsidR="0028700C" w:rsidRPr="007E304A">
        <w:rPr>
          <w:rFonts w:eastAsia="MS Mincho"/>
        </w:rPr>
        <w:t>on the basis of</w:t>
      </w:r>
      <w:r w:rsidRPr="006432A8">
        <w:rPr>
          <w:rFonts w:eastAsia="MS Mincho"/>
        </w:rPr>
        <w:t xml:space="preserve"> information received pursuant to articles 15 and 21 and other available information is likely to involve outreach and communication with parties, including reminders in relation to reporting requirements, the circulation of the format for reporting and the provision of advice on completing the reports. As it is intended, as presented and discussed by the committee at its sixth session, to maintain electronic reporting to the extent possible, activities to set up the online structure, as well as ongoing maintenance of the structure, would be required. Following the receipt of reports from parties, the secretariat would need to confirm the completeness of the reports, and follow up with the submitting party should any information not be provided. The development of periodic reports to the parties will require the compilation and analysis of submitted information. </w:t>
      </w:r>
    </w:p>
    <w:p w14:paraId="5D773EBD" w14:textId="2427CFC7" w:rsidR="0041238C" w:rsidRPr="006432A8"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6432A8">
        <w:rPr>
          <w:rFonts w:eastAsia="MS Mincho"/>
        </w:rPr>
        <w:t xml:space="preserve">The establishment of the reporting platform will benefit from the early efforts by the interim </w:t>
      </w:r>
      <w:r w:rsidR="00A157B8" w:rsidRPr="007E304A">
        <w:rPr>
          <w:rFonts w:eastAsia="MS Mincho"/>
        </w:rPr>
        <w:t>s</w:t>
      </w:r>
      <w:r w:rsidRPr="006432A8">
        <w:rPr>
          <w:rFonts w:eastAsia="MS Mincho"/>
        </w:rPr>
        <w:t>ecretariat to collaborate with other knowledge</w:t>
      </w:r>
      <w:r w:rsidR="00F871EA" w:rsidRPr="007E304A">
        <w:rPr>
          <w:rFonts w:eastAsia="MS Mincho"/>
        </w:rPr>
        <w:t>-</w:t>
      </w:r>
      <w:r w:rsidRPr="006432A8">
        <w:rPr>
          <w:rFonts w:eastAsia="MS Mincho"/>
        </w:rPr>
        <w:t xml:space="preserve">sharing platforms and well-functioning reporting portals such as the one built by </w:t>
      </w:r>
      <w:r w:rsidR="00DD74D9" w:rsidRPr="007E304A">
        <w:rPr>
          <w:rFonts w:eastAsia="MS Mincho"/>
        </w:rPr>
        <w:t>the World Conservation Monitoring Centre</w:t>
      </w:r>
      <w:r w:rsidR="00DD74D9" w:rsidRPr="007E304A" w:rsidDel="00DD74D9">
        <w:rPr>
          <w:rFonts w:eastAsia="MS Mincho"/>
        </w:rPr>
        <w:t xml:space="preserve"> </w:t>
      </w:r>
      <w:r w:rsidRPr="006432A8">
        <w:rPr>
          <w:rFonts w:eastAsia="MS Mincho"/>
        </w:rPr>
        <w:t>for various other multilateral environmental agreements.</w:t>
      </w:r>
    </w:p>
    <w:p w14:paraId="42AEB45F" w14:textId="77777777" w:rsidR="0041238C" w:rsidRPr="00B959C3" w:rsidRDefault="0041238C" w:rsidP="006432A8">
      <w:pPr>
        <w:pStyle w:val="CH2"/>
      </w:pPr>
      <w:r w:rsidRPr="00B959C3">
        <w:tab/>
        <w:t>F.</w:t>
      </w:r>
      <w:r w:rsidRPr="00B959C3">
        <w:tab/>
        <w:t>To enter, under the overall guidance of the Conference of the Parties, into such administrative and contractual arrangements as may be required for the effective discharge of its functions</w:t>
      </w:r>
    </w:p>
    <w:p w14:paraId="434A86F0" w14:textId="77777777" w:rsidR="0041238C" w:rsidRPr="007E304A"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kern w:val="1"/>
        </w:rPr>
      </w:pPr>
      <w:r w:rsidRPr="007E304A">
        <w:rPr>
          <w:kern w:val="1"/>
        </w:rPr>
        <w:t xml:space="preserve">The administrative and </w:t>
      </w:r>
      <w:r w:rsidRPr="00A93B63">
        <w:rPr>
          <w:kern w:val="1"/>
        </w:rPr>
        <w:t>contractual arrangements</w:t>
      </w:r>
      <w:r w:rsidRPr="007E304A">
        <w:rPr>
          <w:kern w:val="1"/>
        </w:rPr>
        <w:t xml:space="preserve"> that will be required for the performance of the </w:t>
      </w:r>
      <w:r w:rsidRPr="007E304A">
        <w:rPr>
          <w:rFonts w:eastAsia="MS Mincho"/>
        </w:rPr>
        <w:t>functions</w:t>
      </w:r>
      <w:r w:rsidRPr="007E304A">
        <w:rPr>
          <w:kern w:val="1"/>
        </w:rPr>
        <w:t xml:space="preserve"> of the </w:t>
      </w:r>
      <w:r w:rsidRPr="006432A8">
        <w:rPr>
          <w:rFonts w:eastAsia="MS Mincho"/>
        </w:rPr>
        <w:t>secretariat</w:t>
      </w:r>
      <w:r w:rsidRPr="007E304A">
        <w:rPr>
          <w:kern w:val="1"/>
        </w:rPr>
        <w:t xml:space="preserve"> will be influenced to some extent by the location of the secretariat, in addition to the following, inter alia:</w:t>
      </w:r>
    </w:p>
    <w:p w14:paraId="1D278AA5" w14:textId="77777777" w:rsidR="0041238C" w:rsidRPr="007E304A" w:rsidRDefault="0041238C" w:rsidP="006432A8">
      <w:pPr>
        <w:pStyle w:val="Normal-pool"/>
        <w:numPr>
          <w:ilvl w:val="0"/>
          <w:numId w:val="137"/>
        </w:numPr>
        <w:tabs>
          <w:tab w:val="clear" w:pos="1247"/>
          <w:tab w:val="clear" w:pos="1814"/>
          <w:tab w:val="clear" w:pos="2381"/>
          <w:tab w:val="clear" w:pos="2948"/>
          <w:tab w:val="clear" w:pos="3515"/>
          <w:tab w:val="clear" w:pos="4082"/>
          <w:tab w:val="left" w:pos="624"/>
        </w:tabs>
        <w:spacing w:after="120"/>
        <w:ind w:left="1247" w:firstLine="624"/>
      </w:pPr>
      <w:r w:rsidRPr="007E304A">
        <w:t>Development of agreements related to the provision of suitable office facilities for the secretariat;</w:t>
      </w:r>
    </w:p>
    <w:p w14:paraId="10FE8D2C" w14:textId="265AC7C2" w:rsidR="0041238C" w:rsidRPr="007E304A" w:rsidRDefault="0041238C" w:rsidP="006432A8">
      <w:pPr>
        <w:pStyle w:val="Normal-pool"/>
        <w:numPr>
          <w:ilvl w:val="0"/>
          <w:numId w:val="137"/>
        </w:numPr>
        <w:tabs>
          <w:tab w:val="clear" w:pos="1247"/>
          <w:tab w:val="clear" w:pos="1814"/>
          <w:tab w:val="clear" w:pos="2381"/>
          <w:tab w:val="clear" w:pos="2948"/>
          <w:tab w:val="clear" w:pos="3515"/>
          <w:tab w:val="clear" w:pos="4082"/>
          <w:tab w:val="left" w:pos="624"/>
        </w:tabs>
        <w:spacing w:after="120"/>
        <w:ind w:left="1247" w:firstLine="624"/>
      </w:pPr>
      <w:r w:rsidRPr="007E304A">
        <w:t>Establishment of the administrative arrangements associated with the administration of the trust fund for the receipt of assessed contributions (General Trust Fund) and of the trust fund for the receipt of voluntary contributions (Special Trust Fund), including arrangements for the use of any programme support costs charged to support the activities of the secretariat;</w:t>
      </w:r>
    </w:p>
    <w:p w14:paraId="107A916D" w14:textId="77777777" w:rsidR="0041238C" w:rsidRPr="007E304A" w:rsidRDefault="0041238C" w:rsidP="006432A8">
      <w:pPr>
        <w:pStyle w:val="Normal-pool"/>
        <w:numPr>
          <w:ilvl w:val="0"/>
          <w:numId w:val="137"/>
        </w:numPr>
        <w:tabs>
          <w:tab w:val="clear" w:pos="1247"/>
          <w:tab w:val="clear" w:pos="1814"/>
          <w:tab w:val="clear" w:pos="2381"/>
          <w:tab w:val="clear" w:pos="2948"/>
          <w:tab w:val="clear" w:pos="3515"/>
          <w:tab w:val="clear" w:pos="4082"/>
          <w:tab w:val="left" w:pos="624"/>
        </w:tabs>
        <w:spacing w:after="120"/>
        <w:ind w:left="1247" w:firstLine="624"/>
      </w:pPr>
      <w:r w:rsidRPr="007E304A">
        <w:t>Arrangements for suitable staffing of the secretariat, including, as appropriate, the development of job descriptions in line with the agreed budget and the recruitment of suitably qualified staff into such positions;</w:t>
      </w:r>
    </w:p>
    <w:p w14:paraId="4929BE2A" w14:textId="77777777" w:rsidR="0041238C" w:rsidRPr="007E304A" w:rsidRDefault="0041238C" w:rsidP="006432A8">
      <w:pPr>
        <w:pStyle w:val="Normal-pool"/>
        <w:numPr>
          <w:ilvl w:val="0"/>
          <w:numId w:val="137"/>
        </w:numPr>
        <w:tabs>
          <w:tab w:val="clear" w:pos="1247"/>
          <w:tab w:val="clear" w:pos="1814"/>
          <w:tab w:val="clear" w:pos="2381"/>
          <w:tab w:val="clear" w:pos="2948"/>
          <w:tab w:val="clear" w:pos="3515"/>
          <w:tab w:val="clear" w:pos="4082"/>
          <w:tab w:val="left" w:pos="624"/>
        </w:tabs>
        <w:spacing w:after="120"/>
        <w:ind w:left="1247" w:firstLine="624"/>
      </w:pPr>
      <w:r w:rsidRPr="007E304A">
        <w:t>Arrangements for the provision of suitable information technology infrastructure and ongoing support;</w:t>
      </w:r>
    </w:p>
    <w:p w14:paraId="61713A9B" w14:textId="77777777" w:rsidR="0041238C" w:rsidRPr="007E304A" w:rsidRDefault="0041238C" w:rsidP="006432A8">
      <w:pPr>
        <w:pStyle w:val="Normal-pool"/>
        <w:numPr>
          <w:ilvl w:val="0"/>
          <w:numId w:val="137"/>
        </w:numPr>
        <w:tabs>
          <w:tab w:val="clear" w:pos="1247"/>
          <w:tab w:val="clear" w:pos="1814"/>
          <w:tab w:val="clear" w:pos="2381"/>
          <w:tab w:val="clear" w:pos="2948"/>
          <w:tab w:val="clear" w:pos="3515"/>
          <w:tab w:val="clear" w:pos="4082"/>
          <w:tab w:val="left" w:pos="624"/>
        </w:tabs>
        <w:spacing w:after="120"/>
        <w:ind w:left="1247" w:firstLine="624"/>
      </w:pPr>
      <w:r w:rsidRPr="007E304A">
        <w:t>Any contractual arrangements with partners that may be required for holding meetings or delivering activities through such partners to support any activities undertaken by the secretariat.</w:t>
      </w:r>
    </w:p>
    <w:p w14:paraId="4FE234FC" w14:textId="77777777" w:rsidR="0041238C" w:rsidRPr="00B959C3" w:rsidRDefault="0041238C" w:rsidP="006432A8">
      <w:pPr>
        <w:pStyle w:val="CH2"/>
      </w:pPr>
      <w:r w:rsidRPr="00B959C3">
        <w:tab/>
        <w:t>G.</w:t>
      </w:r>
      <w:r w:rsidRPr="00B959C3">
        <w:tab/>
        <w:t>To perform the other secretariat functions specified in the Convention and such other functions as may be determined by the Conference of the Parties</w:t>
      </w:r>
    </w:p>
    <w:p w14:paraId="341777DF" w14:textId="77777777" w:rsidR="0041238C" w:rsidRPr="007E304A"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In relation to other secretariat functions, it is anticipated that the Conference of the Parties at its first meeting will adopt the technical guidance on air emissions required by the Convention. Other than updating this guidance as needed, or developing guidance on new sectors that may be added to Annex D to the Convention, limited further work is anticipated. </w:t>
      </w:r>
    </w:p>
    <w:p w14:paraId="035E7511" w14:textId="77777777" w:rsidR="0041238C" w:rsidRPr="007E304A"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Convention identifies that the Conference of the Parties will, as soon as practicable, adopt guidance on best available techniques and best environmental practice for releases and the methodology for preparing inventories of releases. As parties are only obligated to identify their relevant point sources of releases within three years after the date of entry into force, the work on developing guidance on releases may not commence within the period of the annual meetings of the Conference. </w:t>
      </w:r>
    </w:p>
    <w:p w14:paraId="59BDB27D" w14:textId="77777777" w:rsidR="0041238C" w:rsidRPr="007E304A" w:rsidRDefault="0041238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Other guidance required under the Convention, such as in relation to supply, storage, waste and contaminated sites may require further work, particularly in the initial phase after the first meeting of the Conference of the Parties.</w:t>
      </w:r>
    </w:p>
    <w:p w14:paraId="5D7550C8" w14:textId="77777777" w:rsidR="0041238C" w:rsidRPr="007E304A" w:rsidRDefault="0041238C" w:rsidP="0041238C">
      <w:pPr>
        <w:tabs>
          <w:tab w:val="clear" w:pos="1247"/>
          <w:tab w:val="clear" w:pos="1814"/>
          <w:tab w:val="clear" w:pos="2381"/>
          <w:tab w:val="clear" w:pos="2948"/>
          <w:tab w:val="clear" w:pos="3515"/>
        </w:tabs>
        <w:rPr>
          <w:b/>
          <w:bCs/>
          <w:sz w:val="28"/>
          <w:szCs w:val="22"/>
        </w:rPr>
      </w:pPr>
      <w:r w:rsidRPr="007E304A">
        <w:br w:type="page"/>
      </w:r>
    </w:p>
    <w:p w14:paraId="78A8EDA8" w14:textId="77777777" w:rsidR="0041238C" w:rsidRPr="007E304A" w:rsidRDefault="0041238C" w:rsidP="00161024">
      <w:pPr>
        <w:pStyle w:val="ZZAnxheader"/>
        <w:outlineLvl w:val="0"/>
      </w:pPr>
      <w:r w:rsidRPr="007E304A">
        <w:t>Appendix II</w:t>
      </w:r>
    </w:p>
    <w:p w14:paraId="03B2408B" w14:textId="77777777" w:rsidR="0041238C" w:rsidRPr="00B959C3" w:rsidRDefault="0041238C" w:rsidP="006432A8">
      <w:pPr>
        <w:pStyle w:val="ZZAnxtitle"/>
      </w:pPr>
      <w:r w:rsidRPr="00B959C3">
        <w:t>Resource requirements for the proposals on how the Executive Director of the United Nations Environment Programme would perform the functions of the permanent secretariat for the Minamata Convention on Mercury</w:t>
      </w:r>
    </w:p>
    <w:p w14:paraId="6862C75F" w14:textId="390FB7E3" w:rsidR="0041238C" w:rsidRPr="007E304A" w:rsidRDefault="0041238C"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pPr>
      <w:r w:rsidRPr="007E304A">
        <w:t>Th</w:t>
      </w:r>
      <w:r w:rsidR="001A2884" w:rsidRPr="007E304A">
        <w:t>e present</w:t>
      </w:r>
      <w:r w:rsidR="000A1250" w:rsidRPr="007E304A">
        <w:t xml:space="preserve"> appendix with its</w:t>
      </w:r>
      <w:r w:rsidR="009C02AB" w:rsidRPr="007E304A">
        <w:t xml:space="preserve"> </w:t>
      </w:r>
      <w:r w:rsidRPr="007E304A">
        <w:t xml:space="preserve">four tables </w:t>
      </w:r>
      <w:r w:rsidR="00E531E4" w:rsidRPr="007E304A">
        <w:t>correspond</w:t>
      </w:r>
      <w:r w:rsidR="000A1250" w:rsidRPr="007E304A">
        <w:t>s</w:t>
      </w:r>
      <w:r w:rsidR="00E531E4" w:rsidRPr="007E304A">
        <w:t xml:space="preserve"> to Section D and </w:t>
      </w:r>
      <w:r w:rsidR="009C02AB" w:rsidRPr="007E304A">
        <w:t>provide</w:t>
      </w:r>
      <w:r w:rsidR="000A1250" w:rsidRPr="007E304A">
        <w:t>s</w:t>
      </w:r>
      <w:r w:rsidR="009C02AB" w:rsidRPr="007E304A">
        <w:t xml:space="preserve"> </w:t>
      </w:r>
      <w:r w:rsidRPr="007E304A">
        <w:t>an overview of the resource requirements for the proposals on how the Executive Director of the United Nations Environment Programme</w:t>
      </w:r>
      <w:r w:rsidR="00466A7C" w:rsidRPr="007E304A">
        <w:t xml:space="preserve"> (</w:t>
      </w:r>
      <w:r w:rsidR="00116451" w:rsidRPr="007E304A">
        <w:t>UNEP</w:t>
      </w:r>
      <w:r w:rsidR="00466A7C" w:rsidRPr="007E304A">
        <w:t>)</w:t>
      </w:r>
      <w:r w:rsidRPr="007E304A">
        <w:t xml:space="preserve"> would perform the functions of the permanent secretariat for the Minamata Convention on Mercury. </w:t>
      </w:r>
    </w:p>
    <w:p w14:paraId="30876E2A" w14:textId="5D519BDD" w:rsidR="0041238C" w:rsidRPr="007E304A" w:rsidRDefault="0041238C"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pPr>
      <w:r w:rsidRPr="007E304A">
        <w:t>T</w:t>
      </w:r>
      <w:r w:rsidR="009C02AB" w:rsidRPr="007E304A">
        <w:t xml:space="preserve">able 1 </w:t>
      </w:r>
      <w:r w:rsidRPr="007E304A">
        <w:t>provides an overview of the staff posts for each of the option</w:t>
      </w:r>
      <w:r w:rsidR="007B1D74" w:rsidRPr="007E304A">
        <w:t>s</w:t>
      </w:r>
      <w:r w:rsidRPr="007E304A">
        <w:t xml:space="preserve">: </w:t>
      </w:r>
    </w:p>
    <w:p w14:paraId="569A1540" w14:textId="1886A919" w:rsidR="0041238C" w:rsidRPr="007E304A" w:rsidRDefault="0041238C" w:rsidP="006432A8">
      <w:pPr>
        <w:pStyle w:val="Normal-pool"/>
        <w:tabs>
          <w:tab w:val="clear" w:pos="1247"/>
          <w:tab w:val="clear" w:pos="1814"/>
          <w:tab w:val="clear" w:pos="2381"/>
          <w:tab w:val="clear" w:pos="2948"/>
          <w:tab w:val="clear" w:pos="3515"/>
          <w:tab w:val="clear" w:pos="4082"/>
          <w:tab w:val="left" w:pos="624"/>
        </w:tabs>
        <w:spacing w:after="120"/>
        <w:ind w:left="1247" w:firstLine="624"/>
      </w:pPr>
      <w:r w:rsidRPr="007E304A">
        <w:tab/>
        <w:t xml:space="preserve">(a) </w:t>
      </w:r>
      <w:r w:rsidRPr="007E304A">
        <w:tab/>
        <w:t>Option 1</w:t>
      </w:r>
      <w:r w:rsidR="007B1D74" w:rsidRPr="007E304A">
        <w:t xml:space="preserve"> (</w:t>
      </w:r>
      <w:r w:rsidRPr="007E304A">
        <w:t>a</w:t>
      </w:r>
      <w:r w:rsidR="007B1D74" w:rsidRPr="007E304A">
        <w:t>)</w:t>
      </w:r>
      <w:r w:rsidR="00E531E4" w:rsidRPr="007E304A">
        <w:t xml:space="preserve"> </w:t>
      </w:r>
      <w:r w:rsidR="001A2884" w:rsidRPr="007E304A">
        <w:t>(merger)</w:t>
      </w:r>
      <w:r w:rsidRPr="007E304A">
        <w:t xml:space="preserve">: Merging the secretariat functions of the Minamata Convention </w:t>
      </w:r>
      <w:r w:rsidR="00A93B63">
        <w:t>into</w:t>
      </w:r>
      <w:r w:rsidR="00A93B63" w:rsidRPr="007E304A">
        <w:t xml:space="preserve"> </w:t>
      </w:r>
      <w:r w:rsidRPr="007E304A">
        <w:t>the secretariat of the Basel, Rotterdam and Stockholm conventions</w:t>
      </w:r>
      <w:r w:rsidR="0032332D" w:rsidRPr="006432A8">
        <w:t>,</w:t>
      </w:r>
      <w:r w:rsidRPr="007E304A">
        <w:t xml:space="preserve"> utilizing its current structure (</w:t>
      </w:r>
      <w:r w:rsidR="009C02AB" w:rsidRPr="007E304A">
        <w:t>l</w:t>
      </w:r>
      <w:r w:rsidRPr="007E304A">
        <w:t>ocation:</w:t>
      </w:r>
      <w:r w:rsidR="00884409" w:rsidRPr="007E304A">
        <w:t> </w:t>
      </w:r>
      <w:r w:rsidRPr="007E304A">
        <w:t>Geneva)</w:t>
      </w:r>
      <w:r w:rsidR="00AC07B2">
        <w:t>;</w:t>
      </w:r>
      <w:r w:rsidRPr="007E304A">
        <w:t xml:space="preserve"> </w:t>
      </w:r>
    </w:p>
    <w:p w14:paraId="702E29D7" w14:textId="27B1F627" w:rsidR="0041238C" w:rsidRPr="007E304A" w:rsidRDefault="0041238C" w:rsidP="006432A8">
      <w:pPr>
        <w:pStyle w:val="Normal-pool"/>
        <w:tabs>
          <w:tab w:val="clear" w:pos="1247"/>
          <w:tab w:val="clear" w:pos="1814"/>
          <w:tab w:val="clear" w:pos="2381"/>
          <w:tab w:val="clear" w:pos="2948"/>
          <w:tab w:val="clear" w:pos="3515"/>
          <w:tab w:val="clear" w:pos="4082"/>
          <w:tab w:val="left" w:pos="624"/>
        </w:tabs>
        <w:spacing w:after="120"/>
        <w:ind w:left="1247" w:firstLine="624"/>
      </w:pPr>
      <w:r w:rsidRPr="007E304A">
        <w:tab/>
        <w:t xml:space="preserve">(b) </w:t>
      </w:r>
      <w:r w:rsidRPr="007E304A">
        <w:tab/>
        <w:t>Option 1</w:t>
      </w:r>
      <w:r w:rsidR="007B1D74" w:rsidRPr="007E304A">
        <w:t xml:space="preserve"> (</w:t>
      </w:r>
      <w:r w:rsidRPr="007E304A">
        <w:t>b</w:t>
      </w:r>
      <w:r w:rsidR="007B1D74" w:rsidRPr="007E304A">
        <w:t>)</w:t>
      </w:r>
      <w:r w:rsidR="00E531E4" w:rsidRPr="007E304A">
        <w:t xml:space="preserve"> </w:t>
      </w:r>
      <w:r w:rsidR="001A2884" w:rsidRPr="007E304A">
        <w:t>(branch)</w:t>
      </w:r>
      <w:r w:rsidRPr="007E304A">
        <w:t xml:space="preserve">: Merging the secretariat of the Minamata Convention </w:t>
      </w:r>
      <w:r w:rsidR="00A93B63">
        <w:t>into</w:t>
      </w:r>
      <w:r w:rsidR="00A93B63" w:rsidRPr="007E304A">
        <w:t xml:space="preserve"> </w:t>
      </w:r>
      <w:r w:rsidRPr="007E304A">
        <w:t xml:space="preserve">the secretariat of the Basel, Rotterdam and Stockholm conventions by creating, in the interim, a </w:t>
      </w:r>
      <w:r w:rsidR="0032332D" w:rsidRPr="007E304A">
        <w:t>fourth</w:t>
      </w:r>
      <w:r w:rsidR="00BA0C83" w:rsidRPr="007E304A">
        <w:t xml:space="preserve"> branch</w:t>
      </w:r>
      <w:r w:rsidRPr="007E304A">
        <w:t xml:space="preserve"> (</w:t>
      </w:r>
      <w:r w:rsidR="009C02AB" w:rsidRPr="007E304A">
        <w:t>l</w:t>
      </w:r>
      <w:r w:rsidRPr="007E304A">
        <w:t>ocation: Geneva)</w:t>
      </w:r>
      <w:r w:rsidR="00AC07B2">
        <w:t>;</w:t>
      </w:r>
      <w:r w:rsidRPr="007E304A">
        <w:t xml:space="preserve"> </w:t>
      </w:r>
    </w:p>
    <w:p w14:paraId="36080508" w14:textId="766566D4" w:rsidR="0041238C" w:rsidRPr="007E304A" w:rsidRDefault="0041238C" w:rsidP="006432A8">
      <w:pPr>
        <w:pStyle w:val="Normal-pool"/>
        <w:tabs>
          <w:tab w:val="clear" w:pos="1247"/>
          <w:tab w:val="clear" w:pos="1814"/>
          <w:tab w:val="clear" w:pos="2381"/>
          <w:tab w:val="clear" w:pos="2948"/>
          <w:tab w:val="clear" w:pos="3515"/>
          <w:tab w:val="clear" w:pos="4082"/>
          <w:tab w:val="left" w:pos="624"/>
        </w:tabs>
        <w:spacing w:after="120"/>
        <w:ind w:left="1247" w:firstLine="624"/>
      </w:pPr>
      <w:r w:rsidRPr="007E304A">
        <w:tab/>
        <w:t xml:space="preserve">(c) </w:t>
      </w:r>
      <w:r w:rsidRPr="007E304A">
        <w:tab/>
        <w:t>Option 2</w:t>
      </w:r>
      <w:r w:rsidR="00E531E4" w:rsidRPr="007E304A">
        <w:t xml:space="preserve"> </w:t>
      </w:r>
      <w:r w:rsidR="001A2884" w:rsidRPr="007E304A">
        <w:t>(standalone)</w:t>
      </w:r>
      <w:r w:rsidRPr="007E304A">
        <w:t xml:space="preserve">: Establishing </w:t>
      </w:r>
      <w:r w:rsidR="007610B9" w:rsidRPr="007E304A">
        <w:t xml:space="preserve">a </w:t>
      </w:r>
      <w:r w:rsidR="007610B9">
        <w:t>standalone</w:t>
      </w:r>
      <w:r w:rsidR="007610B9" w:rsidRPr="007E304A">
        <w:t xml:space="preserve"> </w:t>
      </w:r>
      <w:r w:rsidRPr="007E304A">
        <w:t>secretariat of the Minamata Convention</w:t>
      </w:r>
      <w:r w:rsidR="00CC4ED2" w:rsidRPr="007E304A">
        <w:t xml:space="preserve">, with the </w:t>
      </w:r>
      <w:r w:rsidR="009C02AB" w:rsidRPr="007E304A">
        <w:t>l</w:t>
      </w:r>
      <w:r w:rsidRPr="007E304A">
        <w:t xml:space="preserve">ocation to be </w:t>
      </w:r>
      <w:r w:rsidR="00CC4ED2" w:rsidRPr="007E304A">
        <w:t xml:space="preserve">determined on the basis of an </w:t>
      </w:r>
      <w:r w:rsidRPr="007E304A">
        <w:t xml:space="preserve">analysis </w:t>
      </w:r>
      <w:r w:rsidR="00CC4ED2" w:rsidRPr="007E304A">
        <w:t xml:space="preserve">of the following UNEP duty stations: </w:t>
      </w:r>
      <w:r w:rsidRPr="007E304A">
        <w:t xml:space="preserve">Bangkok, Geneva, Nairobi, Osaka, Vienna </w:t>
      </w:r>
      <w:r w:rsidR="00686033" w:rsidRPr="007E304A">
        <w:t xml:space="preserve">and </w:t>
      </w:r>
      <w:r w:rsidRPr="007E304A">
        <w:t>Washington</w:t>
      </w:r>
      <w:r w:rsidR="009E64B2" w:rsidRPr="006432A8">
        <w:t>, D.C</w:t>
      </w:r>
      <w:r w:rsidRPr="007E304A">
        <w:t>.</w:t>
      </w:r>
      <w:r w:rsidR="00E67A13" w:rsidRPr="007E304A">
        <w:t xml:space="preserve"> </w:t>
      </w:r>
    </w:p>
    <w:p w14:paraId="6CB5DB58" w14:textId="6506B805" w:rsidR="0041238C" w:rsidRPr="007E304A" w:rsidRDefault="009C02AB"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pPr>
      <w:r w:rsidRPr="007E304A">
        <w:t xml:space="preserve">Table 2 </w:t>
      </w:r>
      <w:r w:rsidR="0041238C" w:rsidRPr="007E304A">
        <w:t xml:space="preserve">provides an overview of the total projected staffing costs for </w:t>
      </w:r>
      <w:r w:rsidRPr="007E304A">
        <w:t xml:space="preserve">option </w:t>
      </w:r>
      <w:r w:rsidR="0041238C" w:rsidRPr="007E304A">
        <w:t>1</w:t>
      </w:r>
      <w:r w:rsidRPr="007E304A">
        <w:t xml:space="preserve"> (</w:t>
      </w:r>
      <w:r w:rsidR="0041238C" w:rsidRPr="007E304A">
        <w:t>a</w:t>
      </w:r>
      <w:r w:rsidRPr="007E304A">
        <w:t>)</w:t>
      </w:r>
      <w:r w:rsidR="0041238C" w:rsidRPr="007E304A">
        <w:t>, option 1</w:t>
      </w:r>
      <w:r w:rsidRPr="007E304A">
        <w:t xml:space="preserve"> (</w:t>
      </w:r>
      <w:r w:rsidR="0041238C" w:rsidRPr="007E304A">
        <w:t>b</w:t>
      </w:r>
      <w:r w:rsidRPr="007E304A">
        <w:t>)</w:t>
      </w:r>
      <w:r w:rsidR="0041238C" w:rsidRPr="007E304A">
        <w:t xml:space="preserve"> and option 2 on how the Executive Director would perform the functions of the permanent secretariat in Geneva. </w:t>
      </w:r>
    </w:p>
    <w:p w14:paraId="17ACBE33" w14:textId="2B26BB3E" w:rsidR="0041238C" w:rsidRPr="007E304A" w:rsidRDefault="009C02AB"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pPr>
      <w:r w:rsidRPr="007E304A">
        <w:t xml:space="preserve">Table 3 </w:t>
      </w:r>
      <w:r w:rsidR="0041238C" w:rsidRPr="007E304A">
        <w:t xml:space="preserve">provides an overview of the total projected staffing costs of </w:t>
      </w:r>
      <w:r w:rsidR="007610B9" w:rsidRPr="007E304A">
        <w:t xml:space="preserve">a </w:t>
      </w:r>
      <w:r w:rsidR="007610B9">
        <w:t>standalone</w:t>
      </w:r>
      <w:r w:rsidR="007610B9" w:rsidRPr="007E304A">
        <w:t xml:space="preserve"> </w:t>
      </w:r>
      <w:r w:rsidR="0041238C" w:rsidRPr="007E304A">
        <w:t>secretariat in any of the six proposed locations (</w:t>
      </w:r>
      <w:r w:rsidR="005E3B0E" w:rsidRPr="007E304A">
        <w:t>o</w:t>
      </w:r>
      <w:r w:rsidR="0041238C" w:rsidRPr="007E304A">
        <w:t>ption 2).</w:t>
      </w:r>
    </w:p>
    <w:p w14:paraId="59096E7C" w14:textId="36814279" w:rsidR="0041238C" w:rsidRPr="007E304A" w:rsidRDefault="0041238C"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pPr>
      <w:r w:rsidRPr="007E304A">
        <w:t>T</w:t>
      </w:r>
      <w:r w:rsidR="00BC1782" w:rsidRPr="007E304A">
        <w:t xml:space="preserve">able 4 </w:t>
      </w:r>
      <w:r w:rsidRPr="007E304A">
        <w:t>responds to the request made by the intergovernmental negotiating committee for more information on the following areas: an estimate of the full costs of running a robust secretariat at each proposed location</w:t>
      </w:r>
      <w:r w:rsidR="00046FD6" w:rsidRPr="007E304A">
        <w:t>;</w:t>
      </w:r>
      <w:r w:rsidRPr="007E304A">
        <w:t xml:space="preserve"> an estimate of the full costs of holding meetings at each location</w:t>
      </w:r>
      <w:r w:rsidR="00046FD6" w:rsidRPr="007E304A">
        <w:t>;</w:t>
      </w:r>
      <w:r w:rsidRPr="007E304A">
        <w:t xml:space="preserve"> and an estimate of travel costs for staff to participate in key chemicals and waste meetings in Geneva if the permanent secretariat is located in one of the other </w:t>
      </w:r>
      <w:r w:rsidR="00046FD6" w:rsidRPr="007E304A">
        <w:t xml:space="preserve">five </w:t>
      </w:r>
      <w:r w:rsidRPr="007E304A">
        <w:t xml:space="preserve">proposed locations. </w:t>
      </w:r>
      <w:r w:rsidR="00046FD6" w:rsidRPr="007E304A">
        <w:t>A</w:t>
      </w:r>
      <w:r w:rsidRPr="007E304A">
        <w:t xml:space="preserve">n estimate of the daily subsistence rate totals for funded participants for a </w:t>
      </w:r>
      <w:r w:rsidR="00046FD6" w:rsidRPr="007E304A">
        <w:t xml:space="preserve">meeting of the </w:t>
      </w:r>
      <w:r w:rsidRPr="007E304A">
        <w:t>C</w:t>
      </w:r>
      <w:r w:rsidR="00046FD6" w:rsidRPr="007E304A">
        <w:t xml:space="preserve">onference of the </w:t>
      </w:r>
      <w:r w:rsidRPr="007E304A">
        <w:t>P</w:t>
      </w:r>
      <w:r w:rsidR="00046FD6" w:rsidRPr="007E304A">
        <w:t>arties</w:t>
      </w:r>
      <w:r w:rsidRPr="007E304A">
        <w:t xml:space="preserve"> held at the six secretariat locations is indicated for location comparison purposes</w:t>
      </w:r>
      <w:r w:rsidR="002B6C1A">
        <w:rPr>
          <w:b/>
        </w:rPr>
        <w:t>.</w:t>
      </w:r>
    </w:p>
    <w:p w14:paraId="2A624617" w14:textId="77777777" w:rsidR="00B959C3" w:rsidRPr="001828CD" w:rsidRDefault="00B959C3" w:rsidP="00B959C3">
      <w:pPr>
        <w:pStyle w:val="Normal-pool"/>
        <w:spacing w:before="240"/>
        <w:ind w:left="567"/>
      </w:pPr>
      <w:r w:rsidRPr="006432A8">
        <w:t>Table 1</w:t>
      </w:r>
    </w:p>
    <w:p w14:paraId="1727AA03" w14:textId="77777777" w:rsidR="00B959C3" w:rsidRPr="001828CD" w:rsidRDefault="00B959C3" w:rsidP="00B959C3">
      <w:pPr>
        <w:pStyle w:val="Normal-pool"/>
        <w:spacing w:after="120"/>
        <w:ind w:left="567"/>
        <w:rPr>
          <w:b/>
        </w:rPr>
      </w:pPr>
      <w:r w:rsidRPr="006432A8">
        <w:rPr>
          <w:b/>
        </w:rPr>
        <w:t>Indicative staffing tables for the proposed options for the secretariat of the Minamata Convention</w:t>
      </w:r>
    </w:p>
    <w:tbl>
      <w:tblPr>
        <w:tblW w:w="4743" w:type="pct"/>
        <w:tblInd w:w="676" w:type="dxa"/>
        <w:tblLayout w:type="fixed"/>
        <w:tblLook w:val="04A0" w:firstRow="1" w:lastRow="0" w:firstColumn="1" w:lastColumn="0" w:noHBand="0" w:noVBand="1"/>
      </w:tblPr>
      <w:tblGrid>
        <w:gridCol w:w="2268"/>
        <w:gridCol w:w="2215"/>
        <w:gridCol w:w="53"/>
        <w:gridCol w:w="1701"/>
        <w:gridCol w:w="234"/>
        <w:gridCol w:w="1892"/>
        <w:gridCol w:w="142"/>
        <w:gridCol w:w="708"/>
      </w:tblGrid>
      <w:tr w:rsidR="00B959C3" w:rsidRPr="001828CD" w14:paraId="32614FC0" w14:textId="77777777" w:rsidTr="00593823">
        <w:trPr>
          <w:trHeight w:val="159"/>
        </w:trPr>
        <w:tc>
          <w:tcPr>
            <w:tcW w:w="5000" w:type="pct"/>
            <w:gridSpan w:val="8"/>
            <w:tcBorders>
              <w:top w:val="single" w:sz="4" w:space="0" w:color="auto"/>
              <w:bottom w:val="single" w:sz="4" w:space="0" w:color="auto"/>
            </w:tcBorders>
            <w:shd w:val="clear" w:color="auto" w:fill="auto"/>
            <w:vAlign w:val="center"/>
            <w:hideMark/>
          </w:tcPr>
          <w:p w14:paraId="67B1FDC5" w14:textId="77777777" w:rsidR="00B959C3" w:rsidRPr="006432A8" w:rsidRDefault="00B959C3" w:rsidP="00593823">
            <w:pPr>
              <w:keepNext/>
              <w:keepLines/>
              <w:tabs>
                <w:tab w:val="clear" w:pos="1247"/>
                <w:tab w:val="clear" w:pos="1814"/>
                <w:tab w:val="clear" w:pos="2381"/>
                <w:tab w:val="clear" w:pos="2948"/>
                <w:tab w:val="clear" w:pos="3515"/>
              </w:tabs>
              <w:spacing w:before="120" w:after="40"/>
              <w:rPr>
                <w:bCs/>
                <w:color w:val="000000"/>
                <w:sz w:val="18"/>
                <w:szCs w:val="18"/>
              </w:rPr>
            </w:pPr>
            <w:r w:rsidRPr="001828CD">
              <w:rPr>
                <w:bCs/>
                <w:color w:val="000000"/>
                <w:sz w:val="18"/>
                <w:szCs w:val="18"/>
              </w:rPr>
              <w:t>Option 1 (a) (merger): Merging the secretariat functions of the Minamata Convention into the secretariat of the Basel, Rotterdam and Stockholm conventions utilizing its current structure (location: Geneva)</w:t>
            </w:r>
          </w:p>
        </w:tc>
      </w:tr>
      <w:tr w:rsidR="00B959C3" w:rsidRPr="001828CD" w14:paraId="23939981" w14:textId="77777777" w:rsidTr="00593823">
        <w:trPr>
          <w:trHeight w:val="83"/>
        </w:trPr>
        <w:tc>
          <w:tcPr>
            <w:tcW w:w="1231" w:type="pct"/>
            <w:vMerge w:val="restart"/>
            <w:tcBorders>
              <w:top w:val="single" w:sz="4" w:space="0" w:color="auto"/>
              <w:bottom w:val="single" w:sz="12" w:space="0" w:color="auto"/>
            </w:tcBorders>
            <w:shd w:val="clear" w:color="auto" w:fill="auto"/>
            <w:noWrap/>
            <w:vAlign w:val="bottom"/>
            <w:hideMark/>
          </w:tcPr>
          <w:p w14:paraId="5A3D42C7" w14:textId="77777777" w:rsidR="00B959C3" w:rsidRPr="001828CD" w:rsidRDefault="00B959C3" w:rsidP="00593823">
            <w:pPr>
              <w:tabs>
                <w:tab w:val="clear" w:pos="1247"/>
                <w:tab w:val="clear" w:pos="1814"/>
                <w:tab w:val="clear" w:pos="2381"/>
                <w:tab w:val="clear" w:pos="2948"/>
                <w:tab w:val="clear" w:pos="3515"/>
              </w:tabs>
              <w:spacing w:before="40" w:after="20"/>
              <w:rPr>
                <w:bCs/>
                <w:color w:val="000000"/>
                <w:sz w:val="18"/>
                <w:szCs w:val="18"/>
              </w:rPr>
            </w:pPr>
            <w:r w:rsidRPr="001828CD">
              <w:rPr>
                <w:bCs/>
                <w:color w:val="000000"/>
                <w:sz w:val="18"/>
                <w:szCs w:val="18"/>
              </w:rPr>
              <w:t>Staff category and level</w:t>
            </w:r>
          </w:p>
        </w:tc>
        <w:tc>
          <w:tcPr>
            <w:tcW w:w="3769" w:type="pct"/>
            <w:gridSpan w:val="7"/>
            <w:tcBorders>
              <w:top w:val="single" w:sz="4" w:space="0" w:color="auto"/>
              <w:bottom w:val="single" w:sz="4" w:space="0" w:color="auto"/>
            </w:tcBorders>
            <w:shd w:val="clear" w:color="auto" w:fill="auto"/>
            <w:noWrap/>
            <w:vAlign w:val="bottom"/>
            <w:hideMark/>
          </w:tcPr>
          <w:p w14:paraId="7B37B7D0" w14:textId="77777777" w:rsidR="00B959C3" w:rsidRPr="001828CD" w:rsidRDefault="00B959C3" w:rsidP="00593823">
            <w:pPr>
              <w:tabs>
                <w:tab w:val="clear" w:pos="1247"/>
                <w:tab w:val="clear" w:pos="1814"/>
                <w:tab w:val="clear" w:pos="2381"/>
                <w:tab w:val="clear" w:pos="2948"/>
                <w:tab w:val="clear" w:pos="3515"/>
              </w:tabs>
              <w:spacing w:before="40" w:after="20"/>
              <w:jc w:val="center"/>
              <w:rPr>
                <w:bCs/>
                <w:i/>
                <w:color w:val="000000"/>
                <w:sz w:val="18"/>
                <w:szCs w:val="18"/>
              </w:rPr>
            </w:pPr>
            <w:r w:rsidRPr="001828CD">
              <w:rPr>
                <w:bCs/>
                <w:i/>
                <w:color w:val="000000"/>
                <w:sz w:val="18"/>
                <w:szCs w:val="18"/>
              </w:rPr>
              <w:t>Total proposed for the Minamata Convention secretariat 2018–2019</w:t>
            </w:r>
          </w:p>
        </w:tc>
      </w:tr>
      <w:tr w:rsidR="00B959C3" w:rsidRPr="001828CD" w14:paraId="6E9DDC43" w14:textId="77777777" w:rsidTr="00593823">
        <w:trPr>
          <w:trHeight w:val="275"/>
        </w:trPr>
        <w:tc>
          <w:tcPr>
            <w:tcW w:w="1231" w:type="pct"/>
            <w:vMerge/>
            <w:tcBorders>
              <w:bottom w:val="single" w:sz="12" w:space="0" w:color="auto"/>
            </w:tcBorders>
            <w:vAlign w:val="bottom"/>
            <w:hideMark/>
          </w:tcPr>
          <w:p w14:paraId="7074B5EA" w14:textId="77777777" w:rsidR="00B959C3" w:rsidRPr="001828CD" w:rsidRDefault="00B959C3" w:rsidP="00593823">
            <w:pPr>
              <w:tabs>
                <w:tab w:val="clear" w:pos="1247"/>
                <w:tab w:val="clear" w:pos="1814"/>
                <w:tab w:val="clear" w:pos="2381"/>
                <w:tab w:val="clear" w:pos="2948"/>
                <w:tab w:val="clear" w:pos="3515"/>
              </w:tabs>
              <w:spacing w:before="40" w:after="20"/>
              <w:ind w:left="1400"/>
              <w:rPr>
                <w:bCs/>
                <w:color w:val="000000"/>
                <w:sz w:val="18"/>
                <w:szCs w:val="18"/>
              </w:rPr>
            </w:pPr>
          </w:p>
        </w:tc>
        <w:tc>
          <w:tcPr>
            <w:tcW w:w="1202" w:type="pct"/>
            <w:tcBorders>
              <w:bottom w:val="single" w:sz="12" w:space="0" w:color="auto"/>
            </w:tcBorders>
            <w:shd w:val="clear" w:color="auto" w:fill="auto"/>
            <w:vAlign w:val="center"/>
            <w:hideMark/>
          </w:tcPr>
          <w:p w14:paraId="4873B9DC" w14:textId="77777777" w:rsidR="00B959C3" w:rsidRPr="001828CD" w:rsidRDefault="00B959C3" w:rsidP="00593823">
            <w:pPr>
              <w:tabs>
                <w:tab w:val="clear" w:pos="1247"/>
                <w:tab w:val="clear" w:pos="1814"/>
                <w:tab w:val="clear" w:pos="2381"/>
                <w:tab w:val="clear" w:pos="2948"/>
                <w:tab w:val="clear" w:pos="3515"/>
              </w:tabs>
              <w:spacing w:before="40" w:after="20"/>
              <w:jc w:val="right"/>
              <w:rPr>
                <w:bCs/>
                <w:i/>
                <w:color w:val="000000"/>
                <w:sz w:val="18"/>
                <w:szCs w:val="18"/>
              </w:rPr>
            </w:pPr>
            <w:r w:rsidRPr="001828CD">
              <w:rPr>
                <w:bCs/>
                <w:i/>
                <w:color w:val="000000"/>
                <w:sz w:val="18"/>
                <w:szCs w:val="18"/>
              </w:rPr>
              <w:t>Minamata Convention-funded Basel, Rotterdam, Stockholm and Minamata conventions posts</w:t>
            </w:r>
          </w:p>
        </w:tc>
        <w:tc>
          <w:tcPr>
            <w:tcW w:w="1079" w:type="pct"/>
            <w:gridSpan w:val="3"/>
            <w:tcBorders>
              <w:bottom w:val="single" w:sz="12" w:space="0" w:color="auto"/>
            </w:tcBorders>
            <w:shd w:val="clear" w:color="auto" w:fill="auto"/>
            <w:vAlign w:val="center"/>
            <w:hideMark/>
          </w:tcPr>
          <w:p w14:paraId="1AADFD79" w14:textId="77777777" w:rsidR="00B959C3" w:rsidRPr="001828CD" w:rsidRDefault="00B959C3" w:rsidP="00593823">
            <w:pPr>
              <w:tabs>
                <w:tab w:val="clear" w:pos="1247"/>
                <w:tab w:val="clear" w:pos="1814"/>
                <w:tab w:val="clear" w:pos="2381"/>
                <w:tab w:val="clear" w:pos="2948"/>
                <w:tab w:val="clear" w:pos="3515"/>
              </w:tabs>
              <w:spacing w:before="40" w:after="20"/>
              <w:jc w:val="right"/>
              <w:rPr>
                <w:bCs/>
                <w:i/>
                <w:color w:val="000000"/>
                <w:sz w:val="18"/>
                <w:szCs w:val="18"/>
              </w:rPr>
            </w:pPr>
            <w:r w:rsidRPr="001828CD">
              <w:rPr>
                <w:bCs/>
                <w:i/>
                <w:color w:val="000000"/>
                <w:sz w:val="18"/>
                <w:szCs w:val="18"/>
              </w:rPr>
              <w:t>New funded posts for Basel, Rotterdam, Stockholm and Minamata conventions</w:t>
            </w:r>
          </w:p>
        </w:tc>
        <w:tc>
          <w:tcPr>
            <w:tcW w:w="1104" w:type="pct"/>
            <w:gridSpan w:val="2"/>
            <w:tcBorders>
              <w:bottom w:val="single" w:sz="12" w:space="0" w:color="auto"/>
            </w:tcBorders>
            <w:shd w:val="clear" w:color="auto" w:fill="auto"/>
            <w:vAlign w:val="center"/>
            <w:hideMark/>
          </w:tcPr>
          <w:p w14:paraId="1FE1C88D" w14:textId="77777777" w:rsidR="00B959C3" w:rsidRPr="001828CD" w:rsidRDefault="00B959C3" w:rsidP="00593823">
            <w:pPr>
              <w:tabs>
                <w:tab w:val="clear" w:pos="1247"/>
                <w:tab w:val="clear" w:pos="1814"/>
                <w:tab w:val="clear" w:pos="2381"/>
                <w:tab w:val="clear" w:pos="2948"/>
                <w:tab w:val="clear" w:pos="3515"/>
              </w:tabs>
              <w:spacing w:before="40" w:after="20"/>
              <w:jc w:val="right"/>
              <w:rPr>
                <w:bCs/>
                <w:i/>
                <w:color w:val="000000"/>
                <w:sz w:val="18"/>
                <w:szCs w:val="18"/>
              </w:rPr>
            </w:pPr>
            <w:r w:rsidRPr="001828CD">
              <w:rPr>
                <w:bCs/>
                <w:i/>
                <w:color w:val="000000"/>
                <w:sz w:val="18"/>
                <w:szCs w:val="18"/>
              </w:rPr>
              <w:t>Minamata Convention posts funded by programme support costs</w:t>
            </w:r>
          </w:p>
        </w:tc>
        <w:tc>
          <w:tcPr>
            <w:tcW w:w="384" w:type="pct"/>
            <w:tcBorders>
              <w:bottom w:val="single" w:sz="12" w:space="0" w:color="auto"/>
            </w:tcBorders>
            <w:shd w:val="clear" w:color="auto" w:fill="auto"/>
            <w:noWrap/>
            <w:vAlign w:val="center"/>
            <w:hideMark/>
          </w:tcPr>
          <w:p w14:paraId="33D7888A" w14:textId="77777777" w:rsidR="00B959C3" w:rsidRPr="001828CD" w:rsidRDefault="00B959C3" w:rsidP="00593823">
            <w:pPr>
              <w:tabs>
                <w:tab w:val="clear" w:pos="1247"/>
                <w:tab w:val="clear" w:pos="1814"/>
                <w:tab w:val="clear" w:pos="2381"/>
                <w:tab w:val="clear" w:pos="2948"/>
                <w:tab w:val="clear" w:pos="3515"/>
              </w:tabs>
              <w:spacing w:before="40" w:after="20"/>
              <w:jc w:val="right"/>
              <w:rPr>
                <w:bCs/>
                <w:i/>
                <w:color w:val="000000"/>
                <w:sz w:val="18"/>
                <w:szCs w:val="18"/>
              </w:rPr>
            </w:pPr>
            <w:r w:rsidRPr="001828CD">
              <w:rPr>
                <w:bCs/>
                <w:i/>
                <w:color w:val="000000"/>
                <w:sz w:val="18"/>
                <w:szCs w:val="18"/>
              </w:rPr>
              <w:t>Total</w:t>
            </w:r>
          </w:p>
        </w:tc>
      </w:tr>
      <w:tr w:rsidR="00B959C3" w:rsidRPr="001828CD" w14:paraId="78E91640" w14:textId="77777777" w:rsidTr="00593823">
        <w:trPr>
          <w:trHeight w:val="211"/>
        </w:trPr>
        <w:tc>
          <w:tcPr>
            <w:tcW w:w="1231" w:type="pct"/>
            <w:tcBorders>
              <w:top w:val="single" w:sz="12" w:space="0" w:color="auto"/>
            </w:tcBorders>
            <w:shd w:val="clear" w:color="auto" w:fill="auto"/>
            <w:noWrap/>
            <w:vAlign w:val="bottom"/>
            <w:hideMark/>
          </w:tcPr>
          <w:p w14:paraId="3917F724"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A. Professional categories</w:t>
            </w:r>
          </w:p>
        </w:tc>
        <w:tc>
          <w:tcPr>
            <w:tcW w:w="1202" w:type="pct"/>
            <w:tcBorders>
              <w:top w:val="single" w:sz="12" w:space="0" w:color="auto"/>
            </w:tcBorders>
            <w:shd w:val="clear" w:color="auto" w:fill="auto"/>
            <w:hideMark/>
          </w:tcPr>
          <w:p w14:paraId="67710335" w14:textId="77777777" w:rsidR="00B959C3" w:rsidRPr="001828CD" w:rsidRDefault="00B959C3" w:rsidP="00593823">
            <w:pPr>
              <w:tabs>
                <w:tab w:val="clear" w:pos="1247"/>
                <w:tab w:val="clear" w:pos="1814"/>
                <w:tab w:val="clear" w:pos="2381"/>
                <w:tab w:val="clear" w:pos="2948"/>
                <w:tab w:val="clear" w:pos="3515"/>
              </w:tabs>
              <w:spacing w:before="40" w:after="20"/>
              <w:rPr>
                <w:i/>
                <w:iCs/>
                <w:color w:val="000000"/>
                <w:sz w:val="18"/>
                <w:szCs w:val="18"/>
              </w:rPr>
            </w:pPr>
          </w:p>
        </w:tc>
        <w:tc>
          <w:tcPr>
            <w:tcW w:w="1079" w:type="pct"/>
            <w:gridSpan w:val="3"/>
            <w:tcBorders>
              <w:top w:val="single" w:sz="12" w:space="0" w:color="auto"/>
            </w:tcBorders>
            <w:shd w:val="clear" w:color="auto" w:fill="auto"/>
            <w:hideMark/>
          </w:tcPr>
          <w:p w14:paraId="7594EE01" w14:textId="77777777" w:rsidR="00B959C3" w:rsidRPr="001828CD" w:rsidRDefault="00B959C3" w:rsidP="00593823">
            <w:pPr>
              <w:tabs>
                <w:tab w:val="clear" w:pos="1247"/>
                <w:tab w:val="clear" w:pos="1814"/>
                <w:tab w:val="clear" w:pos="2381"/>
                <w:tab w:val="clear" w:pos="2948"/>
                <w:tab w:val="clear" w:pos="3515"/>
              </w:tabs>
              <w:spacing w:before="40" w:after="20"/>
              <w:rPr>
                <w:i/>
                <w:iCs/>
                <w:color w:val="000000"/>
                <w:sz w:val="18"/>
                <w:szCs w:val="18"/>
              </w:rPr>
            </w:pPr>
          </w:p>
        </w:tc>
        <w:tc>
          <w:tcPr>
            <w:tcW w:w="1104" w:type="pct"/>
            <w:gridSpan w:val="2"/>
            <w:tcBorders>
              <w:top w:val="single" w:sz="12" w:space="0" w:color="auto"/>
            </w:tcBorders>
            <w:shd w:val="clear" w:color="auto" w:fill="auto"/>
            <w:noWrap/>
            <w:vAlign w:val="bottom"/>
            <w:hideMark/>
          </w:tcPr>
          <w:p w14:paraId="6D7B8FD3"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p>
        </w:tc>
        <w:tc>
          <w:tcPr>
            <w:tcW w:w="384" w:type="pct"/>
            <w:tcBorders>
              <w:top w:val="single" w:sz="12" w:space="0" w:color="auto"/>
            </w:tcBorders>
            <w:shd w:val="clear" w:color="auto" w:fill="auto"/>
            <w:noWrap/>
            <w:vAlign w:val="bottom"/>
            <w:hideMark/>
          </w:tcPr>
          <w:p w14:paraId="38498E69"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p>
        </w:tc>
      </w:tr>
      <w:tr w:rsidR="00B959C3" w:rsidRPr="001828CD" w14:paraId="2ABF6710" w14:textId="77777777" w:rsidTr="00593823">
        <w:trPr>
          <w:trHeight w:val="58"/>
        </w:trPr>
        <w:tc>
          <w:tcPr>
            <w:tcW w:w="1231" w:type="pct"/>
            <w:shd w:val="clear" w:color="auto" w:fill="auto"/>
            <w:noWrap/>
            <w:vAlign w:val="bottom"/>
            <w:hideMark/>
          </w:tcPr>
          <w:p w14:paraId="210799BA" w14:textId="713D0451" w:rsidR="00B959C3" w:rsidRPr="001828CD" w:rsidRDefault="00B959C3" w:rsidP="00593823">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D-2 </w:t>
            </w:r>
          </w:p>
        </w:tc>
        <w:tc>
          <w:tcPr>
            <w:tcW w:w="1202" w:type="pct"/>
            <w:shd w:val="clear" w:color="auto" w:fill="auto"/>
            <w:noWrap/>
            <w:vAlign w:val="bottom"/>
            <w:hideMark/>
          </w:tcPr>
          <w:p w14:paraId="3BA12D71"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1.00</w:t>
            </w:r>
          </w:p>
        </w:tc>
        <w:tc>
          <w:tcPr>
            <w:tcW w:w="1079" w:type="pct"/>
            <w:gridSpan w:val="3"/>
            <w:shd w:val="clear" w:color="auto" w:fill="auto"/>
            <w:noWrap/>
            <w:vAlign w:val="bottom"/>
            <w:hideMark/>
          </w:tcPr>
          <w:p w14:paraId="31591CB9"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1104" w:type="pct"/>
            <w:gridSpan w:val="2"/>
            <w:shd w:val="clear" w:color="auto" w:fill="auto"/>
            <w:noWrap/>
            <w:vAlign w:val="bottom"/>
            <w:hideMark/>
          </w:tcPr>
          <w:p w14:paraId="42AFA26C"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384" w:type="pct"/>
            <w:shd w:val="clear" w:color="auto" w:fill="auto"/>
            <w:noWrap/>
            <w:vAlign w:val="bottom"/>
            <w:hideMark/>
          </w:tcPr>
          <w:p w14:paraId="66F6F26F"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0.20</w:t>
            </w:r>
          </w:p>
        </w:tc>
      </w:tr>
      <w:tr w:rsidR="00B959C3" w:rsidRPr="001828CD" w14:paraId="2C512434" w14:textId="77777777" w:rsidTr="00593823">
        <w:trPr>
          <w:trHeight w:val="68"/>
        </w:trPr>
        <w:tc>
          <w:tcPr>
            <w:tcW w:w="1231" w:type="pct"/>
            <w:shd w:val="clear" w:color="auto" w:fill="auto"/>
            <w:noWrap/>
            <w:vAlign w:val="bottom"/>
            <w:hideMark/>
          </w:tcPr>
          <w:p w14:paraId="0BE1A962" w14:textId="4CDB8E13" w:rsidR="00B959C3" w:rsidRPr="001828CD" w:rsidRDefault="00B959C3" w:rsidP="00593823">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D-1 </w:t>
            </w:r>
          </w:p>
        </w:tc>
        <w:tc>
          <w:tcPr>
            <w:tcW w:w="1202" w:type="pct"/>
            <w:shd w:val="clear" w:color="auto" w:fill="auto"/>
            <w:noWrap/>
            <w:vAlign w:val="bottom"/>
            <w:hideMark/>
          </w:tcPr>
          <w:p w14:paraId="6B2BBC89"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1.00</w:t>
            </w:r>
          </w:p>
        </w:tc>
        <w:tc>
          <w:tcPr>
            <w:tcW w:w="1079" w:type="pct"/>
            <w:gridSpan w:val="3"/>
            <w:shd w:val="clear" w:color="auto" w:fill="auto"/>
            <w:noWrap/>
            <w:vAlign w:val="bottom"/>
            <w:hideMark/>
          </w:tcPr>
          <w:p w14:paraId="07ECCCDB"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1104" w:type="pct"/>
            <w:gridSpan w:val="2"/>
            <w:shd w:val="clear" w:color="auto" w:fill="auto"/>
            <w:noWrap/>
            <w:vAlign w:val="bottom"/>
            <w:hideMark/>
          </w:tcPr>
          <w:p w14:paraId="227BB56B"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384" w:type="pct"/>
            <w:shd w:val="clear" w:color="auto" w:fill="auto"/>
            <w:noWrap/>
            <w:vAlign w:val="bottom"/>
            <w:hideMark/>
          </w:tcPr>
          <w:p w14:paraId="7EEB84C3"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0.20</w:t>
            </w:r>
          </w:p>
        </w:tc>
      </w:tr>
      <w:tr w:rsidR="00B959C3" w:rsidRPr="001828CD" w14:paraId="2BE60F00" w14:textId="77777777" w:rsidTr="00593823">
        <w:trPr>
          <w:trHeight w:val="68"/>
        </w:trPr>
        <w:tc>
          <w:tcPr>
            <w:tcW w:w="1231" w:type="pct"/>
            <w:shd w:val="clear" w:color="auto" w:fill="auto"/>
            <w:noWrap/>
            <w:vAlign w:val="bottom"/>
            <w:hideMark/>
          </w:tcPr>
          <w:p w14:paraId="3FE6A001" w14:textId="1DE64DB0" w:rsidR="00B959C3" w:rsidRPr="001828CD" w:rsidRDefault="00B959C3" w:rsidP="00593823">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P-5 </w:t>
            </w:r>
          </w:p>
        </w:tc>
        <w:tc>
          <w:tcPr>
            <w:tcW w:w="1202" w:type="pct"/>
            <w:shd w:val="clear" w:color="auto" w:fill="auto"/>
            <w:vAlign w:val="center"/>
            <w:hideMark/>
          </w:tcPr>
          <w:p w14:paraId="0D951A49"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7.00</w:t>
            </w:r>
          </w:p>
        </w:tc>
        <w:tc>
          <w:tcPr>
            <w:tcW w:w="1079" w:type="pct"/>
            <w:gridSpan w:val="3"/>
            <w:shd w:val="clear" w:color="auto" w:fill="auto"/>
            <w:noWrap/>
            <w:vAlign w:val="bottom"/>
            <w:hideMark/>
          </w:tcPr>
          <w:p w14:paraId="2C1E26C8"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1104" w:type="pct"/>
            <w:gridSpan w:val="2"/>
            <w:shd w:val="clear" w:color="auto" w:fill="auto"/>
            <w:noWrap/>
            <w:vAlign w:val="bottom"/>
            <w:hideMark/>
          </w:tcPr>
          <w:p w14:paraId="1BC28C58"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384" w:type="pct"/>
            <w:shd w:val="clear" w:color="auto" w:fill="auto"/>
            <w:noWrap/>
            <w:vAlign w:val="bottom"/>
            <w:hideMark/>
          </w:tcPr>
          <w:p w14:paraId="118EBC9A"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1.40</w:t>
            </w:r>
          </w:p>
        </w:tc>
      </w:tr>
      <w:tr w:rsidR="00B959C3" w:rsidRPr="001828CD" w14:paraId="2E6664AE" w14:textId="77777777" w:rsidTr="00593823">
        <w:trPr>
          <w:trHeight w:val="68"/>
        </w:trPr>
        <w:tc>
          <w:tcPr>
            <w:tcW w:w="1231" w:type="pct"/>
            <w:shd w:val="clear" w:color="auto" w:fill="auto"/>
            <w:noWrap/>
            <w:vAlign w:val="bottom"/>
            <w:hideMark/>
          </w:tcPr>
          <w:p w14:paraId="33DA4F8A" w14:textId="273F2A29" w:rsidR="00B959C3" w:rsidRPr="001828CD" w:rsidRDefault="00B959C3" w:rsidP="00593823">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P-4 </w:t>
            </w:r>
          </w:p>
        </w:tc>
        <w:tc>
          <w:tcPr>
            <w:tcW w:w="1202" w:type="pct"/>
            <w:shd w:val="clear" w:color="auto" w:fill="auto"/>
            <w:vAlign w:val="center"/>
            <w:hideMark/>
          </w:tcPr>
          <w:p w14:paraId="592A211F"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7.00</w:t>
            </w:r>
          </w:p>
        </w:tc>
        <w:tc>
          <w:tcPr>
            <w:tcW w:w="1079" w:type="pct"/>
            <w:gridSpan w:val="3"/>
            <w:shd w:val="clear" w:color="auto" w:fill="auto"/>
            <w:noWrap/>
            <w:vAlign w:val="bottom"/>
            <w:hideMark/>
          </w:tcPr>
          <w:p w14:paraId="404580BF"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2</w:t>
            </w:r>
          </w:p>
        </w:tc>
        <w:tc>
          <w:tcPr>
            <w:tcW w:w="1104" w:type="pct"/>
            <w:gridSpan w:val="2"/>
            <w:shd w:val="clear" w:color="auto" w:fill="auto"/>
            <w:noWrap/>
            <w:vAlign w:val="bottom"/>
            <w:hideMark/>
          </w:tcPr>
          <w:p w14:paraId="4568FB19"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384" w:type="pct"/>
            <w:shd w:val="clear" w:color="auto" w:fill="auto"/>
            <w:noWrap/>
            <w:vAlign w:val="bottom"/>
            <w:hideMark/>
          </w:tcPr>
          <w:p w14:paraId="6775D482"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1.80</w:t>
            </w:r>
          </w:p>
        </w:tc>
      </w:tr>
      <w:tr w:rsidR="00B959C3" w:rsidRPr="001828CD" w14:paraId="3394E2EC" w14:textId="77777777" w:rsidTr="00593823">
        <w:trPr>
          <w:trHeight w:val="68"/>
        </w:trPr>
        <w:tc>
          <w:tcPr>
            <w:tcW w:w="1231" w:type="pct"/>
            <w:shd w:val="clear" w:color="auto" w:fill="auto"/>
            <w:noWrap/>
            <w:vAlign w:val="bottom"/>
            <w:hideMark/>
          </w:tcPr>
          <w:p w14:paraId="29313ECE" w14:textId="3D413CD6" w:rsidR="00B959C3" w:rsidRPr="001828CD" w:rsidRDefault="00B959C3" w:rsidP="00593823">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P-3 </w:t>
            </w:r>
          </w:p>
        </w:tc>
        <w:tc>
          <w:tcPr>
            <w:tcW w:w="1202" w:type="pct"/>
            <w:shd w:val="clear" w:color="auto" w:fill="auto"/>
            <w:vAlign w:val="center"/>
            <w:hideMark/>
          </w:tcPr>
          <w:p w14:paraId="61432546"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16.00</w:t>
            </w:r>
          </w:p>
        </w:tc>
        <w:tc>
          <w:tcPr>
            <w:tcW w:w="1079" w:type="pct"/>
            <w:gridSpan w:val="3"/>
            <w:shd w:val="clear" w:color="auto" w:fill="auto"/>
            <w:noWrap/>
            <w:vAlign w:val="bottom"/>
            <w:hideMark/>
          </w:tcPr>
          <w:p w14:paraId="67F9D05C"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4.5</w:t>
            </w:r>
          </w:p>
        </w:tc>
        <w:tc>
          <w:tcPr>
            <w:tcW w:w="1104" w:type="pct"/>
            <w:gridSpan w:val="2"/>
            <w:shd w:val="clear" w:color="auto" w:fill="auto"/>
            <w:noWrap/>
            <w:vAlign w:val="bottom"/>
            <w:hideMark/>
          </w:tcPr>
          <w:p w14:paraId="75BB42C5"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1.00</w:t>
            </w:r>
          </w:p>
        </w:tc>
        <w:tc>
          <w:tcPr>
            <w:tcW w:w="384" w:type="pct"/>
            <w:shd w:val="clear" w:color="auto" w:fill="auto"/>
            <w:noWrap/>
            <w:vAlign w:val="bottom"/>
            <w:hideMark/>
          </w:tcPr>
          <w:p w14:paraId="2BFD683E"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5.10</w:t>
            </w:r>
          </w:p>
        </w:tc>
      </w:tr>
      <w:tr w:rsidR="00B959C3" w:rsidRPr="001828CD" w14:paraId="0CD06A12" w14:textId="77777777" w:rsidTr="00593823">
        <w:trPr>
          <w:trHeight w:val="97"/>
        </w:trPr>
        <w:tc>
          <w:tcPr>
            <w:tcW w:w="1231" w:type="pct"/>
            <w:tcBorders>
              <w:bottom w:val="single" w:sz="4" w:space="0" w:color="auto"/>
            </w:tcBorders>
            <w:shd w:val="clear" w:color="auto" w:fill="auto"/>
            <w:noWrap/>
            <w:vAlign w:val="bottom"/>
            <w:hideMark/>
          </w:tcPr>
          <w:p w14:paraId="71D24DC0" w14:textId="0AC7C4B2" w:rsidR="00B959C3" w:rsidRPr="001828CD" w:rsidRDefault="00B959C3" w:rsidP="00593823">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P-2 </w:t>
            </w:r>
          </w:p>
        </w:tc>
        <w:tc>
          <w:tcPr>
            <w:tcW w:w="1202" w:type="pct"/>
            <w:tcBorders>
              <w:bottom w:val="single" w:sz="4" w:space="0" w:color="auto"/>
            </w:tcBorders>
            <w:shd w:val="clear" w:color="auto" w:fill="auto"/>
            <w:vAlign w:val="center"/>
            <w:hideMark/>
          </w:tcPr>
          <w:p w14:paraId="2BFDACAC"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2.00</w:t>
            </w:r>
          </w:p>
        </w:tc>
        <w:tc>
          <w:tcPr>
            <w:tcW w:w="1079" w:type="pct"/>
            <w:gridSpan w:val="3"/>
            <w:tcBorders>
              <w:bottom w:val="single" w:sz="4" w:space="0" w:color="auto"/>
            </w:tcBorders>
            <w:shd w:val="clear" w:color="auto" w:fill="auto"/>
            <w:noWrap/>
            <w:vAlign w:val="bottom"/>
            <w:hideMark/>
          </w:tcPr>
          <w:p w14:paraId="3DD607F2"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 </w:t>
            </w:r>
          </w:p>
        </w:tc>
        <w:tc>
          <w:tcPr>
            <w:tcW w:w="1104" w:type="pct"/>
            <w:gridSpan w:val="2"/>
            <w:tcBorders>
              <w:bottom w:val="single" w:sz="4" w:space="0" w:color="auto"/>
            </w:tcBorders>
            <w:shd w:val="clear" w:color="auto" w:fill="auto"/>
            <w:noWrap/>
            <w:vAlign w:val="bottom"/>
            <w:hideMark/>
          </w:tcPr>
          <w:p w14:paraId="56FB9100" w14:textId="77777777" w:rsidR="00B959C3" w:rsidRPr="001828CD" w:rsidRDefault="00B959C3" w:rsidP="0059382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384" w:type="pct"/>
            <w:tcBorders>
              <w:bottom w:val="single" w:sz="4" w:space="0" w:color="auto"/>
            </w:tcBorders>
            <w:shd w:val="clear" w:color="auto" w:fill="auto"/>
            <w:noWrap/>
            <w:vAlign w:val="bottom"/>
            <w:hideMark/>
          </w:tcPr>
          <w:p w14:paraId="0BF68EC9" w14:textId="77777777" w:rsidR="00B959C3" w:rsidRPr="001828CD" w:rsidRDefault="00B959C3" w:rsidP="0059382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0.40</w:t>
            </w:r>
          </w:p>
        </w:tc>
      </w:tr>
      <w:tr w:rsidR="00B959C3" w:rsidRPr="001828CD" w14:paraId="57C32FE4" w14:textId="77777777" w:rsidTr="00593823">
        <w:trPr>
          <w:trHeight w:val="58"/>
        </w:trPr>
        <w:tc>
          <w:tcPr>
            <w:tcW w:w="1231" w:type="pct"/>
            <w:tcBorders>
              <w:top w:val="single" w:sz="4" w:space="0" w:color="auto"/>
              <w:bottom w:val="single" w:sz="4" w:space="0" w:color="auto"/>
            </w:tcBorders>
            <w:shd w:val="clear" w:color="auto" w:fill="auto"/>
            <w:noWrap/>
            <w:vAlign w:val="bottom"/>
            <w:hideMark/>
          </w:tcPr>
          <w:p w14:paraId="3281FF18" w14:textId="77777777" w:rsidR="00B959C3" w:rsidRPr="001828CD" w:rsidRDefault="00B959C3" w:rsidP="00593823">
            <w:pPr>
              <w:tabs>
                <w:tab w:val="clear" w:pos="1247"/>
                <w:tab w:val="clear" w:pos="1814"/>
                <w:tab w:val="clear" w:pos="2381"/>
                <w:tab w:val="clear" w:pos="2948"/>
                <w:tab w:val="clear" w:pos="3515"/>
              </w:tabs>
              <w:spacing w:before="40" w:after="20"/>
              <w:ind w:left="340"/>
              <w:rPr>
                <w:b/>
                <w:iCs/>
                <w:color w:val="000000"/>
                <w:sz w:val="18"/>
                <w:szCs w:val="18"/>
              </w:rPr>
            </w:pPr>
            <w:r w:rsidRPr="001828CD">
              <w:rPr>
                <w:b/>
                <w:iCs/>
                <w:color w:val="000000"/>
                <w:sz w:val="18"/>
                <w:szCs w:val="18"/>
              </w:rPr>
              <w:t>Subtotal A</w:t>
            </w:r>
          </w:p>
        </w:tc>
        <w:tc>
          <w:tcPr>
            <w:tcW w:w="1202" w:type="pct"/>
            <w:tcBorders>
              <w:top w:val="single" w:sz="4" w:space="0" w:color="auto"/>
              <w:bottom w:val="single" w:sz="4" w:space="0" w:color="auto"/>
            </w:tcBorders>
            <w:shd w:val="clear" w:color="auto" w:fill="auto"/>
            <w:noWrap/>
            <w:vAlign w:val="bottom"/>
            <w:hideMark/>
          </w:tcPr>
          <w:p w14:paraId="40240B4B" w14:textId="77777777" w:rsidR="00B959C3" w:rsidRPr="001828CD" w:rsidRDefault="00B959C3" w:rsidP="00593823">
            <w:pPr>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6.80</w:t>
            </w:r>
          </w:p>
        </w:tc>
        <w:tc>
          <w:tcPr>
            <w:tcW w:w="1079" w:type="pct"/>
            <w:gridSpan w:val="3"/>
            <w:tcBorders>
              <w:top w:val="single" w:sz="4" w:space="0" w:color="auto"/>
              <w:bottom w:val="single" w:sz="4" w:space="0" w:color="auto"/>
            </w:tcBorders>
            <w:shd w:val="clear" w:color="auto" w:fill="auto"/>
            <w:noWrap/>
            <w:vAlign w:val="bottom"/>
            <w:hideMark/>
          </w:tcPr>
          <w:p w14:paraId="41D21257" w14:textId="77777777" w:rsidR="00B959C3" w:rsidRPr="001828CD" w:rsidRDefault="00B959C3" w:rsidP="00593823">
            <w:pPr>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1.30</w:t>
            </w:r>
          </w:p>
        </w:tc>
        <w:tc>
          <w:tcPr>
            <w:tcW w:w="1104" w:type="pct"/>
            <w:gridSpan w:val="2"/>
            <w:tcBorders>
              <w:top w:val="single" w:sz="4" w:space="0" w:color="auto"/>
              <w:bottom w:val="single" w:sz="4" w:space="0" w:color="auto"/>
            </w:tcBorders>
            <w:shd w:val="clear" w:color="auto" w:fill="auto"/>
            <w:noWrap/>
            <w:vAlign w:val="bottom"/>
            <w:hideMark/>
          </w:tcPr>
          <w:p w14:paraId="33166222" w14:textId="77777777" w:rsidR="00B959C3" w:rsidRPr="001828CD" w:rsidRDefault="00B959C3" w:rsidP="00593823">
            <w:pPr>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1.00</w:t>
            </w:r>
          </w:p>
        </w:tc>
        <w:tc>
          <w:tcPr>
            <w:tcW w:w="384" w:type="pct"/>
            <w:tcBorders>
              <w:top w:val="single" w:sz="4" w:space="0" w:color="auto"/>
              <w:bottom w:val="single" w:sz="4" w:space="0" w:color="auto"/>
            </w:tcBorders>
            <w:shd w:val="clear" w:color="auto" w:fill="auto"/>
            <w:noWrap/>
            <w:vAlign w:val="bottom"/>
            <w:hideMark/>
          </w:tcPr>
          <w:p w14:paraId="7CBF739C" w14:textId="77777777" w:rsidR="00B959C3" w:rsidRPr="001828CD" w:rsidRDefault="00B959C3" w:rsidP="00593823">
            <w:pPr>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9.10</w:t>
            </w:r>
          </w:p>
        </w:tc>
      </w:tr>
      <w:tr w:rsidR="00B959C3" w:rsidRPr="001828CD" w14:paraId="0EB963DF" w14:textId="77777777" w:rsidTr="00593823">
        <w:trPr>
          <w:trHeight w:val="58"/>
        </w:trPr>
        <w:tc>
          <w:tcPr>
            <w:tcW w:w="1231" w:type="pct"/>
            <w:tcBorders>
              <w:top w:val="single" w:sz="4" w:space="0" w:color="auto"/>
            </w:tcBorders>
            <w:shd w:val="clear" w:color="auto" w:fill="auto"/>
            <w:noWrap/>
            <w:vAlign w:val="bottom"/>
            <w:hideMark/>
          </w:tcPr>
          <w:p w14:paraId="7611205B" w14:textId="77777777" w:rsidR="00B959C3" w:rsidRPr="001828CD" w:rsidRDefault="00B959C3" w:rsidP="00B10477">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B. General Service category</w:t>
            </w:r>
          </w:p>
        </w:tc>
        <w:tc>
          <w:tcPr>
            <w:tcW w:w="1202" w:type="pct"/>
            <w:tcBorders>
              <w:top w:val="single" w:sz="4" w:space="0" w:color="auto"/>
            </w:tcBorders>
            <w:shd w:val="clear" w:color="auto" w:fill="auto"/>
            <w:vAlign w:val="center"/>
            <w:hideMark/>
          </w:tcPr>
          <w:p w14:paraId="0A133DCB"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center"/>
              <w:rPr>
                <w:color w:val="000000"/>
                <w:sz w:val="18"/>
                <w:szCs w:val="18"/>
              </w:rPr>
            </w:pPr>
            <w:r w:rsidRPr="001828CD">
              <w:rPr>
                <w:color w:val="000000"/>
                <w:sz w:val="18"/>
                <w:szCs w:val="18"/>
              </w:rPr>
              <w:t> </w:t>
            </w:r>
          </w:p>
        </w:tc>
        <w:tc>
          <w:tcPr>
            <w:tcW w:w="1079" w:type="pct"/>
            <w:gridSpan w:val="3"/>
            <w:tcBorders>
              <w:top w:val="single" w:sz="4" w:space="0" w:color="auto"/>
            </w:tcBorders>
            <w:shd w:val="clear" w:color="auto" w:fill="auto"/>
            <w:noWrap/>
            <w:vAlign w:val="bottom"/>
            <w:hideMark/>
          </w:tcPr>
          <w:p w14:paraId="1F365C9B" w14:textId="77777777" w:rsidR="00B959C3" w:rsidRPr="001828CD" w:rsidRDefault="00B959C3" w:rsidP="00B10477">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1104" w:type="pct"/>
            <w:gridSpan w:val="2"/>
            <w:tcBorders>
              <w:top w:val="single" w:sz="4" w:space="0" w:color="auto"/>
            </w:tcBorders>
            <w:shd w:val="clear" w:color="auto" w:fill="auto"/>
            <w:noWrap/>
            <w:vAlign w:val="bottom"/>
            <w:hideMark/>
          </w:tcPr>
          <w:p w14:paraId="038B6135" w14:textId="77777777" w:rsidR="00B959C3" w:rsidRPr="001828CD" w:rsidRDefault="00B959C3" w:rsidP="00B10477">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384" w:type="pct"/>
            <w:tcBorders>
              <w:top w:val="single" w:sz="4" w:space="0" w:color="auto"/>
            </w:tcBorders>
            <w:shd w:val="clear" w:color="auto" w:fill="auto"/>
            <w:noWrap/>
            <w:vAlign w:val="bottom"/>
            <w:hideMark/>
          </w:tcPr>
          <w:p w14:paraId="151CD8E4" w14:textId="77777777" w:rsidR="00B959C3" w:rsidRPr="001828CD" w:rsidRDefault="00B959C3" w:rsidP="00B10477">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r>
      <w:tr w:rsidR="00B959C3" w:rsidRPr="001828CD" w14:paraId="3CD6523A" w14:textId="77777777" w:rsidTr="00593823">
        <w:trPr>
          <w:trHeight w:val="68"/>
        </w:trPr>
        <w:tc>
          <w:tcPr>
            <w:tcW w:w="1231" w:type="pct"/>
            <w:tcBorders>
              <w:bottom w:val="single" w:sz="4" w:space="0" w:color="auto"/>
            </w:tcBorders>
            <w:shd w:val="clear" w:color="auto" w:fill="auto"/>
            <w:noWrap/>
            <w:vAlign w:val="bottom"/>
            <w:hideMark/>
          </w:tcPr>
          <w:p w14:paraId="79390899" w14:textId="2CD1AA2C" w:rsidR="00B959C3" w:rsidRPr="001828CD" w:rsidRDefault="00B959C3" w:rsidP="00B10477">
            <w:pPr>
              <w:keepNext/>
              <w:keepLines/>
              <w:tabs>
                <w:tab w:val="clear" w:pos="1247"/>
                <w:tab w:val="clear" w:pos="1814"/>
                <w:tab w:val="clear" w:pos="2381"/>
                <w:tab w:val="clear" w:pos="2948"/>
                <w:tab w:val="clear" w:pos="3515"/>
              </w:tabs>
              <w:spacing w:before="40" w:after="20"/>
              <w:ind w:left="227"/>
              <w:rPr>
                <w:color w:val="000000"/>
                <w:sz w:val="18"/>
                <w:szCs w:val="18"/>
              </w:rPr>
            </w:pPr>
          </w:p>
        </w:tc>
        <w:tc>
          <w:tcPr>
            <w:tcW w:w="1202" w:type="pct"/>
            <w:tcBorders>
              <w:bottom w:val="single" w:sz="4" w:space="0" w:color="auto"/>
            </w:tcBorders>
            <w:shd w:val="clear" w:color="auto" w:fill="auto"/>
            <w:vAlign w:val="center"/>
            <w:hideMark/>
          </w:tcPr>
          <w:p w14:paraId="1C0BC454"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12.00</w:t>
            </w:r>
          </w:p>
        </w:tc>
        <w:tc>
          <w:tcPr>
            <w:tcW w:w="1079" w:type="pct"/>
            <w:gridSpan w:val="3"/>
            <w:tcBorders>
              <w:bottom w:val="single" w:sz="4" w:space="0" w:color="auto"/>
            </w:tcBorders>
            <w:shd w:val="clear" w:color="auto" w:fill="auto"/>
            <w:noWrap/>
            <w:vAlign w:val="bottom"/>
            <w:hideMark/>
          </w:tcPr>
          <w:p w14:paraId="0A778FFA"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20% of 4</w:t>
            </w:r>
          </w:p>
        </w:tc>
        <w:tc>
          <w:tcPr>
            <w:tcW w:w="1104" w:type="pct"/>
            <w:gridSpan w:val="2"/>
            <w:tcBorders>
              <w:bottom w:val="single" w:sz="4" w:space="0" w:color="auto"/>
            </w:tcBorders>
            <w:shd w:val="clear" w:color="auto" w:fill="auto"/>
            <w:noWrap/>
            <w:vAlign w:val="bottom"/>
            <w:hideMark/>
          </w:tcPr>
          <w:p w14:paraId="27DB2BE9"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1.00</w:t>
            </w:r>
          </w:p>
        </w:tc>
        <w:tc>
          <w:tcPr>
            <w:tcW w:w="384" w:type="pct"/>
            <w:tcBorders>
              <w:bottom w:val="single" w:sz="4" w:space="0" w:color="auto"/>
            </w:tcBorders>
            <w:shd w:val="clear" w:color="auto" w:fill="auto"/>
            <w:noWrap/>
            <w:vAlign w:val="bottom"/>
            <w:hideMark/>
          </w:tcPr>
          <w:p w14:paraId="1E304511"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4.20</w:t>
            </w:r>
          </w:p>
        </w:tc>
      </w:tr>
      <w:tr w:rsidR="00B959C3" w:rsidRPr="001828CD" w14:paraId="51BF5BCC" w14:textId="77777777" w:rsidTr="00593823">
        <w:trPr>
          <w:trHeight w:val="58"/>
        </w:trPr>
        <w:tc>
          <w:tcPr>
            <w:tcW w:w="1231" w:type="pct"/>
            <w:tcBorders>
              <w:top w:val="single" w:sz="4" w:space="0" w:color="auto"/>
              <w:bottom w:val="single" w:sz="4" w:space="0" w:color="auto"/>
            </w:tcBorders>
            <w:shd w:val="clear" w:color="auto" w:fill="auto"/>
            <w:noWrap/>
            <w:vAlign w:val="bottom"/>
            <w:hideMark/>
          </w:tcPr>
          <w:p w14:paraId="051D45A1" w14:textId="77777777" w:rsidR="00B959C3" w:rsidRPr="001828CD" w:rsidRDefault="00B959C3" w:rsidP="00B10477">
            <w:pPr>
              <w:keepNext/>
              <w:keepLines/>
              <w:tabs>
                <w:tab w:val="clear" w:pos="1247"/>
                <w:tab w:val="clear" w:pos="1814"/>
                <w:tab w:val="clear" w:pos="2381"/>
                <w:tab w:val="clear" w:pos="2948"/>
                <w:tab w:val="clear" w:pos="3515"/>
              </w:tabs>
              <w:spacing w:before="40" w:after="20"/>
              <w:ind w:left="340"/>
              <w:rPr>
                <w:i/>
                <w:iCs/>
                <w:color w:val="000000"/>
                <w:sz w:val="18"/>
                <w:szCs w:val="18"/>
              </w:rPr>
            </w:pPr>
            <w:r w:rsidRPr="001828CD">
              <w:rPr>
                <w:b/>
                <w:iCs/>
                <w:color w:val="000000"/>
                <w:sz w:val="18"/>
                <w:szCs w:val="18"/>
              </w:rPr>
              <w:t>Subtotal B</w:t>
            </w:r>
          </w:p>
        </w:tc>
        <w:tc>
          <w:tcPr>
            <w:tcW w:w="1202" w:type="pct"/>
            <w:tcBorders>
              <w:top w:val="single" w:sz="4" w:space="0" w:color="auto"/>
              <w:bottom w:val="single" w:sz="4" w:space="0" w:color="auto"/>
            </w:tcBorders>
            <w:shd w:val="clear" w:color="auto" w:fill="auto"/>
            <w:noWrap/>
            <w:vAlign w:val="bottom"/>
            <w:hideMark/>
          </w:tcPr>
          <w:p w14:paraId="4F04DAB3"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2.40</w:t>
            </w:r>
          </w:p>
        </w:tc>
        <w:tc>
          <w:tcPr>
            <w:tcW w:w="1079" w:type="pct"/>
            <w:gridSpan w:val="3"/>
            <w:tcBorders>
              <w:top w:val="single" w:sz="4" w:space="0" w:color="auto"/>
              <w:bottom w:val="single" w:sz="4" w:space="0" w:color="auto"/>
            </w:tcBorders>
            <w:shd w:val="clear" w:color="auto" w:fill="auto"/>
            <w:noWrap/>
            <w:vAlign w:val="bottom"/>
            <w:hideMark/>
          </w:tcPr>
          <w:p w14:paraId="0846DB20"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0.80</w:t>
            </w:r>
          </w:p>
        </w:tc>
        <w:tc>
          <w:tcPr>
            <w:tcW w:w="1104" w:type="pct"/>
            <w:gridSpan w:val="2"/>
            <w:tcBorders>
              <w:top w:val="single" w:sz="4" w:space="0" w:color="auto"/>
              <w:bottom w:val="single" w:sz="4" w:space="0" w:color="auto"/>
            </w:tcBorders>
            <w:shd w:val="clear" w:color="auto" w:fill="auto"/>
            <w:noWrap/>
            <w:vAlign w:val="bottom"/>
            <w:hideMark/>
          </w:tcPr>
          <w:p w14:paraId="215102CA"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1.00</w:t>
            </w:r>
          </w:p>
        </w:tc>
        <w:tc>
          <w:tcPr>
            <w:tcW w:w="384" w:type="pct"/>
            <w:tcBorders>
              <w:top w:val="single" w:sz="4" w:space="0" w:color="auto"/>
              <w:bottom w:val="single" w:sz="4" w:space="0" w:color="auto"/>
            </w:tcBorders>
            <w:shd w:val="clear" w:color="auto" w:fill="auto"/>
            <w:noWrap/>
            <w:vAlign w:val="bottom"/>
            <w:hideMark/>
          </w:tcPr>
          <w:p w14:paraId="3BE4C0A5" w14:textId="77777777" w:rsidR="00B959C3" w:rsidRPr="001828CD" w:rsidRDefault="00B959C3" w:rsidP="00B1047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4.20</w:t>
            </w:r>
          </w:p>
        </w:tc>
      </w:tr>
      <w:tr w:rsidR="00B959C3" w:rsidRPr="001828CD" w14:paraId="7429074D" w14:textId="77777777" w:rsidTr="00593823">
        <w:trPr>
          <w:trHeight w:val="58"/>
        </w:trPr>
        <w:tc>
          <w:tcPr>
            <w:tcW w:w="1231" w:type="pct"/>
            <w:tcBorders>
              <w:top w:val="single" w:sz="4" w:space="0" w:color="auto"/>
              <w:bottom w:val="single" w:sz="12" w:space="0" w:color="auto"/>
            </w:tcBorders>
            <w:shd w:val="clear" w:color="auto" w:fill="auto"/>
            <w:noWrap/>
            <w:vAlign w:val="bottom"/>
            <w:hideMark/>
          </w:tcPr>
          <w:p w14:paraId="3531837E" w14:textId="77777777" w:rsidR="00B959C3" w:rsidRPr="001828CD" w:rsidRDefault="00B959C3" w:rsidP="00593823">
            <w:pPr>
              <w:tabs>
                <w:tab w:val="clear" w:pos="1247"/>
                <w:tab w:val="clear" w:pos="1814"/>
                <w:tab w:val="clear" w:pos="2381"/>
                <w:tab w:val="clear" w:pos="2948"/>
                <w:tab w:val="clear" w:pos="3515"/>
              </w:tabs>
              <w:spacing w:before="40" w:after="20"/>
              <w:ind w:left="340"/>
              <w:rPr>
                <w:b/>
                <w:bCs/>
                <w:color w:val="000000"/>
                <w:sz w:val="18"/>
                <w:szCs w:val="18"/>
              </w:rPr>
            </w:pPr>
            <w:r w:rsidRPr="001828CD">
              <w:rPr>
                <w:b/>
                <w:bCs/>
                <w:color w:val="000000"/>
                <w:sz w:val="18"/>
                <w:szCs w:val="18"/>
              </w:rPr>
              <w:t>TOTAL (A+B)</w:t>
            </w:r>
          </w:p>
        </w:tc>
        <w:tc>
          <w:tcPr>
            <w:tcW w:w="1202" w:type="pct"/>
            <w:tcBorders>
              <w:top w:val="single" w:sz="4" w:space="0" w:color="auto"/>
              <w:bottom w:val="single" w:sz="12" w:space="0" w:color="auto"/>
            </w:tcBorders>
            <w:shd w:val="clear" w:color="auto" w:fill="auto"/>
            <w:vAlign w:val="center"/>
            <w:hideMark/>
          </w:tcPr>
          <w:p w14:paraId="478E3F35" w14:textId="77777777" w:rsidR="00B959C3" w:rsidRPr="001828CD" w:rsidRDefault="00B959C3" w:rsidP="00593823">
            <w:pPr>
              <w:tabs>
                <w:tab w:val="clear" w:pos="1247"/>
                <w:tab w:val="clear" w:pos="1814"/>
                <w:tab w:val="clear" w:pos="2381"/>
                <w:tab w:val="clear" w:pos="2948"/>
                <w:tab w:val="clear" w:pos="3515"/>
              </w:tabs>
              <w:spacing w:before="40" w:after="20"/>
              <w:jc w:val="right"/>
              <w:rPr>
                <w:b/>
                <w:bCs/>
                <w:color w:val="000000"/>
                <w:sz w:val="18"/>
                <w:szCs w:val="18"/>
              </w:rPr>
            </w:pPr>
            <w:r w:rsidRPr="001828CD">
              <w:rPr>
                <w:b/>
                <w:bCs/>
                <w:color w:val="000000"/>
                <w:sz w:val="18"/>
                <w:szCs w:val="18"/>
              </w:rPr>
              <w:t>9.20</w:t>
            </w:r>
          </w:p>
        </w:tc>
        <w:tc>
          <w:tcPr>
            <w:tcW w:w="1079" w:type="pct"/>
            <w:gridSpan w:val="3"/>
            <w:tcBorders>
              <w:top w:val="single" w:sz="4" w:space="0" w:color="auto"/>
              <w:bottom w:val="single" w:sz="12" w:space="0" w:color="auto"/>
            </w:tcBorders>
            <w:shd w:val="clear" w:color="auto" w:fill="auto"/>
            <w:noWrap/>
            <w:vAlign w:val="bottom"/>
            <w:hideMark/>
          </w:tcPr>
          <w:p w14:paraId="371BA434" w14:textId="77777777" w:rsidR="00B959C3" w:rsidRPr="001828CD" w:rsidRDefault="00B959C3" w:rsidP="00593823">
            <w:pPr>
              <w:tabs>
                <w:tab w:val="clear" w:pos="1247"/>
                <w:tab w:val="clear" w:pos="1814"/>
                <w:tab w:val="clear" w:pos="2381"/>
                <w:tab w:val="clear" w:pos="2948"/>
                <w:tab w:val="clear" w:pos="3515"/>
              </w:tabs>
              <w:spacing w:before="40" w:after="20"/>
              <w:jc w:val="right"/>
              <w:rPr>
                <w:b/>
                <w:bCs/>
                <w:color w:val="000000"/>
                <w:sz w:val="18"/>
                <w:szCs w:val="18"/>
              </w:rPr>
            </w:pPr>
            <w:r w:rsidRPr="001828CD">
              <w:rPr>
                <w:b/>
                <w:bCs/>
                <w:color w:val="000000"/>
                <w:sz w:val="18"/>
                <w:szCs w:val="18"/>
              </w:rPr>
              <w:t>2.10</w:t>
            </w:r>
          </w:p>
        </w:tc>
        <w:tc>
          <w:tcPr>
            <w:tcW w:w="1104" w:type="pct"/>
            <w:gridSpan w:val="2"/>
            <w:tcBorders>
              <w:top w:val="single" w:sz="4" w:space="0" w:color="auto"/>
              <w:bottom w:val="single" w:sz="12" w:space="0" w:color="auto"/>
            </w:tcBorders>
            <w:shd w:val="clear" w:color="auto" w:fill="auto"/>
            <w:noWrap/>
            <w:vAlign w:val="bottom"/>
            <w:hideMark/>
          </w:tcPr>
          <w:p w14:paraId="3A773176" w14:textId="77777777" w:rsidR="00B959C3" w:rsidRPr="001828CD" w:rsidRDefault="00B959C3" w:rsidP="00593823">
            <w:pPr>
              <w:tabs>
                <w:tab w:val="clear" w:pos="1247"/>
                <w:tab w:val="clear" w:pos="1814"/>
                <w:tab w:val="clear" w:pos="2381"/>
                <w:tab w:val="clear" w:pos="2948"/>
                <w:tab w:val="clear" w:pos="3515"/>
              </w:tabs>
              <w:spacing w:before="40" w:after="20"/>
              <w:jc w:val="right"/>
              <w:rPr>
                <w:b/>
                <w:bCs/>
                <w:color w:val="000000"/>
                <w:sz w:val="18"/>
                <w:szCs w:val="18"/>
              </w:rPr>
            </w:pPr>
            <w:r w:rsidRPr="001828CD">
              <w:rPr>
                <w:b/>
                <w:bCs/>
                <w:color w:val="000000"/>
                <w:sz w:val="18"/>
                <w:szCs w:val="18"/>
              </w:rPr>
              <w:t>2.00</w:t>
            </w:r>
          </w:p>
        </w:tc>
        <w:tc>
          <w:tcPr>
            <w:tcW w:w="384" w:type="pct"/>
            <w:tcBorders>
              <w:top w:val="single" w:sz="4" w:space="0" w:color="auto"/>
              <w:bottom w:val="single" w:sz="12" w:space="0" w:color="auto"/>
            </w:tcBorders>
            <w:shd w:val="clear" w:color="auto" w:fill="auto"/>
            <w:noWrap/>
            <w:vAlign w:val="bottom"/>
            <w:hideMark/>
          </w:tcPr>
          <w:p w14:paraId="09B15C27" w14:textId="77777777" w:rsidR="00B959C3" w:rsidRPr="001828CD" w:rsidRDefault="00B959C3" w:rsidP="00593823">
            <w:pPr>
              <w:tabs>
                <w:tab w:val="clear" w:pos="1247"/>
                <w:tab w:val="clear" w:pos="1814"/>
                <w:tab w:val="clear" w:pos="2381"/>
                <w:tab w:val="clear" w:pos="2948"/>
                <w:tab w:val="clear" w:pos="3515"/>
              </w:tabs>
              <w:spacing w:before="40" w:after="20"/>
              <w:jc w:val="right"/>
              <w:rPr>
                <w:b/>
                <w:bCs/>
                <w:color w:val="000000"/>
                <w:sz w:val="18"/>
                <w:szCs w:val="18"/>
              </w:rPr>
            </w:pPr>
            <w:r w:rsidRPr="001828CD">
              <w:rPr>
                <w:b/>
                <w:bCs/>
                <w:color w:val="000000"/>
                <w:sz w:val="18"/>
                <w:szCs w:val="18"/>
              </w:rPr>
              <w:t>13.30</w:t>
            </w:r>
          </w:p>
        </w:tc>
      </w:tr>
      <w:tr w:rsidR="00B959C3" w:rsidRPr="001828CD" w14:paraId="7453FF02" w14:textId="77777777" w:rsidTr="00593823">
        <w:trPr>
          <w:trHeight w:val="58"/>
        </w:trPr>
        <w:tc>
          <w:tcPr>
            <w:tcW w:w="1231" w:type="pct"/>
            <w:tcBorders>
              <w:top w:val="single" w:sz="12" w:space="0" w:color="auto"/>
              <w:bottom w:val="single" w:sz="12" w:space="0" w:color="auto"/>
            </w:tcBorders>
            <w:shd w:val="clear" w:color="auto" w:fill="auto"/>
            <w:noWrap/>
            <w:vAlign w:val="bottom"/>
            <w:hideMark/>
          </w:tcPr>
          <w:p w14:paraId="650A0B95" w14:textId="77777777" w:rsidR="00B959C3" w:rsidRPr="001828CD" w:rsidRDefault="00B959C3" w:rsidP="00593823">
            <w:pPr>
              <w:tabs>
                <w:tab w:val="clear" w:pos="1247"/>
                <w:tab w:val="clear" w:pos="1814"/>
                <w:tab w:val="clear" w:pos="2381"/>
                <w:tab w:val="clear" w:pos="2948"/>
                <w:tab w:val="clear" w:pos="3515"/>
              </w:tabs>
              <w:spacing w:before="40" w:after="20"/>
              <w:ind w:left="284"/>
              <w:rPr>
                <w:iCs/>
                <w:color w:val="000000"/>
                <w:sz w:val="18"/>
                <w:szCs w:val="18"/>
              </w:rPr>
            </w:pPr>
            <w:r w:rsidRPr="001828CD">
              <w:rPr>
                <w:iCs/>
                <w:color w:val="000000"/>
                <w:sz w:val="18"/>
                <w:szCs w:val="18"/>
              </w:rPr>
              <w:t>Remarks</w:t>
            </w:r>
          </w:p>
        </w:tc>
        <w:tc>
          <w:tcPr>
            <w:tcW w:w="1202" w:type="pct"/>
            <w:tcBorders>
              <w:top w:val="single" w:sz="12" w:space="0" w:color="auto"/>
              <w:bottom w:val="single" w:sz="12" w:space="0" w:color="auto"/>
            </w:tcBorders>
            <w:shd w:val="clear" w:color="auto" w:fill="auto"/>
            <w:noWrap/>
            <w:vAlign w:val="bottom"/>
            <w:hideMark/>
          </w:tcPr>
          <w:p w14:paraId="4D6B41A6" w14:textId="77777777" w:rsidR="00B959C3" w:rsidRPr="001828CD" w:rsidRDefault="00B959C3" w:rsidP="0059382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a</w:t>
            </w:r>
          </w:p>
        </w:tc>
        <w:tc>
          <w:tcPr>
            <w:tcW w:w="1079" w:type="pct"/>
            <w:gridSpan w:val="3"/>
            <w:tcBorders>
              <w:top w:val="single" w:sz="12" w:space="0" w:color="auto"/>
              <w:bottom w:val="single" w:sz="12" w:space="0" w:color="auto"/>
            </w:tcBorders>
            <w:shd w:val="clear" w:color="auto" w:fill="auto"/>
            <w:noWrap/>
            <w:vAlign w:val="bottom"/>
            <w:hideMark/>
          </w:tcPr>
          <w:p w14:paraId="26C25413" w14:textId="77777777" w:rsidR="00B959C3" w:rsidRPr="001828CD" w:rsidRDefault="00B959C3" w:rsidP="0059382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b</w:t>
            </w:r>
          </w:p>
        </w:tc>
        <w:tc>
          <w:tcPr>
            <w:tcW w:w="1104" w:type="pct"/>
            <w:gridSpan w:val="2"/>
            <w:tcBorders>
              <w:top w:val="single" w:sz="12" w:space="0" w:color="auto"/>
              <w:bottom w:val="single" w:sz="12" w:space="0" w:color="auto"/>
            </w:tcBorders>
            <w:shd w:val="clear" w:color="auto" w:fill="auto"/>
            <w:noWrap/>
            <w:vAlign w:val="bottom"/>
            <w:hideMark/>
          </w:tcPr>
          <w:p w14:paraId="08201D6B" w14:textId="77777777" w:rsidR="00B959C3" w:rsidRPr="001828CD" w:rsidRDefault="00B959C3" w:rsidP="0059382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c</w:t>
            </w:r>
          </w:p>
        </w:tc>
        <w:tc>
          <w:tcPr>
            <w:tcW w:w="384" w:type="pct"/>
            <w:tcBorders>
              <w:top w:val="single" w:sz="12" w:space="0" w:color="auto"/>
              <w:bottom w:val="single" w:sz="12" w:space="0" w:color="auto"/>
            </w:tcBorders>
            <w:shd w:val="clear" w:color="auto" w:fill="auto"/>
            <w:noWrap/>
            <w:vAlign w:val="bottom"/>
            <w:hideMark/>
          </w:tcPr>
          <w:p w14:paraId="53155468" w14:textId="77777777" w:rsidR="00B959C3" w:rsidRPr="001828CD" w:rsidRDefault="00B959C3" w:rsidP="00593823">
            <w:pPr>
              <w:tabs>
                <w:tab w:val="clear" w:pos="1247"/>
                <w:tab w:val="clear" w:pos="1814"/>
                <w:tab w:val="clear" w:pos="2381"/>
                <w:tab w:val="clear" w:pos="2948"/>
                <w:tab w:val="clear" w:pos="3515"/>
              </w:tabs>
              <w:spacing w:before="40" w:after="20"/>
              <w:rPr>
                <w:i/>
                <w:iCs/>
                <w:color w:val="000000"/>
                <w:sz w:val="18"/>
                <w:szCs w:val="18"/>
              </w:rPr>
            </w:pPr>
            <w:r w:rsidRPr="001828CD">
              <w:rPr>
                <w:i/>
                <w:iCs/>
                <w:color w:val="000000"/>
                <w:sz w:val="18"/>
                <w:szCs w:val="18"/>
              </w:rPr>
              <w:t> </w:t>
            </w:r>
          </w:p>
        </w:tc>
      </w:tr>
      <w:tr w:rsidR="00B959C3" w:rsidRPr="001828CD" w14:paraId="7F0B173E" w14:textId="77777777" w:rsidTr="00593823">
        <w:trPr>
          <w:trHeight w:val="58"/>
        </w:trPr>
        <w:tc>
          <w:tcPr>
            <w:tcW w:w="5000" w:type="pct"/>
            <w:gridSpan w:val="8"/>
            <w:tcBorders>
              <w:top w:val="single" w:sz="12" w:space="0" w:color="auto"/>
              <w:bottom w:val="single" w:sz="4" w:space="0" w:color="auto"/>
            </w:tcBorders>
            <w:shd w:val="clear" w:color="auto" w:fill="auto"/>
            <w:hideMark/>
          </w:tcPr>
          <w:p w14:paraId="556AD8C6" w14:textId="77777777" w:rsidR="00B959C3" w:rsidRPr="001828CD" w:rsidRDefault="00B959C3" w:rsidP="00B10477">
            <w:pPr>
              <w:keepNext/>
              <w:keepLines/>
              <w:tabs>
                <w:tab w:val="clear" w:pos="1247"/>
                <w:tab w:val="clear" w:pos="1814"/>
                <w:tab w:val="clear" w:pos="2381"/>
                <w:tab w:val="clear" w:pos="2948"/>
                <w:tab w:val="clear" w:pos="3515"/>
              </w:tabs>
              <w:spacing w:before="80" w:after="40"/>
              <w:rPr>
                <w:b/>
                <w:bCs/>
                <w:color w:val="000000"/>
                <w:sz w:val="18"/>
                <w:szCs w:val="18"/>
              </w:rPr>
            </w:pPr>
            <w:r w:rsidRPr="001828CD">
              <w:rPr>
                <w:bCs/>
                <w:color w:val="000000"/>
                <w:sz w:val="18"/>
                <w:szCs w:val="18"/>
              </w:rPr>
              <w:t xml:space="preserve">Option 1 (b) (branch): Merging the secretariat of the Minamata Convention into the secretariat of the Basel, Rotterdam and Stockholm conventions by creating, in the interim, a Minamata Convention branch </w:t>
            </w:r>
            <w:r w:rsidRPr="001828CD">
              <w:rPr>
                <w:bCs/>
                <w:color w:val="000000"/>
                <w:sz w:val="18"/>
                <w:szCs w:val="18"/>
              </w:rPr>
              <w:br/>
              <w:t>(location: Geneva)</w:t>
            </w:r>
          </w:p>
        </w:tc>
      </w:tr>
      <w:tr w:rsidR="00B959C3" w:rsidRPr="001828CD" w14:paraId="2E655D22" w14:textId="77777777" w:rsidTr="00593823">
        <w:trPr>
          <w:trHeight w:val="300"/>
        </w:trPr>
        <w:tc>
          <w:tcPr>
            <w:tcW w:w="1231" w:type="pct"/>
            <w:vMerge w:val="restart"/>
            <w:tcBorders>
              <w:top w:val="single" w:sz="4" w:space="0" w:color="auto"/>
              <w:bottom w:val="single" w:sz="12" w:space="0" w:color="auto"/>
            </w:tcBorders>
            <w:shd w:val="clear" w:color="auto" w:fill="auto"/>
            <w:noWrap/>
            <w:vAlign w:val="bottom"/>
            <w:hideMark/>
          </w:tcPr>
          <w:p w14:paraId="67879444" w14:textId="77777777" w:rsidR="00B959C3" w:rsidRPr="001828CD" w:rsidRDefault="00B959C3" w:rsidP="00B10477">
            <w:pPr>
              <w:tabs>
                <w:tab w:val="clear" w:pos="1247"/>
                <w:tab w:val="clear" w:pos="1814"/>
                <w:tab w:val="clear" w:pos="2381"/>
                <w:tab w:val="clear" w:pos="2948"/>
                <w:tab w:val="clear" w:pos="3515"/>
              </w:tabs>
              <w:spacing w:before="20" w:after="20"/>
              <w:rPr>
                <w:bCs/>
                <w:color w:val="000000"/>
                <w:sz w:val="18"/>
                <w:szCs w:val="18"/>
              </w:rPr>
            </w:pPr>
            <w:r w:rsidRPr="001828CD">
              <w:rPr>
                <w:bCs/>
                <w:color w:val="000000"/>
                <w:sz w:val="18"/>
                <w:szCs w:val="18"/>
              </w:rPr>
              <w:t>Staff category and level</w:t>
            </w:r>
          </w:p>
        </w:tc>
        <w:tc>
          <w:tcPr>
            <w:tcW w:w="3769" w:type="pct"/>
            <w:gridSpan w:val="7"/>
            <w:tcBorders>
              <w:top w:val="single" w:sz="4" w:space="0" w:color="auto"/>
              <w:bottom w:val="single" w:sz="4" w:space="0" w:color="auto"/>
            </w:tcBorders>
            <w:shd w:val="clear" w:color="auto" w:fill="auto"/>
            <w:noWrap/>
            <w:vAlign w:val="bottom"/>
            <w:hideMark/>
          </w:tcPr>
          <w:p w14:paraId="574FE086" w14:textId="77777777" w:rsidR="00B959C3" w:rsidRPr="001828CD" w:rsidRDefault="00B959C3" w:rsidP="00B10477">
            <w:pPr>
              <w:tabs>
                <w:tab w:val="clear" w:pos="1247"/>
                <w:tab w:val="clear" w:pos="1814"/>
                <w:tab w:val="clear" w:pos="2381"/>
                <w:tab w:val="clear" w:pos="2948"/>
                <w:tab w:val="clear" w:pos="3515"/>
              </w:tabs>
              <w:spacing w:before="20" w:after="20"/>
              <w:jc w:val="center"/>
              <w:rPr>
                <w:bCs/>
                <w:i/>
                <w:color w:val="000000"/>
                <w:sz w:val="18"/>
                <w:szCs w:val="18"/>
              </w:rPr>
            </w:pPr>
            <w:r w:rsidRPr="001828CD">
              <w:rPr>
                <w:bCs/>
                <w:i/>
                <w:color w:val="000000"/>
                <w:sz w:val="18"/>
                <w:szCs w:val="18"/>
              </w:rPr>
              <w:t>Total proposed for the Minamata Convention secretariat 2018–2019</w:t>
            </w:r>
          </w:p>
        </w:tc>
      </w:tr>
      <w:tr w:rsidR="00B959C3" w:rsidRPr="001828CD" w14:paraId="49DC1DC9" w14:textId="77777777" w:rsidTr="00593823">
        <w:trPr>
          <w:trHeight w:val="261"/>
        </w:trPr>
        <w:tc>
          <w:tcPr>
            <w:tcW w:w="1231" w:type="pct"/>
            <w:vMerge/>
            <w:tcBorders>
              <w:bottom w:val="single" w:sz="12" w:space="0" w:color="auto"/>
            </w:tcBorders>
            <w:vAlign w:val="bottom"/>
            <w:hideMark/>
          </w:tcPr>
          <w:p w14:paraId="01B29CC6" w14:textId="77777777" w:rsidR="00B959C3" w:rsidRPr="001828CD" w:rsidRDefault="00B959C3" w:rsidP="00B10477">
            <w:pPr>
              <w:tabs>
                <w:tab w:val="clear" w:pos="1247"/>
                <w:tab w:val="clear" w:pos="1814"/>
                <w:tab w:val="clear" w:pos="2381"/>
                <w:tab w:val="clear" w:pos="2948"/>
                <w:tab w:val="clear" w:pos="3515"/>
              </w:tabs>
              <w:spacing w:before="20" w:after="20"/>
              <w:ind w:left="1400"/>
              <w:rPr>
                <w:bCs/>
                <w:i/>
                <w:color w:val="000000"/>
                <w:sz w:val="18"/>
                <w:szCs w:val="18"/>
              </w:rPr>
            </w:pPr>
          </w:p>
        </w:tc>
        <w:tc>
          <w:tcPr>
            <w:tcW w:w="1202" w:type="pct"/>
            <w:tcBorders>
              <w:bottom w:val="single" w:sz="12" w:space="0" w:color="auto"/>
            </w:tcBorders>
            <w:shd w:val="clear" w:color="auto" w:fill="auto"/>
            <w:vAlign w:val="center"/>
            <w:hideMark/>
          </w:tcPr>
          <w:p w14:paraId="3C350CFB" w14:textId="77777777" w:rsidR="00B959C3" w:rsidRPr="001828CD" w:rsidRDefault="00B959C3" w:rsidP="00B10477">
            <w:pPr>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Minamata Convention-funded Basel, Rotterdam, Stockholm</w:t>
            </w:r>
            <w:r w:rsidRPr="001828CD" w:rsidDel="006123AC">
              <w:rPr>
                <w:bCs/>
                <w:i/>
                <w:color w:val="000000"/>
                <w:sz w:val="18"/>
                <w:szCs w:val="18"/>
              </w:rPr>
              <w:t xml:space="preserve"> </w:t>
            </w:r>
            <w:r w:rsidRPr="001828CD">
              <w:rPr>
                <w:bCs/>
                <w:i/>
                <w:color w:val="000000"/>
                <w:sz w:val="18"/>
                <w:szCs w:val="18"/>
              </w:rPr>
              <w:t>and Minamata conventions posts</w:t>
            </w:r>
          </w:p>
        </w:tc>
        <w:tc>
          <w:tcPr>
            <w:tcW w:w="1079" w:type="pct"/>
            <w:gridSpan w:val="3"/>
            <w:tcBorders>
              <w:bottom w:val="single" w:sz="12" w:space="0" w:color="auto"/>
            </w:tcBorders>
            <w:shd w:val="clear" w:color="auto" w:fill="auto"/>
            <w:vAlign w:val="center"/>
            <w:hideMark/>
          </w:tcPr>
          <w:p w14:paraId="5A3FC3BD" w14:textId="77777777" w:rsidR="00B959C3" w:rsidRPr="001828CD" w:rsidRDefault="00B959C3" w:rsidP="00B10477">
            <w:pPr>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New Minamata Convention-funded posts</w:t>
            </w:r>
          </w:p>
        </w:tc>
        <w:tc>
          <w:tcPr>
            <w:tcW w:w="1104" w:type="pct"/>
            <w:gridSpan w:val="2"/>
            <w:tcBorders>
              <w:bottom w:val="single" w:sz="12" w:space="0" w:color="auto"/>
            </w:tcBorders>
            <w:shd w:val="clear" w:color="auto" w:fill="auto"/>
            <w:vAlign w:val="center"/>
            <w:hideMark/>
          </w:tcPr>
          <w:p w14:paraId="5B45103C" w14:textId="77777777" w:rsidR="00B959C3" w:rsidRPr="001828CD" w:rsidRDefault="00B959C3" w:rsidP="00B10477">
            <w:pPr>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Minamata Convention posts funded by programme support costs</w:t>
            </w:r>
          </w:p>
        </w:tc>
        <w:tc>
          <w:tcPr>
            <w:tcW w:w="384" w:type="pct"/>
            <w:tcBorders>
              <w:bottom w:val="single" w:sz="12" w:space="0" w:color="auto"/>
            </w:tcBorders>
            <w:shd w:val="clear" w:color="auto" w:fill="auto"/>
            <w:noWrap/>
            <w:vAlign w:val="center"/>
            <w:hideMark/>
          </w:tcPr>
          <w:p w14:paraId="038CC131" w14:textId="77777777" w:rsidR="00B959C3" w:rsidRPr="001828CD" w:rsidRDefault="00B959C3" w:rsidP="00B10477">
            <w:pPr>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Total</w:t>
            </w:r>
          </w:p>
        </w:tc>
      </w:tr>
      <w:tr w:rsidR="00B959C3" w:rsidRPr="001828CD" w14:paraId="7499716C" w14:textId="77777777" w:rsidTr="00593823">
        <w:trPr>
          <w:trHeight w:val="58"/>
        </w:trPr>
        <w:tc>
          <w:tcPr>
            <w:tcW w:w="1231" w:type="pct"/>
            <w:tcBorders>
              <w:top w:val="single" w:sz="12" w:space="0" w:color="auto"/>
            </w:tcBorders>
            <w:shd w:val="clear" w:color="auto" w:fill="auto"/>
            <w:noWrap/>
            <w:vAlign w:val="bottom"/>
            <w:hideMark/>
          </w:tcPr>
          <w:p w14:paraId="1C6F8F93" w14:textId="77777777" w:rsidR="00B959C3" w:rsidRPr="001828CD" w:rsidRDefault="00B959C3" w:rsidP="00B10477">
            <w:pPr>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A. Professional categories</w:t>
            </w:r>
          </w:p>
        </w:tc>
        <w:tc>
          <w:tcPr>
            <w:tcW w:w="1202" w:type="pct"/>
            <w:tcBorders>
              <w:top w:val="single" w:sz="12" w:space="0" w:color="auto"/>
            </w:tcBorders>
            <w:shd w:val="clear" w:color="auto" w:fill="auto"/>
            <w:noWrap/>
            <w:vAlign w:val="bottom"/>
            <w:hideMark/>
          </w:tcPr>
          <w:p w14:paraId="7EE3AEEC"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079" w:type="pct"/>
            <w:gridSpan w:val="3"/>
            <w:tcBorders>
              <w:top w:val="single" w:sz="12" w:space="0" w:color="auto"/>
            </w:tcBorders>
            <w:shd w:val="clear" w:color="auto" w:fill="auto"/>
            <w:noWrap/>
            <w:vAlign w:val="bottom"/>
            <w:hideMark/>
          </w:tcPr>
          <w:p w14:paraId="7FBAA099"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104" w:type="pct"/>
            <w:gridSpan w:val="2"/>
            <w:tcBorders>
              <w:top w:val="single" w:sz="12" w:space="0" w:color="auto"/>
            </w:tcBorders>
            <w:shd w:val="clear" w:color="auto" w:fill="auto"/>
            <w:noWrap/>
            <w:vAlign w:val="bottom"/>
            <w:hideMark/>
          </w:tcPr>
          <w:p w14:paraId="35AFFA01"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384" w:type="pct"/>
            <w:tcBorders>
              <w:top w:val="single" w:sz="12" w:space="0" w:color="auto"/>
            </w:tcBorders>
            <w:shd w:val="clear" w:color="auto" w:fill="auto"/>
            <w:noWrap/>
            <w:vAlign w:val="bottom"/>
            <w:hideMark/>
          </w:tcPr>
          <w:p w14:paraId="3B16CBE9"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r>
      <w:tr w:rsidR="00B959C3" w:rsidRPr="001828CD" w14:paraId="11299181" w14:textId="77777777" w:rsidTr="00593823">
        <w:trPr>
          <w:trHeight w:val="58"/>
        </w:trPr>
        <w:tc>
          <w:tcPr>
            <w:tcW w:w="1231" w:type="pct"/>
            <w:shd w:val="clear" w:color="auto" w:fill="auto"/>
            <w:noWrap/>
            <w:vAlign w:val="bottom"/>
            <w:hideMark/>
          </w:tcPr>
          <w:p w14:paraId="3DA13CE3" w14:textId="027A14BB"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D-2 </w:t>
            </w:r>
          </w:p>
        </w:tc>
        <w:tc>
          <w:tcPr>
            <w:tcW w:w="1202" w:type="pct"/>
            <w:shd w:val="clear" w:color="auto" w:fill="auto"/>
            <w:noWrap/>
            <w:vAlign w:val="bottom"/>
            <w:hideMark/>
          </w:tcPr>
          <w:p w14:paraId="6DA9A5A8"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0.40</w:t>
            </w:r>
          </w:p>
        </w:tc>
        <w:tc>
          <w:tcPr>
            <w:tcW w:w="1079" w:type="pct"/>
            <w:gridSpan w:val="3"/>
            <w:shd w:val="clear" w:color="auto" w:fill="auto"/>
            <w:noWrap/>
            <w:vAlign w:val="bottom"/>
            <w:hideMark/>
          </w:tcPr>
          <w:p w14:paraId="20450C07"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104" w:type="pct"/>
            <w:gridSpan w:val="2"/>
            <w:shd w:val="clear" w:color="auto" w:fill="auto"/>
            <w:noWrap/>
            <w:vAlign w:val="bottom"/>
            <w:hideMark/>
          </w:tcPr>
          <w:p w14:paraId="13EB34E6"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384" w:type="pct"/>
            <w:shd w:val="clear" w:color="auto" w:fill="auto"/>
            <w:noWrap/>
            <w:vAlign w:val="bottom"/>
            <w:hideMark/>
          </w:tcPr>
          <w:p w14:paraId="4159128D"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0.40</w:t>
            </w:r>
          </w:p>
        </w:tc>
      </w:tr>
      <w:tr w:rsidR="00B959C3" w:rsidRPr="001828CD" w14:paraId="04339CE3" w14:textId="77777777" w:rsidTr="00593823">
        <w:trPr>
          <w:trHeight w:val="68"/>
        </w:trPr>
        <w:tc>
          <w:tcPr>
            <w:tcW w:w="1231" w:type="pct"/>
            <w:shd w:val="clear" w:color="auto" w:fill="auto"/>
            <w:noWrap/>
            <w:vAlign w:val="bottom"/>
            <w:hideMark/>
          </w:tcPr>
          <w:p w14:paraId="02BFB305" w14:textId="207A0CFF"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D-1 </w:t>
            </w:r>
          </w:p>
        </w:tc>
        <w:tc>
          <w:tcPr>
            <w:tcW w:w="1202" w:type="pct"/>
            <w:shd w:val="clear" w:color="auto" w:fill="auto"/>
            <w:noWrap/>
            <w:vAlign w:val="bottom"/>
            <w:hideMark/>
          </w:tcPr>
          <w:p w14:paraId="0F43804A"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0.20</w:t>
            </w:r>
          </w:p>
        </w:tc>
        <w:tc>
          <w:tcPr>
            <w:tcW w:w="1079" w:type="pct"/>
            <w:gridSpan w:val="3"/>
            <w:shd w:val="clear" w:color="auto" w:fill="auto"/>
            <w:noWrap/>
            <w:vAlign w:val="bottom"/>
            <w:hideMark/>
          </w:tcPr>
          <w:p w14:paraId="2B9D5693"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c>
          <w:tcPr>
            <w:tcW w:w="1104" w:type="pct"/>
            <w:gridSpan w:val="2"/>
            <w:shd w:val="clear" w:color="auto" w:fill="auto"/>
            <w:noWrap/>
            <w:vAlign w:val="bottom"/>
            <w:hideMark/>
          </w:tcPr>
          <w:p w14:paraId="4E0F1F04"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384" w:type="pct"/>
            <w:shd w:val="clear" w:color="auto" w:fill="auto"/>
            <w:noWrap/>
            <w:vAlign w:val="bottom"/>
            <w:hideMark/>
          </w:tcPr>
          <w:p w14:paraId="3525BF96"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1.20</w:t>
            </w:r>
          </w:p>
        </w:tc>
      </w:tr>
      <w:tr w:rsidR="00B959C3" w:rsidRPr="001828CD" w14:paraId="5D610906" w14:textId="77777777" w:rsidTr="00593823">
        <w:trPr>
          <w:trHeight w:val="68"/>
        </w:trPr>
        <w:tc>
          <w:tcPr>
            <w:tcW w:w="1231" w:type="pct"/>
            <w:shd w:val="clear" w:color="auto" w:fill="auto"/>
            <w:noWrap/>
            <w:vAlign w:val="bottom"/>
            <w:hideMark/>
          </w:tcPr>
          <w:p w14:paraId="4B165734" w14:textId="05515BEC"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P-5 </w:t>
            </w:r>
          </w:p>
        </w:tc>
        <w:tc>
          <w:tcPr>
            <w:tcW w:w="1202" w:type="pct"/>
            <w:shd w:val="clear" w:color="auto" w:fill="auto"/>
            <w:noWrap/>
            <w:vAlign w:val="bottom"/>
            <w:hideMark/>
          </w:tcPr>
          <w:p w14:paraId="331C3C36"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0.40</w:t>
            </w:r>
          </w:p>
        </w:tc>
        <w:tc>
          <w:tcPr>
            <w:tcW w:w="1079" w:type="pct"/>
            <w:gridSpan w:val="3"/>
            <w:shd w:val="clear" w:color="auto" w:fill="auto"/>
            <w:noWrap/>
            <w:vAlign w:val="bottom"/>
            <w:hideMark/>
          </w:tcPr>
          <w:p w14:paraId="5D3EA0AF"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104" w:type="pct"/>
            <w:gridSpan w:val="2"/>
            <w:shd w:val="clear" w:color="auto" w:fill="auto"/>
            <w:noWrap/>
            <w:vAlign w:val="bottom"/>
            <w:hideMark/>
          </w:tcPr>
          <w:p w14:paraId="46A734D6"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384" w:type="pct"/>
            <w:shd w:val="clear" w:color="auto" w:fill="auto"/>
            <w:noWrap/>
            <w:vAlign w:val="bottom"/>
            <w:hideMark/>
          </w:tcPr>
          <w:p w14:paraId="17A2D8BA"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0.40</w:t>
            </w:r>
          </w:p>
        </w:tc>
      </w:tr>
      <w:tr w:rsidR="00B959C3" w:rsidRPr="001828CD" w14:paraId="7BEB38A6" w14:textId="77777777" w:rsidTr="00593823">
        <w:trPr>
          <w:trHeight w:val="68"/>
        </w:trPr>
        <w:tc>
          <w:tcPr>
            <w:tcW w:w="1231" w:type="pct"/>
            <w:shd w:val="clear" w:color="auto" w:fill="auto"/>
            <w:noWrap/>
            <w:vAlign w:val="bottom"/>
            <w:hideMark/>
          </w:tcPr>
          <w:p w14:paraId="6EA40085" w14:textId="1D402994"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P-4 </w:t>
            </w:r>
          </w:p>
        </w:tc>
        <w:tc>
          <w:tcPr>
            <w:tcW w:w="1202" w:type="pct"/>
            <w:shd w:val="clear" w:color="auto" w:fill="auto"/>
            <w:noWrap/>
            <w:vAlign w:val="bottom"/>
            <w:hideMark/>
          </w:tcPr>
          <w:p w14:paraId="24B4EA40"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079" w:type="pct"/>
            <w:gridSpan w:val="3"/>
            <w:shd w:val="clear" w:color="auto" w:fill="auto"/>
            <w:noWrap/>
            <w:vAlign w:val="bottom"/>
            <w:hideMark/>
          </w:tcPr>
          <w:p w14:paraId="4B8B5D82"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c>
          <w:tcPr>
            <w:tcW w:w="1104" w:type="pct"/>
            <w:gridSpan w:val="2"/>
            <w:shd w:val="clear" w:color="auto" w:fill="auto"/>
            <w:noWrap/>
            <w:vAlign w:val="bottom"/>
            <w:hideMark/>
          </w:tcPr>
          <w:p w14:paraId="3C8F3046"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384" w:type="pct"/>
            <w:shd w:val="clear" w:color="auto" w:fill="auto"/>
            <w:noWrap/>
            <w:vAlign w:val="bottom"/>
            <w:hideMark/>
          </w:tcPr>
          <w:p w14:paraId="5C3BC46C"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r>
      <w:tr w:rsidR="00B959C3" w:rsidRPr="001828CD" w14:paraId="6F2308D2" w14:textId="77777777" w:rsidTr="00593823">
        <w:trPr>
          <w:trHeight w:val="68"/>
        </w:trPr>
        <w:tc>
          <w:tcPr>
            <w:tcW w:w="1231" w:type="pct"/>
            <w:shd w:val="clear" w:color="auto" w:fill="auto"/>
            <w:noWrap/>
            <w:vAlign w:val="bottom"/>
            <w:hideMark/>
          </w:tcPr>
          <w:p w14:paraId="09E93B35" w14:textId="4187D920"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P-3 </w:t>
            </w:r>
          </w:p>
        </w:tc>
        <w:tc>
          <w:tcPr>
            <w:tcW w:w="1202" w:type="pct"/>
            <w:shd w:val="clear" w:color="auto" w:fill="auto"/>
            <w:noWrap/>
            <w:vAlign w:val="bottom"/>
            <w:hideMark/>
          </w:tcPr>
          <w:p w14:paraId="53912051"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1.50</w:t>
            </w:r>
          </w:p>
        </w:tc>
        <w:tc>
          <w:tcPr>
            <w:tcW w:w="1079" w:type="pct"/>
            <w:gridSpan w:val="3"/>
            <w:shd w:val="clear" w:color="auto" w:fill="auto"/>
            <w:noWrap/>
            <w:vAlign w:val="bottom"/>
            <w:hideMark/>
          </w:tcPr>
          <w:p w14:paraId="0191A8E2"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3.00</w:t>
            </w:r>
          </w:p>
        </w:tc>
        <w:tc>
          <w:tcPr>
            <w:tcW w:w="1104" w:type="pct"/>
            <w:gridSpan w:val="2"/>
            <w:shd w:val="clear" w:color="auto" w:fill="auto"/>
            <w:noWrap/>
            <w:vAlign w:val="bottom"/>
            <w:hideMark/>
          </w:tcPr>
          <w:p w14:paraId="4C089754"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c>
          <w:tcPr>
            <w:tcW w:w="384" w:type="pct"/>
            <w:shd w:val="clear" w:color="auto" w:fill="auto"/>
            <w:noWrap/>
            <w:vAlign w:val="bottom"/>
            <w:hideMark/>
          </w:tcPr>
          <w:p w14:paraId="00A25853"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5.50</w:t>
            </w:r>
          </w:p>
        </w:tc>
      </w:tr>
      <w:tr w:rsidR="00B959C3" w:rsidRPr="001828CD" w14:paraId="09628A66" w14:textId="77777777" w:rsidTr="00593823">
        <w:trPr>
          <w:trHeight w:val="68"/>
        </w:trPr>
        <w:tc>
          <w:tcPr>
            <w:tcW w:w="1231" w:type="pct"/>
            <w:tcBorders>
              <w:bottom w:val="single" w:sz="4" w:space="0" w:color="auto"/>
            </w:tcBorders>
            <w:shd w:val="clear" w:color="auto" w:fill="auto"/>
            <w:noWrap/>
            <w:vAlign w:val="bottom"/>
            <w:hideMark/>
          </w:tcPr>
          <w:p w14:paraId="2E1641A0" w14:textId="13A1699C"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P-2 </w:t>
            </w:r>
          </w:p>
        </w:tc>
        <w:tc>
          <w:tcPr>
            <w:tcW w:w="1202" w:type="pct"/>
            <w:tcBorders>
              <w:bottom w:val="single" w:sz="4" w:space="0" w:color="auto"/>
            </w:tcBorders>
            <w:shd w:val="clear" w:color="auto" w:fill="auto"/>
            <w:noWrap/>
            <w:vAlign w:val="bottom"/>
            <w:hideMark/>
          </w:tcPr>
          <w:p w14:paraId="26E05458"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079" w:type="pct"/>
            <w:gridSpan w:val="3"/>
            <w:tcBorders>
              <w:bottom w:val="single" w:sz="4" w:space="0" w:color="auto"/>
            </w:tcBorders>
            <w:shd w:val="clear" w:color="auto" w:fill="auto"/>
            <w:noWrap/>
            <w:vAlign w:val="bottom"/>
            <w:hideMark/>
          </w:tcPr>
          <w:p w14:paraId="071076CF"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104" w:type="pct"/>
            <w:gridSpan w:val="2"/>
            <w:tcBorders>
              <w:bottom w:val="single" w:sz="4" w:space="0" w:color="auto"/>
            </w:tcBorders>
            <w:shd w:val="clear" w:color="auto" w:fill="auto"/>
            <w:noWrap/>
            <w:vAlign w:val="bottom"/>
            <w:hideMark/>
          </w:tcPr>
          <w:p w14:paraId="1DAA9794"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384" w:type="pct"/>
            <w:tcBorders>
              <w:bottom w:val="single" w:sz="4" w:space="0" w:color="auto"/>
            </w:tcBorders>
            <w:shd w:val="clear" w:color="auto" w:fill="auto"/>
            <w:noWrap/>
            <w:vAlign w:val="bottom"/>
            <w:hideMark/>
          </w:tcPr>
          <w:p w14:paraId="3485BAF8"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r>
      <w:tr w:rsidR="00B959C3" w:rsidRPr="001828CD" w14:paraId="7EF544CC" w14:textId="77777777" w:rsidTr="00593823">
        <w:trPr>
          <w:trHeight w:val="58"/>
        </w:trPr>
        <w:tc>
          <w:tcPr>
            <w:tcW w:w="1231" w:type="pct"/>
            <w:tcBorders>
              <w:top w:val="single" w:sz="4" w:space="0" w:color="auto"/>
              <w:bottom w:val="single" w:sz="4" w:space="0" w:color="auto"/>
            </w:tcBorders>
            <w:shd w:val="clear" w:color="auto" w:fill="auto"/>
            <w:noWrap/>
            <w:vAlign w:val="bottom"/>
            <w:hideMark/>
          </w:tcPr>
          <w:p w14:paraId="2464176A" w14:textId="77777777" w:rsidR="00B959C3" w:rsidRPr="001828CD" w:rsidRDefault="00B959C3" w:rsidP="00B10477">
            <w:pPr>
              <w:tabs>
                <w:tab w:val="clear" w:pos="1247"/>
                <w:tab w:val="clear" w:pos="1814"/>
                <w:tab w:val="clear" w:pos="2381"/>
                <w:tab w:val="clear" w:pos="2948"/>
                <w:tab w:val="clear" w:pos="3515"/>
              </w:tabs>
              <w:spacing w:before="20" w:after="20"/>
              <w:ind w:left="340"/>
              <w:rPr>
                <w:b/>
                <w:iCs/>
                <w:color w:val="000000"/>
                <w:sz w:val="18"/>
                <w:szCs w:val="18"/>
              </w:rPr>
            </w:pPr>
            <w:r w:rsidRPr="001828CD">
              <w:rPr>
                <w:b/>
                <w:iCs/>
                <w:color w:val="000000"/>
                <w:sz w:val="18"/>
                <w:szCs w:val="18"/>
              </w:rPr>
              <w:t>Subtotal A</w:t>
            </w:r>
          </w:p>
        </w:tc>
        <w:tc>
          <w:tcPr>
            <w:tcW w:w="1202" w:type="pct"/>
            <w:tcBorders>
              <w:top w:val="single" w:sz="4" w:space="0" w:color="auto"/>
              <w:bottom w:val="single" w:sz="4" w:space="0" w:color="auto"/>
            </w:tcBorders>
            <w:shd w:val="clear" w:color="auto" w:fill="auto"/>
            <w:noWrap/>
            <w:vAlign w:val="bottom"/>
            <w:hideMark/>
          </w:tcPr>
          <w:p w14:paraId="2EE3055E" w14:textId="77777777" w:rsidR="00B959C3" w:rsidRPr="001828CD" w:rsidRDefault="00B959C3" w:rsidP="00B10477">
            <w:pPr>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2.50</w:t>
            </w:r>
          </w:p>
        </w:tc>
        <w:tc>
          <w:tcPr>
            <w:tcW w:w="1079" w:type="pct"/>
            <w:gridSpan w:val="3"/>
            <w:tcBorders>
              <w:top w:val="single" w:sz="4" w:space="0" w:color="auto"/>
              <w:bottom w:val="single" w:sz="4" w:space="0" w:color="auto"/>
            </w:tcBorders>
            <w:shd w:val="clear" w:color="auto" w:fill="auto"/>
            <w:noWrap/>
            <w:vAlign w:val="bottom"/>
            <w:hideMark/>
          </w:tcPr>
          <w:p w14:paraId="5651A20B" w14:textId="77777777" w:rsidR="00B959C3" w:rsidRPr="001828CD" w:rsidRDefault="00B959C3" w:rsidP="00B10477">
            <w:pPr>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5.00</w:t>
            </w:r>
          </w:p>
        </w:tc>
        <w:tc>
          <w:tcPr>
            <w:tcW w:w="1104" w:type="pct"/>
            <w:gridSpan w:val="2"/>
            <w:tcBorders>
              <w:top w:val="single" w:sz="4" w:space="0" w:color="auto"/>
              <w:bottom w:val="single" w:sz="4" w:space="0" w:color="auto"/>
            </w:tcBorders>
            <w:shd w:val="clear" w:color="auto" w:fill="auto"/>
            <w:noWrap/>
            <w:vAlign w:val="bottom"/>
            <w:hideMark/>
          </w:tcPr>
          <w:p w14:paraId="14C250FF" w14:textId="77777777" w:rsidR="00B959C3" w:rsidRPr="001828CD" w:rsidRDefault="00B959C3" w:rsidP="00B10477">
            <w:pPr>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1.00</w:t>
            </w:r>
          </w:p>
        </w:tc>
        <w:tc>
          <w:tcPr>
            <w:tcW w:w="384" w:type="pct"/>
            <w:tcBorders>
              <w:top w:val="single" w:sz="4" w:space="0" w:color="auto"/>
              <w:bottom w:val="single" w:sz="4" w:space="0" w:color="auto"/>
            </w:tcBorders>
            <w:shd w:val="clear" w:color="auto" w:fill="auto"/>
            <w:noWrap/>
            <w:vAlign w:val="bottom"/>
            <w:hideMark/>
          </w:tcPr>
          <w:p w14:paraId="7DAA07AC" w14:textId="77777777" w:rsidR="00B959C3" w:rsidRPr="001828CD" w:rsidRDefault="00B959C3" w:rsidP="00B10477">
            <w:pPr>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8.50</w:t>
            </w:r>
          </w:p>
        </w:tc>
      </w:tr>
      <w:tr w:rsidR="00B959C3" w:rsidRPr="001828CD" w14:paraId="0E39D5ED" w14:textId="77777777" w:rsidTr="00593823">
        <w:trPr>
          <w:trHeight w:val="58"/>
        </w:trPr>
        <w:tc>
          <w:tcPr>
            <w:tcW w:w="1231" w:type="pct"/>
            <w:tcBorders>
              <w:top w:val="single" w:sz="4" w:space="0" w:color="auto"/>
            </w:tcBorders>
            <w:shd w:val="clear" w:color="auto" w:fill="auto"/>
            <w:noWrap/>
            <w:vAlign w:val="bottom"/>
            <w:hideMark/>
          </w:tcPr>
          <w:p w14:paraId="225D34EE" w14:textId="77777777" w:rsidR="00B959C3" w:rsidRPr="001828CD" w:rsidRDefault="00B959C3" w:rsidP="00B10477">
            <w:pPr>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B. General Service category</w:t>
            </w:r>
          </w:p>
        </w:tc>
        <w:tc>
          <w:tcPr>
            <w:tcW w:w="1202" w:type="pct"/>
            <w:tcBorders>
              <w:top w:val="single" w:sz="4" w:space="0" w:color="auto"/>
            </w:tcBorders>
            <w:shd w:val="clear" w:color="auto" w:fill="auto"/>
            <w:noWrap/>
            <w:vAlign w:val="bottom"/>
            <w:hideMark/>
          </w:tcPr>
          <w:p w14:paraId="6CC45ACF"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079" w:type="pct"/>
            <w:gridSpan w:val="3"/>
            <w:tcBorders>
              <w:top w:val="single" w:sz="4" w:space="0" w:color="auto"/>
            </w:tcBorders>
            <w:shd w:val="clear" w:color="auto" w:fill="auto"/>
            <w:noWrap/>
            <w:vAlign w:val="bottom"/>
            <w:hideMark/>
          </w:tcPr>
          <w:p w14:paraId="43DCBAEC"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104" w:type="pct"/>
            <w:gridSpan w:val="2"/>
            <w:tcBorders>
              <w:top w:val="single" w:sz="4" w:space="0" w:color="auto"/>
            </w:tcBorders>
            <w:shd w:val="clear" w:color="auto" w:fill="auto"/>
            <w:noWrap/>
            <w:vAlign w:val="bottom"/>
            <w:hideMark/>
          </w:tcPr>
          <w:p w14:paraId="05FBD62A"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384" w:type="pct"/>
            <w:tcBorders>
              <w:top w:val="single" w:sz="4" w:space="0" w:color="auto"/>
            </w:tcBorders>
            <w:shd w:val="clear" w:color="auto" w:fill="auto"/>
            <w:noWrap/>
            <w:vAlign w:val="bottom"/>
            <w:hideMark/>
          </w:tcPr>
          <w:p w14:paraId="2953C859"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r>
      <w:tr w:rsidR="00B959C3" w:rsidRPr="001828CD" w14:paraId="5E1733D7" w14:textId="77777777" w:rsidTr="00593823">
        <w:trPr>
          <w:trHeight w:val="68"/>
        </w:trPr>
        <w:tc>
          <w:tcPr>
            <w:tcW w:w="1231" w:type="pct"/>
            <w:tcBorders>
              <w:bottom w:val="single" w:sz="4" w:space="0" w:color="auto"/>
            </w:tcBorders>
            <w:shd w:val="clear" w:color="auto" w:fill="auto"/>
            <w:noWrap/>
            <w:vAlign w:val="bottom"/>
            <w:hideMark/>
          </w:tcPr>
          <w:p w14:paraId="5BD0A589" w14:textId="77777777" w:rsidR="00B959C3" w:rsidRPr="001828CD" w:rsidRDefault="00B959C3" w:rsidP="00B10477">
            <w:pPr>
              <w:tabs>
                <w:tab w:val="clear" w:pos="1247"/>
                <w:tab w:val="clear" w:pos="1814"/>
                <w:tab w:val="clear" w:pos="2381"/>
                <w:tab w:val="clear" w:pos="2948"/>
                <w:tab w:val="clear" w:pos="3515"/>
              </w:tabs>
              <w:spacing w:before="20" w:after="20"/>
              <w:rPr>
                <w:color w:val="000000"/>
                <w:sz w:val="18"/>
                <w:szCs w:val="18"/>
              </w:rPr>
            </w:pPr>
          </w:p>
        </w:tc>
        <w:tc>
          <w:tcPr>
            <w:tcW w:w="1202" w:type="pct"/>
            <w:tcBorders>
              <w:bottom w:val="single" w:sz="4" w:space="0" w:color="auto"/>
            </w:tcBorders>
            <w:shd w:val="clear" w:color="auto" w:fill="auto"/>
            <w:noWrap/>
            <w:vAlign w:val="bottom"/>
            <w:hideMark/>
          </w:tcPr>
          <w:p w14:paraId="6E6B5AB3"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c>
          <w:tcPr>
            <w:tcW w:w="1079" w:type="pct"/>
            <w:gridSpan w:val="3"/>
            <w:tcBorders>
              <w:bottom w:val="single" w:sz="4" w:space="0" w:color="auto"/>
            </w:tcBorders>
            <w:shd w:val="clear" w:color="auto" w:fill="auto"/>
            <w:noWrap/>
            <w:vAlign w:val="bottom"/>
            <w:hideMark/>
          </w:tcPr>
          <w:p w14:paraId="27836E61"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4.00</w:t>
            </w:r>
          </w:p>
        </w:tc>
        <w:tc>
          <w:tcPr>
            <w:tcW w:w="1104" w:type="pct"/>
            <w:gridSpan w:val="2"/>
            <w:tcBorders>
              <w:bottom w:val="single" w:sz="4" w:space="0" w:color="auto"/>
            </w:tcBorders>
            <w:shd w:val="clear" w:color="auto" w:fill="auto"/>
            <w:noWrap/>
            <w:vAlign w:val="bottom"/>
            <w:hideMark/>
          </w:tcPr>
          <w:p w14:paraId="782E41B2"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c>
          <w:tcPr>
            <w:tcW w:w="384" w:type="pct"/>
            <w:tcBorders>
              <w:bottom w:val="single" w:sz="4" w:space="0" w:color="auto"/>
            </w:tcBorders>
            <w:shd w:val="clear" w:color="auto" w:fill="auto"/>
            <w:noWrap/>
            <w:vAlign w:val="bottom"/>
            <w:hideMark/>
          </w:tcPr>
          <w:p w14:paraId="219B4E4A"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5.00</w:t>
            </w:r>
          </w:p>
        </w:tc>
      </w:tr>
      <w:tr w:rsidR="00B959C3" w:rsidRPr="001828CD" w14:paraId="473F1963" w14:textId="77777777" w:rsidTr="00593823">
        <w:trPr>
          <w:trHeight w:val="58"/>
        </w:trPr>
        <w:tc>
          <w:tcPr>
            <w:tcW w:w="1231" w:type="pct"/>
            <w:tcBorders>
              <w:top w:val="single" w:sz="4" w:space="0" w:color="auto"/>
              <w:bottom w:val="single" w:sz="4" w:space="0" w:color="auto"/>
            </w:tcBorders>
            <w:shd w:val="clear" w:color="auto" w:fill="auto"/>
            <w:noWrap/>
            <w:vAlign w:val="bottom"/>
            <w:hideMark/>
          </w:tcPr>
          <w:p w14:paraId="3B2C9978" w14:textId="77777777" w:rsidR="00B959C3" w:rsidRPr="001828CD" w:rsidRDefault="00B959C3" w:rsidP="00B10477">
            <w:pPr>
              <w:tabs>
                <w:tab w:val="clear" w:pos="1247"/>
                <w:tab w:val="clear" w:pos="1814"/>
                <w:tab w:val="clear" w:pos="2381"/>
                <w:tab w:val="clear" w:pos="2948"/>
                <w:tab w:val="clear" w:pos="3515"/>
              </w:tabs>
              <w:spacing w:before="20" w:after="20"/>
              <w:ind w:left="340"/>
              <w:rPr>
                <w:i/>
                <w:iCs/>
                <w:color w:val="000000"/>
                <w:sz w:val="18"/>
                <w:szCs w:val="18"/>
              </w:rPr>
            </w:pPr>
            <w:r w:rsidRPr="001828CD">
              <w:rPr>
                <w:b/>
                <w:iCs/>
                <w:color w:val="000000"/>
                <w:sz w:val="18"/>
                <w:szCs w:val="18"/>
              </w:rPr>
              <w:t>Subtotal B</w:t>
            </w:r>
          </w:p>
        </w:tc>
        <w:tc>
          <w:tcPr>
            <w:tcW w:w="1202" w:type="pct"/>
            <w:tcBorders>
              <w:top w:val="single" w:sz="4" w:space="0" w:color="auto"/>
              <w:bottom w:val="single" w:sz="4" w:space="0" w:color="auto"/>
            </w:tcBorders>
            <w:shd w:val="clear" w:color="auto" w:fill="auto"/>
            <w:noWrap/>
            <w:vAlign w:val="bottom"/>
            <w:hideMark/>
          </w:tcPr>
          <w:p w14:paraId="39086CAE" w14:textId="77777777" w:rsidR="00B959C3" w:rsidRPr="001828CD" w:rsidRDefault="00B959C3" w:rsidP="00B10477">
            <w:pPr>
              <w:tabs>
                <w:tab w:val="clear" w:pos="1247"/>
                <w:tab w:val="clear" w:pos="1814"/>
                <w:tab w:val="clear" w:pos="2381"/>
                <w:tab w:val="clear" w:pos="2948"/>
                <w:tab w:val="clear" w:pos="3515"/>
              </w:tabs>
              <w:spacing w:before="20" w:after="20"/>
              <w:jc w:val="right"/>
              <w:rPr>
                <w:i/>
                <w:iCs/>
                <w:color w:val="000000"/>
                <w:sz w:val="18"/>
                <w:szCs w:val="18"/>
              </w:rPr>
            </w:pPr>
            <w:r w:rsidRPr="001828CD">
              <w:rPr>
                <w:i/>
                <w:iCs/>
                <w:color w:val="000000"/>
                <w:sz w:val="18"/>
                <w:szCs w:val="18"/>
              </w:rPr>
              <w:t> </w:t>
            </w:r>
          </w:p>
        </w:tc>
        <w:tc>
          <w:tcPr>
            <w:tcW w:w="1079" w:type="pct"/>
            <w:gridSpan w:val="3"/>
            <w:tcBorders>
              <w:top w:val="single" w:sz="4" w:space="0" w:color="auto"/>
              <w:bottom w:val="single" w:sz="4" w:space="0" w:color="auto"/>
            </w:tcBorders>
            <w:shd w:val="clear" w:color="auto" w:fill="auto"/>
            <w:noWrap/>
            <w:vAlign w:val="bottom"/>
            <w:hideMark/>
          </w:tcPr>
          <w:p w14:paraId="133E321F" w14:textId="77777777" w:rsidR="00B959C3" w:rsidRPr="006432A8" w:rsidRDefault="00B959C3" w:rsidP="00B10477">
            <w:pPr>
              <w:tabs>
                <w:tab w:val="clear" w:pos="1247"/>
                <w:tab w:val="clear" w:pos="1814"/>
                <w:tab w:val="clear" w:pos="2381"/>
                <w:tab w:val="clear" w:pos="2948"/>
                <w:tab w:val="clear" w:pos="3515"/>
              </w:tabs>
              <w:spacing w:before="20" w:after="20"/>
              <w:jc w:val="right"/>
              <w:rPr>
                <w:b/>
                <w:iCs/>
                <w:color w:val="000000"/>
                <w:sz w:val="18"/>
                <w:szCs w:val="18"/>
              </w:rPr>
            </w:pPr>
            <w:r w:rsidRPr="006432A8">
              <w:rPr>
                <w:b/>
                <w:iCs/>
                <w:color w:val="000000"/>
                <w:sz w:val="18"/>
                <w:szCs w:val="18"/>
              </w:rPr>
              <w:t>4.00</w:t>
            </w:r>
          </w:p>
        </w:tc>
        <w:tc>
          <w:tcPr>
            <w:tcW w:w="1104" w:type="pct"/>
            <w:gridSpan w:val="2"/>
            <w:tcBorders>
              <w:top w:val="single" w:sz="4" w:space="0" w:color="auto"/>
              <w:bottom w:val="single" w:sz="4" w:space="0" w:color="auto"/>
            </w:tcBorders>
            <w:shd w:val="clear" w:color="auto" w:fill="auto"/>
            <w:noWrap/>
            <w:vAlign w:val="bottom"/>
            <w:hideMark/>
          </w:tcPr>
          <w:p w14:paraId="541579BF" w14:textId="77777777" w:rsidR="00B959C3" w:rsidRPr="006432A8" w:rsidRDefault="00B959C3" w:rsidP="00B10477">
            <w:pPr>
              <w:tabs>
                <w:tab w:val="clear" w:pos="1247"/>
                <w:tab w:val="clear" w:pos="1814"/>
                <w:tab w:val="clear" w:pos="2381"/>
                <w:tab w:val="clear" w:pos="2948"/>
                <w:tab w:val="clear" w:pos="3515"/>
              </w:tabs>
              <w:spacing w:before="20" w:after="20"/>
              <w:jc w:val="right"/>
              <w:rPr>
                <w:b/>
                <w:iCs/>
                <w:color w:val="000000"/>
                <w:sz w:val="18"/>
                <w:szCs w:val="18"/>
              </w:rPr>
            </w:pPr>
            <w:r w:rsidRPr="006432A8">
              <w:rPr>
                <w:b/>
                <w:iCs/>
                <w:color w:val="000000"/>
                <w:sz w:val="18"/>
                <w:szCs w:val="18"/>
              </w:rPr>
              <w:t>1.0</w:t>
            </w:r>
          </w:p>
        </w:tc>
        <w:tc>
          <w:tcPr>
            <w:tcW w:w="384" w:type="pct"/>
            <w:tcBorders>
              <w:top w:val="single" w:sz="4" w:space="0" w:color="auto"/>
              <w:bottom w:val="single" w:sz="4" w:space="0" w:color="auto"/>
            </w:tcBorders>
            <w:shd w:val="clear" w:color="auto" w:fill="auto"/>
            <w:noWrap/>
            <w:vAlign w:val="bottom"/>
            <w:hideMark/>
          </w:tcPr>
          <w:p w14:paraId="56EC6DDA" w14:textId="77777777" w:rsidR="00B959C3" w:rsidRPr="006432A8" w:rsidRDefault="00B959C3" w:rsidP="00B10477">
            <w:pPr>
              <w:tabs>
                <w:tab w:val="clear" w:pos="1247"/>
                <w:tab w:val="clear" w:pos="1814"/>
                <w:tab w:val="clear" w:pos="2381"/>
                <w:tab w:val="clear" w:pos="2948"/>
                <w:tab w:val="clear" w:pos="3515"/>
              </w:tabs>
              <w:spacing w:before="20" w:after="20"/>
              <w:jc w:val="right"/>
              <w:rPr>
                <w:b/>
                <w:iCs/>
                <w:color w:val="000000"/>
                <w:sz w:val="18"/>
                <w:szCs w:val="18"/>
              </w:rPr>
            </w:pPr>
            <w:r w:rsidRPr="006432A8">
              <w:rPr>
                <w:b/>
                <w:iCs/>
                <w:color w:val="000000"/>
                <w:sz w:val="18"/>
                <w:szCs w:val="18"/>
              </w:rPr>
              <w:t>5.00</w:t>
            </w:r>
          </w:p>
        </w:tc>
      </w:tr>
      <w:tr w:rsidR="00B959C3" w:rsidRPr="001828CD" w14:paraId="610D9D6B" w14:textId="77777777" w:rsidTr="00593823">
        <w:trPr>
          <w:trHeight w:val="58"/>
        </w:trPr>
        <w:tc>
          <w:tcPr>
            <w:tcW w:w="1231" w:type="pct"/>
            <w:tcBorders>
              <w:top w:val="single" w:sz="4" w:space="0" w:color="auto"/>
              <w:bottom w:val="single" w:sz="12" w:space="0" w:color="auto"/>
            </w:tcBorders>
            <w:shd w:val="clear" w:color="auto" w:fill="auto"/>
            <w:noWrap/>
            <w:vAlign w:val="bottom"/>
            <w:hideMark/>
          </w:tcPr>
          <w:p w14:paraId="5ABDD8F5" w14:textId="77777777" w:rsidR="00B959C3" w:rsidRPr="001828CD" w:rsidRDefault="00B959C3" w:rsidP="00B10477">
            <w:pPr>
              <w:tabs>
                <w:tab w:val="clear" w:pos="1247"/>
                <w:tab w:val="clear" w:pos="1814"/>
                <w:tab w:val="clear" w:pos="2381"/>
                <w:tab w:val="clear" w:pos="2948"/>
                <w:tab w:val="clear" w:pos="3515"/>
              </w:tabs>
              <w:spacing w:before="20" w:after="20"/>
              <w:ind w:left="340"/>
              <w:rPr>
                <w:b/>
                <w:iCs/>
                <w:color w:val="000000"/>
                <w:sz w:val="18"/>
                <w:szCs w:val="18"/>
              </w:rPr>
            </w:pPr>
            <w:r w:rsidRPr="001828CD">
              <w:rPr>
                <w:b/>
                <w:iCs/>
                <w:color w:val="000000"/>
                <w:sz w:val="18"/>
                <w:szCs w:val="18"/>
              </w:rPr>
              <w:t>TOTAL (A+B)</w:t>
            </w:r>
          </w:p>
        </w:tc>
        <w:tc>
          <w:tcPr>
            <w:tcW w:w="1202" w:type="pct"/>
            <w:tcBorders>
              <w:top w:val="single" w:sz="4" w:space="0" w:color="auto"/>
              <w:bottom w:val="single" w:sz="12" w:space="0" w:color="auto"/>
            </w:tcBorders>
            <w:shd w:val="clear" w:color="auto" w:fill="auto"/>
            <w:noWrap/>
            <w:vAlign w:val="bottom"/>
            <w:hideMark/>
          </w:tcPr>
          <w:p w14:paraId="403921B8" w14:textId="77777777" w:rsidR="00B959C3" w:rsidRPr="001828CD" w:rsidRDefault="00B959C3" w:rsidP="00B10477">
            <w:pPr>
              <w:tabs>
                <w:tab w:val="clear" w:pos="1247"/>
                <w:tab w:val="clear" w:pos="1814"/>
                <w:tab w:val="clear" w:pos="2381"/>
                <w:tab w:val="clear" w:pos="2948"/>
                <w:tab w:val="clear" w:pos="3515"/>
              </w:tabs>
              <w:spacing w:before="20" w:after="20"/>
              <w:jc w:val="right"/>
              <w:rPr>
                <w:b/>
                <w:bCs/>
                <w:color w:val="000000"/>
                <w:sz w:val="18"/>
                <w:szCs w:val="18"/>
              </w:rPr>
            </w:pPr>
            <w:r w:rsidRPr="001828CD">
              <w:rPr>
                <w:b/>
                <w:bCs/>
                <w:color w:val="000000"/>
                <w:sz w:val="18"/>
                <w:szCs w:val="18"/>
              </w:rPr>
              <w:t>2.50</w:t>
            </w:r>
          </w:p>
        </w:tc>
        <w:tc>
          <w:tcPr>
            <w:tcW w:w="1079" w:type="pct"/>
            <w:gridSpan w:val="3"/>
            <w:tcBorders>
              <w:top w:val="single" w:sz="4" w:space="0" w:color="auto"/>
              <w:bottom w:val="single" w:sz="12" w:space="0" w:color="auto"/>
            </w:tcBorders>
            <w:shd w:val="clear" w:color="auto" w:fill="auto"/>
            <w:noWrap/>
            <w:vAlign w:val="bottom"/>
            <w:hideMark/>
          </w:tcPr>
          <w:p w14:paraId="6ACF6D34" w14:textId="77777777" w:rsidR="00B959C3" w:rsidRPr="001828CD" w:rsidRDefault="00B959C3" w:rsidP="00B10477">
            <w:pPr>
              <w:tabs>
                <w:tab w:val="clear" w:pos="1247"/>
                <w:tab w:val="clear" w:pos="1814"/>
                <w:tab w:val="clear" w:pos="2381"/>
                <w:tab w:val="clear" w:pos="2948"/>
                <w:tab w:val="clear" w:pos="3515"/>
              </w:tabs>
              <w:spacing w:before="20" w:after="20"/>
              <w:jc w:val="right"/>
              <w:rPr>
                <w:b/>
                <w:bCs/>
                <w:color w:val="000000"/>
                <w:sz w:val="18"/>
                <w:szCs w:val="18"/>
              </w:rPr>
            </w:pPr>
            <w:r w:rsidRPr="001828CD">
              <w:rPr>
                <w:b/>
                <w:bCs/>
                <w:color w:val="000000"/>
                <w:sz w:val="18"/>
                <w:szCs w:val="18"/>
              </w:rPr>
              <w:t>9.00</w:t>
            </w:r>
          </w:p>
        </w:tc>
        <w:tc>
          <w:tcPr>
            <w:tcW w:w="1104" w:type="pct"/>
            <w:gridSpan w:val="2"/>
            <w:tcBorders>
              <w:top w:val="single" w:sz="4" w:space="0" w:color="auto"/>
              <w:bottom w:val="single" w:sz="12" w:space="0" w:color="auto"/>
            </w:tcBorders>
            <w:shd w:val="clear" w:color="auto" w:fill="auto"/>
            <w:noWrap/>
            <w:vAlign w:val="bottom"/>
            <w:hideMark/>
          </w:tcPr>
          <w:p w14:paraId="329D4A2B" w14:textId="77777777" w:rsidR="00B959C3" w:rsidRPr="001828CD" w:rsidRDefault="00B959C3" w:rsidP="00B10477">
            <w:pPr>
              <w:tabs>
                <w:tab w:val="clear" w:pos="1247"/>
                <w:tab w:val="clear" w:pos="1814"/>
                <w:tab w:val="clear" w:pos="2381"/>
                <w:tab w:val="clear" w:pos="2948"/>
                <w:tab w:val="clear" w:pos="3515"/>
              </w:tabs>
              <w:spacing w:before="20" w:after="20"/>
              <w:jc w:val="right"/>
              <w:rPr>
                <w:b/>
                <w:bCs/>
                <w:color w:val="000000"/>
                <w:sz w:val="18"/>
                <w:szCs w:val="18"/>
              </w:rPr>
            </w:pPr>
            <w:r w:rsidRPr="001828CD">
              <w:rPr>
                <w:b/>
                <w:bCs/>
                <w:color w:val="000000"/>
                <w:sz w:val="18"/>
                <w:szCs w:val="18"/>
              </w:rPr>
              <w:t>2.00</w:t>
            </w:r>
          </w:p>
        </w:tc>
        <w:tc>
          <w:tcPr>
            <w:tcW w:w="384" w:type="pct"/>
            <w:tcBorders>
              <w:top w:val="single" w:sz="4" w:space="0" w:color="auto"/>
              <w:bottom w:val="single" w:sz="12" w:space="0" w:color="auto"/>
            </w:tcBorders>
            <w:shd w:val="clear" w:color="auto" w:fill="auto"/>
            <w:noWrap/>
            <w:vAlign w:val="bottom"/>
            <w:hideMark/>
          </w:tcPr>
          <w:p w14:paraId="57332B36" w14:textId="77777777" w:rsidR="00B959C3" w:rsidRPr="001828CD" w:rsidRDefault="00B959C3" w:rsidP="00B10477">
            <w:pPr>
              <w:tabs>
                <w:tab w:val="clear" w:pos="1247"/>
                <w:tab w:val="clear" w:pos="1814"/>
                <w:tab w:val="clear" w:pos="2381"/>
                <w:tab w:val="clear" w:pos="2948"/>
                <w:tab w:val="clear" w:pos="3515"/>
              </w:tabs>
              <w:spacing w:before="20" w:after="20"/>
              <w:jc w:val="right"/>
              <w:rPr>
                <w:b/>
                <w:bCs/>
                <w:color w:val="000000"/>
                <w:sz w:val="18"/>
                <w:szCs w:val="18"/>
              </w:rPr>
            </w:pPr>
            <w:r w:rsidRPr="001828CD">
              <w:rPr>
                <w:b/>
                <w:bCs/>
                <w:color w:val="000000"/>
                <w:sz w:val="18"/>
                <w:szCs w:val="18"/>
              </w:rPr>
              <w:t>13.50</w:t>
            </w:r>
          </w:p>
        </w:tc>
      </w:tr>
      <w:tr w:rsidR="00B959C3" w:rsidRPr="001828CD" w14:paraId="21540E65" w14:textId="77777777" w:rsidTr="00593823">
        <w:trPr>
          <w:trHeight w:val="58"/>
        </w:trPr>
        <w:tc>
          <w:tcPr>
            <w:tcW w:w="1231" w:type="pct"/>
            <w:tcBorders>
              <w:top w:val="single" w:sz="12" w:space="0" w:color="auto"/>
              <w:bottom w:val="single" w:sz="4" w:space="0" w:color="auto"/>
            </w:tcBorders>
            <w:shd w:val="clear" w:color="auto" w:fill="auto"/>
            <w:noWrap/>
            <w:vAlign w:val="bottom"/>
            <w:hideMark/>
          </w:tcPr>
          <w:p w14:paraId="625CF3CD" w14:textId="77777777" w:rsidR="00B959C3" w:rsidRPr="001828CD" w:rsidRDefault="00B959C3" w:rsidP="00B10477">
            <w:pPr>
              <w:tabs>
                <w:tab w:val="clear" w:pos="1247"/>
                <w:tab w:val="clear" w:pos="1814"/>
                <w:tab w:val="clear" w:pos="2381"/>
                <w:tab w:val="clear" w:pos="2948"/>
                <w:tab w:val="clear" w:pos="3515"/>
              </w:tabs>
              <w:spacing w:before="20" w:after="20"/>
              <w:ind w:left="340"/>
              <w:rPr>
                <w:iCs/>
                <w:color w:val="000000"/>
                <w:sz w:val="18"/>
                <w:szCs w:val="18"/>
              </w:rPr>
            </w:pPr>
            <w:r w:rsidRPr="001828CD">
              <w:rPr>
                <w:iCs/>
                <w:color w:val="000000"/>
                <w:sz w:val="18"/>
                <w:szCs w:val="18"/>
              </w:rPr>
              <w:t>Remarks</w:t>
            </w:r>
          </w:p>
        </w:tc>
        <w:tc>
          <w:tcPr>
            <w:tcW w:w="1202" w:type="pct"/>
            <w:tcBorders>
              <w:top w:val="single" w:sz="12" w:space="0" w:color="auto"/>
              <w:bottom w:val="single" w:sz="4" w:space="0" w:color="auto"/>
            </w:tcBorders>
            <w:shd w:val="clear" w:color="auto" w:fill="auto"/>
            <w:noWrap/>
            <w:vAlign w:val="bottom"/>
            <w:hideMark/>
          </w:tcPr>
          <w:p w14:paraId="2301E8D3" w14:textId="77777777" w:rsidR="00B959C3" w:rsidRPr="001828CD" w:rsidRDefault="00B959C3" w:rsidP="00B10477">
            <w:pPr>
              <w:tabs>
                <w:tab w:val="clear" w:pos="1247"/>
                <w:tab w:val="clear" w:pos="1814"/>
                <w:tab w:val="clear" w:pos="2381"/>
                <w:tab w:val="clear" w:pos="2948"/>
                <w:tab w:val="clear" w:pos="3515"/>
              </w:tabs>
              <w:spacing w:before="20" w:after="20"/>
              <w:jc w:val="right"/>
              <w:rPr>
                <w:i/>
                <w:iCs/>
                <w:color w:val="000000"/>
                <w:sz w:val="18"/>
                <w:szCs w:val="18"/>
              </w:rPr>
            </w:pPr>
            <w:r w:rsidRPr="001828CD">
              <w:rPr>
                <w:i/>
                <w:iCs/>
                <w:color w:val="000000"/>
                <w:sz w:val="18"/>
                <w:szCs w:val="18"/>
              </w:rPr>
              <w:t>a</w:t>
            </w:r>
          </w:p>
        </w:tc>
        <w:tc>
          <w:tcPr>
            <w:tcW w:w="1079" w:type="pct"/>
            <w:gridSpan w:val="3"/>
            <w:tcBorders>
              <w:top w:val="single" w:sz="12" w:space="0" w:color="auto"/>
              <w:bottom w:val="single" w:sz="4" w:space="0" w:color="auto"/>
            </w:tcBorders>
            <w:shd w:val="clear" w:color="auto" w:fill="auto"/>
            <w:noWrap/>
            <w:vAlign w:val="bottom"/>
            <w:hideMark/>
          </w:tcPr>
          <w:p w14:paraId="1B4DA8F7" w14:textId="77777777" w:rsidR="00B959C3" w:rsidRPr="001828CD" w:rsidRDefault="00B959C3" w:rsidP="00B10477">
            <w:pPr>
              <w:tabs>
                <w:tab w:val="clear" w:pos="1247"/>
                <w:tab w:val="clear" w:pos="1814"/>
                <w:tab w:val="clear" w:pos="2381"/>
                <w:tab w:val="clear" w:pos="2948"/>
                <w:tab w:val="clear" w:pos="3515"/>
              </w:tabs>
              <w:spacing w:before="20" w:after="20"/>
              <w:jc w:val="right"/>
              <w:rPr>
                <w:i/>
                <w:iCs/>
                <w:color w:val="000000"/>
                <w:sz w:val="18"/>
                <w:szCs w:val="18"/>
              </w:rPr>
            </w:pPr>
            <w:r w:rsidRPr="001828CD">
              <w:rPr>
                <w:i/>
                <w:iCs/>
                <w:color w:val="000000"/>
                <w:sz w:val="18"/>
                <w:szCs w:val="18"/>
              </w:rPr>
              <w:t>d</w:t>
            </w:r>
          </w:p>
        </w:tc>
        <w:tc>
          <w:tcPr>
            <w:tcW w:w="1104" w:type="pct"/>
            <w:gridSpan w:val="2"/>
            <w:tcBorders>
              <w:top w:val="single" w:sz="12" w:space="0" w:color="auto"/>
              <w:bottom w:val="single" w:sz="4" w:space="0" w:color="auto"/>
            </w:tcBorders>
            <w:shd w:val="clear" w:color="auto" w:fill="auto"/>
            <w:noWrap/>
            <w:vAlign w:val="bottom"/>
            <w:hideMark/>
          </w:tcPr>
          <w:p w14:paraId="0D57DC0F" w14:textId="77777777" w:rsidR="00B959C3" w:rsidRPr="001828CD" w:rsidRDefault="00B959C3" w:rsidP="00B10477">
            <w:pPr>
              <w:tabs>
                <w:tab w:val="clear" w:pos="1247"/>
                <w:tab w:val="clear" w:pos="1814"/>
                <w:tab w:val="clear" w:pos="2381"/>
                <w:tab w:val="clear" w:pos="2948"/>
                <w:tab w:val="clear" w:pos="3515"/>
              </w:tabs>
              <w:spacing w:before="20" w:after="20"/>
              <w:jc w:val="right"/>
              <w:rPr>
                <w:i/>
                <w:iCs/>
                <w:color w:val="000000"/>
                <w:sz w:val="18"/>
                <w:szCs w:val="18"/>
              </w:rPr>
            </w:pPr>
            <w:r w:rsidRPr="001828CD">
              <w:rPr>
                <w:i/>
                <w:iCs/>
                <w:color w:val="000000"/>
                <w:sz w:val="18"/>
                <w:szCs w:val="18"/>
              </w:rPr>
              <w:t>c</w:t>
            </w:r>
          </w:p>
        </w:tc>
        <w:tc>
          <w:tcPr>
            <w:tcW w:w="384" w:type="pct"/>
            <w:tcBorders>
              <w:top w:val="single" w:sz="12" w:space="0" w:color="auto"/>
              <w:bottom w:val="single" w:sz="4" w:space="0" w:color="auto"/>
            </w:tcBorders>
            <w:shd w:val="clear" w:color="auto" w:fill="auto"/>
            <w:noWrap/>
            <w:vAlign w:val="bottom"/>
            <w:hideMark/>
          </w:tcPr>
          <w:p w14:paraId="7EA1D422" w14:textId="77777777" w:rsidR="00B959C3" w:rsidRPr="001828CD" w:rsidRDefault="00B959C3" w:rsidP="00B10477">
            <w:pPr>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 </w:t>
            </w:r>
          </w:p>
        </w:tc>
      </w:tr>
      <w:tr w:rsidR="00B959C3" w:rsidRPr="001828CD" w14:paraId="43EF60C6" w14:textId="77777777" w:rsidTr="00593823">
        <w:trPr>
          <w:trHeight w:val="335"/>
        </w:trPr>
        <w:tc>
          <w:tcPr>
            <w:tcW w:w="5000" w:type="pct"/>
            <w:gridSpan w:val="8"/>
            <w:tcBorders>
              <w:top w:val="single" w:sz="4" w:space="0" w:color="auto"/>
              <w:bottom w:val="single" w:sz="4" w:space="0" w:color="auto"/>
            </w:tcBorders>
            <w:shd w:val="clear" w:color="auto" w:fill="auto"/>
            <w:hideMark/>
          </w:tcPr>
          <w:p w14:paraId="30B8FDDA" w14:textId="07EA067B" w:rsidR="00B959C3" w:rsidRPr="001828CD" w:rsidRDefault="00B959C3" w:rsidP="00B10477">
            <w:pPr>
              <w:keepNext/>
              <w:keepLines/>
              <w:tabs>
                <w:tab w:val="clear" w:pos="1247"/>
                <w:tab w:val="clear" w:pos="1814"/>
                <w:tab w:val="clear" w:pos="2381"/>
                <w:tab w:val="clear" w:pos="2948"/>
                <w:tab w:val="clear" w:pos="3515"/>
              </w:tabs>
              <w:spacing w:before="80" w:after="40"/>
              <w:rPr>
                <w:bCs/>
                <w:color w:val="000000"/>
                <w:sz w:val="18"/>
                <w:szCs w:val="18"/>
              </w:rPr>
            </w:pPr>
            <w:r w:rsidRPr="001828CD">
              <w:rPr>
                <w:bCs/>
                <w:color w:val="000000"/>
                <w:sz w:val="18"/>
                <w:szCs w:val="18"/>
              </w:rPr>
              <w:t xml:space="preserve">Option 2 (standalone): </w:t>
            </w:r>
            <w:r w:rsidR="007610B9">
              <w:rPr>
                <w:bCs/>
                <w:color w:val="000000"/>
                <w:sz w:val="18"/>
                <w:szCs w:val="18"/>
              </w:rPr>
              <w:t>Standalone</w:t>
            </w:r>
            <w:r w:rsidR="007610B9" w:rsidRPr="001828CD">
              <w:rPr>
                <w:bCs/>
                <w:color w:val="000000"/>
                <w:sz w:val="18"/>
                <w:szCs w:val="18"/>
              </w:rPr>
              <w:t xml:space="preserve"> </w:t>
            </w:r>
            <w:r w:rsidRPr="001828CD">
              <w:rPr>
                <w:bCs/>
                <w:color w:val="000000"/>
                <w:sz w:val="18"/>
                <w:szCs w:val="18"/>
              </w:rPr>
              <w:t>secretariat of the Minamata Convention (location: to be confirmed among Bangkok, Geneva, Nairobi, Osaka, Vienna and Washington, D.C.)</w:t>
            </w:r>
          </w:p>
        </w:tc>
      </w:tr>
      <w:tr w:rsidR="00B959C3" w:rsidRPr="001828CD" w14:paraId="0D78F5E4" w14:textId="77777777" w:rsidTr="00EA17CB">
        <w:trPr>
          <w:trHeight w:val="58"/>
        </w:trPr>
        <w:tc>
          <w:tcPr>
            <w:tcW w:w="1231" w:type="pct"/>
            <w:vMerge w:val="restart"/>
            <w:tcBorders>
              <w:top w:val="single" w:sz="4" w:space="0" w:color="auto"/>
              <w:bottom w:val="single" w:sz="12" w:space="0" w:color="auto"/>
            </w:tcBorders>
            <w:shd w:val="clear" w:color="auto" w:fill="auto"/>
            <w:noWrap/>
            <w:vAlign w:val="bottom"/>
            <w:hideMark/>
          </w:tcPr>
          <w:p w14:paraId="516057D5"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bCs/>
                <w:color w:val="000000"/>
                <w:sz w:val="18"/>
                <w:szCs w:val="18"/>
              </w:rPr>
            </w:pPr>
            <w:r w:rsidRPr="001828CD">
              <w:rPr>
                <w:bCs/>
                <w:color w:val="000000"/>
                <w:sz w:val="18"/>
                <w:szCs w:val="18"/>
              </w:rPr>
              <w:t>Staff category and level</w:t>
            </w:r>
          </w:p>
        </w:tc>
        <w:tc>
          <w:tcPr>
            <w:tcW w:w="3769" w:type="pct"/>
            <w:gridSpan w:val="7"/>
            <w:tcBorders>
              <w:top w:val="single" w:sz="4" w:space="0" w:color="auto"/>
              <w:bottom w:val="single" w:sz="4" w:space="0" w:color="auto"/>
            </w:tcBorders>
            <w:shd w:val="clear" w:color="auto" w:fill="auto"/>
            <w:noWrap/>
            <w:vAlign w:val="bottom"/>
            <w:hideMark/>
          </w:tcPr>
          <w:p w14:paraId="7816604A"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center"/>
              <w:rPr>
                <w:bCs/>
                <w:color w:val="000000"/>
                <w:sz w:val="18"/>
                <w:szCs w:val="18"/>
              </w:rPr>
            </w:pPr>
            <w:r w:rsidRPr="001828CD">
              <w:rPr>
                <w:bCs/>
                <w:color w:val="000000"/>
                <w:sz w:val="18"/>
                <w:szCs w:val="18"/>
              </w:rPr>
              <w:t>Total proposed for the Minamata Convention secretariat 2018–2019</w:t>
            </w:r>
          </w:p>
        </w:tc>
      </w:tr>
      <w:tr w:rsidR="00B959C3" w:rsidRPr="001828CD" w14:paraId="4986013D" w14:textId="77777777" w:rsidTr="00EA17CB">
        <w:trPr>
          <w:trHeight w:val="58"/>
        </w:trPr>
        <w:tc>
          <w:tcPr>
            <w:tcW w:w="1231" w:type="pct"/>
            <w:vMerge/>
            <w:tcBorders>
              <w:bottom w:val="single" w:sz="12" w:space="0" w:color="auto"/>
            </w:tcBorders>
            <w:vAlign w:val="bottom"/>
            <w:hideMark/>
          </w:tcPr>
          <w:p w14:paraId="747DDACE"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b/>
                <w:bCs/>
                <w:color w:val="000000"/>
                <w:sz w:val="18"/>
                <w:szCs w:val="18"/>
              </w:rPr>
            </w:pPr>
          </w:p>
        </w:tc>
        <w:tc>
          <w:tcPr>
            <w:tcW w:w="1231" w:type="pct"/>
            <w:gridSpan w:val="2"/>
            <w:tcBorders>
              <w:bottom w:val="single" w:sz="12" w:space="0" w:color="auto"/>
            </w:tcBorders>
            <w:shd w:val="clear" w:color="auto" w:fill="auto"/>
            <w:vAlign w:val="center"/>
            <w:hideMark/>
          </w:tcPr>
          <w:p w14:paraId="1B400CC5"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Minamata-Convention funded Basel, Rotterdam, Stockholm and Minamata</w:t>
            </w:r>
            <w:r w:rsidRPr="001828CD" w:rsidDel="006123AC">
              <w:rPr>
                <w:bCs/>
                <w:i/>
                <w:color w:val="000000"/>
                <w:sz w:val="18"/>
                <w:szCs w:val="18"/>
              </w:rPr>
              <w:t xml:space="preserve"> </w:t>
            </w:r>
            <w:r w:rsidRPr="001828CD">
              <w:rPr>
                <w:bCs/>
                <w:i/>
                <w:color w:val="000000"/>
                <w:sz w:val="18"/>
                <w:szCs w:val="18"/>
              </w:rPr>
              <w:t>convention posts</w:t>
            </w:r>
          </w:p>
        </w:tc>
        <w:tc>
          <w:tcPr>
            <w:tcW w:w="923" w:type="pct"/>
            <w:tcBorders>
              <w:bottom w:val="single" w:sz="12" w:space="0" w:color="auto"/>
            </w:tcBorders>
            <w:shd w:val="clear" w:color="auto" w:fill="auto"/>
            <w:vAlign w:val="center"/>
            <w:hideMark/>
          </w:tcPr>
          <w:p w14:paraId="0336A5D5"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New Minamata Convention-funded posts</w:t>
            </w:r>
          </w:p>
        </w:tc>
        <w:tc>
          <w:tcPr>
            <w:tcW w:w="1154" w:type="pct"/>
            <w:gridSpan w:val="2"/>
            <w:tcBorders>
              <w:bottom w:val="single" w:sz="12" w:space="0" w:color="auto"/>
            </w:tcBorders>
            <w:shd w:val="clear" w:color="auto" w:fill="auto"/>
            <w:vAlign w:val="center"/>
            <w:hideMark/>
          </w:tcPr>
          <w:p w14:paraId="62847BB2"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Minamata Convention posts funded by programme support costs</w:t>
            </w:r>
          </w:p>
        </w:tc>
        <w:tc>
          <w:tcPr>
            <w:tcW w:w="461" w:type="pct"/>
            <w:gridSpan w:val="2"/>
            <w:tcBorders>
              <w:bottom w:val="single" w:sz="12" w:space="0" w:color="auto"/>
            </w:tcBorders>
            <w:shd w:val="clear" w:color="auto" w:fill="auto"/>
            <w:noWrap/>
            <w:vAlign w:val="center"/>
            <w:hideMark/>
          </w:tcPr>
          <w:p w14:paraId="0F8A5906"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Cs/>
                <w:i/>
                <w:color w:val="000000"/>
                <w:sz w:val="18"/>
                <w:szCs w:val="18"/>
              </w:rPr>
            </w:pPr>
            <w:r w:rsidRPr="001828CD">
              <w:rPr>
                <w:bCs/>
                <w:i/>
                <w:color w:val="000000"/>
                <w:sz w:val="18"/>
                <w:szCs w:val="18"/>
              </w:rPr>
              <w:t>Total</w:t>
            </w:r>
          </w:p>
        </w:tc>
      </w:tr>
      <w:tr w:rsidR="00B959C3" w:rsidRPr="001828CD" w14:paraId="4531FCF5" w14:textId="77777777" w:rsidTr="00EA17CB">
        <w:trPr>
          <w:trHeight w:val="58"/>
        </w:trPr>
        <w:tc>
          <w:tcPr>
            <w:tcW w:w="1231" w:type="pct"/>
            <w:tcBorders>
              <w:top w:val="single" w:sz="12" w:space="0" w:color="auto"/>
            </w:tcBorders>
            <w:shd w:val="clear" w:color="auto" w:fill="auto"/>
            <w:noWrap/>
            <w:vAlign w:val="bottom"/>
            <w:hideMark/>
          </w:tcPr>
          <w:p w14:paraId="34EA54A2"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A. Professional categories</w:t>
            </w:r>
          </w:p>
        </w:tc>
        <w:tc>
          <w:tcPr>
            <w:tcW w:w="1231" w:type="pct"/>
            <w:gridSpan w:val="2"/>
            <w:tcBorders>
              <w:top w:val="single" w:sz="12" w:space="0" w:color="auto"/>
            </w:tcBorders>
            <w:shd w:val="clear" w:color="auto" w:fill="auto"/>
            <w:noWrap/>
            <w:vAlign w:val="bottom"/>
            <w:hideMark/>
          </w:tcPr>
          <w:p w14:paraId="1CBD8BAB"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tcBorders>
              <w:top w:val="single" w:sz="12" w:space="0" w:color="auto"/>
            </w:tcBorders>
            <w:shd w:val="clear" w:color="auto" w:fill="auto"/>
            <w:noWrap/>
            <w:vAlign w:val="bottom"/>
            <w:hideMark/>
          </w:tcPr>
          <w:p w14:paraId="2EA3D72B"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1154" w:type="pct"/>
            <w:gridSpan w:val="2"/>
            <w:tcBorders>
              <w:top w:val="single" w:sz="12" w:space="0" w:color="auto"/>
            </w:tcBorders>
            <w:shd w:val="clear" w:color="auto" w:fill="auto"/>
            <w:noWrap/>
            <w:vAlign w:val="bottom"/>
            <w:hideMark/>
          </w:tcPr>
          <w:p w14:paraId="5E82615D"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461" w:type="pct"/>
            <w:gridSpan w:val="2"/>
            <w:tcBorders>
              <w:top w:val="single" w:sz="12" w:space="0" w:color="auto"/>
            </w:tcBorders>
            <w:shd w:val="clear" w:color="auto" w:fill="auto"/>
            <w:noWrap/>
            <w:vAlign w:val="bottom"/>
            <w:hideMark/>
          </w:tcPr>
          <w:p w14:paraId="4ADE1755"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r>
      <w:tr w:rsidR="00B959C3" w:rsidRPr="001828CD" w14:paraId="54DC9A54" w14:textId="77777777" w:rsidTr="00EA17CB">
        <w:trPr>
          <w:trHeight w:val="58"/>
        </w:trPr>
        <w:tc>
          <w:tcPr>
            <w:tcW w:w="1231" w:type="pct"/>
            <w:shd w:val="clear" w:color="auto" w:fill="auto"/>
            <w:noWrap/>
            <w:vAlign w:val="bottom"/>
            <w:hideMark/>
          </w:tcPr>
          <w:p w14:paraId="29C21E1E" w14:textId="325D3600"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D-2 </w:t>
            </w:r>
          </w:p>
        </w:tc>
        <w:tc>
          <w:tcPr>
            <w:tcW w:w="1231" w:type="pct"/>
            <w:gridSpan w:val="2"/>
            <w:shd w:val="clear" w:color="auto" w:fill="auto"/>
            <w:noWrap/>
            <w:vAlign w:val="bottom"/>
            <w:hideMark/>
          </w:tcPr>
          <w:p w14:paraId="170A39F2"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shd w:val="clear" w:color="auto" w:fill="auto"/>
            <w:noWrap/>
            <w:vAlign w:val="bottom"/>
            <w:hideMark/>
          </w:tcPr>
          <w:p w14:paraId="7E5DB29B"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1154" w:type="pct"/>
            <w:gridSpan w:val="2"/>
            <w:shd w:val="clear" w:color="auto" w:fill="auto"/>
            <w:noWrap/>
            <w:vAlign w:val="bottom"/>
            <w:hideMark/>
          </w:tcPr>
          <w:p w14:paraId="6B99DF43"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09171065"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r>
      <w:tr w:rsidR="00B959C3" w:rsidRPr="001828CD" w14:paraId="5DEA9A0A" w14:textId="77777777" w:rsidTr="00EA17CB">
        <w:trPr>
          <w:trHeight w:val="68"/>
        </w:trPr>
        <w:tc>
          <w:tcPr>
            <w:tcW w:w="1231" w:type="pct"/>
            <w:shd w:val="clear" w:color="auto" w:fill="auto"/>
            <w:noWrap/>
            <w:vAlign w:val="bottom"/>
            <w:hideMark/>
          </w:tcPr>
          <w:p w14:paraId="2E1965BA" w14:textId="3CED7DE9"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D-1 </w:t>
            </w:r>
          </w:p>
        </w:tc>
        <w:tc>
          <w:tcPr>
            <w:tcW w:w="1231" w:type="pct"/>
            <w:gridSpan w:val="2"/>
            <w:shd w:val="clear" w:color="auto" w:fill="auto"/>
            <w:noWrap/>
            <w:vAlign w:val="bottom"/>
            <w:hideMark/>
          </w:tcPr>
          <w:p w14:paraId="1F6068EA"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shd w:val="clear" w:color="auto" w:fill="auto"/>
            <w:noWrap/>
            <w:vAlign w:val="bottom"/>
            <w:hideMark/>
          </w:tcPr>
          <w:p w14:paraId="50A59267"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c>
          <w:tcPr>
            <w:tcW w:w="1154" w:type="pct"/>
            <w:gridSpan w:val="2"/>
            <w:shd w:val="clear" w:color="auto" w:fill="auto"/>
            <w:noWrap/>
            <w:vAlign w:val="bottom"/>
            <w:hideMark/>
          </w:tcPr>
          <w:p w14:paraId="7AEE5880"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24C61399"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r>
      <w:tr w:rsidR="00B959C3" w:rsidRPr="001828CD" w14:paraId="6D85A6C7" w14:textId="77777777" w:rsidTr="00EA17CB">
        <w:trPr>
          <w:trHeight w:val="68"/>
        </w:trPr>
        <w:tc>
          <w:tcPr>
            <w:tcW w:w="1231" w:type="pct"/>
            <w:shd w:val="clear" w:color="auto" w:fill="auto"/>
            <w:noWrap/>
            <w:vAlign w:val="bottom"/>
            <w:hideMark/>
          </w:tcPr>
          <w:p w14:paraId="0C245A16" w14:textId="7E041A4C"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P-5 </w:t>
            </w:r>
          </w:p>
        </w:tc>
        <w:tc>
          <w:tcPr>
            <w:tcW w:w="1231" w:type="pct"/>
            <w:gridSpan w:val="2"/>
            <w:shd w:val="clear" w:color="auto" w:fill="auto"/>
            <w:noWrap/>
            <w:vAlign w:val="bottom"/>
            <w:hideMark/>
          </w:tcPr>
          <w:p w14:paraId="69A0B968"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shd w:val="clear" w:color="auto" w:fill="auto"/>
            <w:noWrap/>
            <w:vAlign w:val="bottom"/>
            <w:hideMark/>
          </w:tcPr>
          <w:p w14:paraId="55F5CC8E"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2.00</w:t>
            </w:r>
          </w:p>
        </w:tc>
        <w:tc>
          <w:tcPr>
            <w:tcW w:w="1154" w:type="pct"/>
            <w:gridSpan w:val="2"/>
            <w:shd w:val="clear" w:color="auto" w:fill="auto"/>
            <w:noWrap/>
            <w:vAlign w:val="bottom"/>
            <w:hideMark/>
          </w:tcPr>
          <w:p w14:paraId="51B55481"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3477A870"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2.00</w:t>
            </w:r>
          </w:p>
        </w:tc>
      </w:tr>
      <w:tr w:rsidR="00B959C3" w:rsidRPr="001828CD" w14:paraId="1A83D7B5" w14:textId="77777777" w:rsidTr="00EA17CB">
        <w:trPr>
          <w:trHeight w:val="68"/>
        </w:trPr>
        <w:tc>
          <w:tcPr>
            <w:tcW w:w="1231" w:type="pct"/>
            <w:shd w:val="clear" w:color="auto" w:fill="auto"/>
            <w:noWrap/>
            <w:vAlign w:val="bottom"/>
            <w:hideMark/>
          </w:tcPr>
          <w:p w14:paraId="3B5C152F" w14:textId="7E71E0D3"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P-4 </w:t>
            </w:r>
          </w:p>
        </w:tc>
        <w:tc>
          <w:tcPr>
            <w:tcW w:w="1231" w:type="pct"/>
            <w:gridSpan w:val="2"/>
            <w:shd w:val="clear" w:color="auto" w:fill="auto"/>
            <w:noWrap/>
            <w:vAlign w:val="bottom"/>
            <w:hideMark/>
          </w:tcPr>
          <w:p w14:paraId="56A56D56"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shd w:val="clear" w:color="auto" w:fill="auto"/>
            <w:noWrap/>
            <w:vAlign w:val="bottom"/>
            <w:hideMark/>
          </w:tcPr>
          <w:p w14:paraId="23605E1A"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2.00</w:t>
            </w:r>
          </w:p>
        </w:tc>
        <w:tc>
          <w:tcPr>
            <w:tcW w:w="1154" w:type="pct"/>
            <w:gridSpan w:val="2"/>
            <w:shd w:val="clear" w:color="auto" w:fill="auto"/>
            <w:noWrap/>
            <w:vAlign w:val="bottom"/>
            <w:hideMark/>
          </w:tcPr>
          <w:p w14:paraId="4306C777"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761EE6A9"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2.00</w:t>
            </w:r>
          </w:p>
        </w:tc>
      </w:tr>
      <w:tr w:rsidR="00B959C3" w:rsidRPr="001828CD" w14:paraId="4A76F898" w14:textId="77777777" w:rsidTr="00EA17CB">
        <w:trPr>
          <w:trHeight w:val="68"/>
        </w:trPr>
        <w:tc>
          <w:tcPr>
            <w:tcW w:w="1231" w:type="pct"/>
            <w:shd w:val="clear" w:color="auto" w:fill="auto"/>
            <w:noWrap/>
            <w:vAlign w:val="bottom"/>
            <w:hideMark/>
          </w:tcPr>
          <w:p w14:paraId="4EF70D66" w14:textId="71CAEB5F"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P-3 </w:t>
            </w:r>
          </w:p>
        </w:tc>
        <w:tc>
          <w:tcPr>
            <w:tcW w:w="1231" w:type="pct"/>
            <w:gridSpan w:val="2"/>
            <w:shd w:val="clear" w:color="auto" w:fill="auto"/>
            <w:noWrap/>
            <w:vAlign w:val="bottom"/>
            <w:hideMark/>
          </w:tcPr>
          <w:p w14:paraId="76C9E94E"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shd w:val="clear" w:color="auto" w:fill="auto"/>
            <w:noWrap/>
            <w:vAlign w:val="bottom"/>
            <w:hideMark/>
          </w:tcPr>
          <w:p w14:paraId="3B083AB7"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4.00</w:t>
            </w:r>
          </w:p>
        </w:tc>
        <w:tc>
          <w:tcPr>
            <w:tcW w:w="1154" w:type="pct"/>
            <w:gridSpan w:val="2"/>
            <w:shd w:val="clear" w:color="auto" w:fill="auto"/>
            <w:noWrap/>
            <w:vAlign w:val="bottom"/>
            <w:hideMark/>
          </w:tcPr>
          <w:p w14:paraId="45C14F2E"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c>
          <w:tcPr>
            <w:tcW w:w="461" w:type="pct"/>
            <w:gridSpan w:val="2"/>
            <w:shd w:val="clear" w:color="auto" w:fill="auto"/>
            <w:noWrap/>
            <w:vAlign w:val="bottom"/>
            <w:hideMark/>
          </w:tcPr>
          <w:p w14:paraId="2407633E"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5.00</w:t>
            </w:r>
          </w:p>
        </w:tc>
      </w:tr>
      <w:tr w:rsidR="00B959C3" w:rsidRPr="001828CD" w14:paraId="7564FCA8" w14:textId="77777777" w:rsidTr="00B10477">
        <w:trPr>
          <w:trHeight w:val="68"/>
        </w:trPr>
        <w:tc>
          <w:tcPr>
            <w:tcW w:w="1231" w:type="pct"/>
            <w:tcBorders>
              <w:bottom w:val="single" w:sz="4" w:space="0" w:color="auto"/>
            </w:tcBorders>
            <w:shd w:val="clear" w:color="auto" w:fill="auto"/>
            <w:noWrap/>
            <w:vAlign w:val="bottom"/>
            <w:hideMark/>
          </w:tcPr>
          <w:p w14:paraId="512BCC77" w14:textId="10B48AEF" w:rsidR="00B959C3" w:rsidRPr="001828CD" w:rsidRDefault="00B959C3" w:rsidP="00B10477">
            <w:pPr>
              <w:tabs>
                <w:tab w:val="clear" w:pos="1247"/>
                <w:tab w:val="clear" w:pos="1814"/>
                <w:tab w:val="clear" w:pos="2381"/>
                <w:tab w:val="clear" w:pos="2948"/>
                <w:tab w:val="clear" w:pos="3515"/>
              </w:tabs>
              <w:spacing w:before="20" w:after="20"/>
              <w:ind w:left="227"/>
              <w:rPr>
                <w:color w:val="000000"/>
                <w:sz w:val="18"/>
                <w:szCs w:val="18"/>
              </w:rPr>
            </w:pPr>
            <w:r w:rsidRPr="001828CD">
              <w:rPr>
                <w:color w:val="000000"/>
                <w:sz w:val="18"/>
                <w:szCs w:val="18"/>
              </w:rPr>
              <w:t xml:space="preserve">P-2 </w:t>
            </w:r>
          </w:p>
        </w:tc>
        <w:tc>
          <w:tcPr>
            <w:tcW w:w="1231" w:type="pct"/>
            <w:gridSpan w:val="2"/>
            <w:tcBorders>
              <w:bottom w:val="single" w:sz="4" w:space="0" w:color="auto"/>
            </w:tcBorders>
            <w:shd w:val="clear" w:color="auto" w:fill="auto"/>
            <w:noWrap/>
            <w:vAlign w:val="bottom"/>
            <w:hideMark/>
          </w:tcPr>
          <w:p w14:paraId="184FC4A1"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tcBorders>
              <w:bottom w:val="single" w:sz="4" w:space="0" w:color="auto"/>
            </w:tcBorders>
            <w:shd w:val="clear" w:color="auto" w:fill="auto"/>
            <w:noWrap/>
            <w:vAlign w:val="bottom"/>
            <w:hideMark/>
          </w:tcPr>
          <w:p w14:paraId="47370E55"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1154" w:type="pct"/>
            <w:gridSpan w:val="2"/>
            <w:tcBorders>
              <w:bottom w:val="single" w:sz="4" w:space="0" w:color="auto"/>
            </w:tcBorders>
            <w:shd w:val="clear" w:color="auto" w:fill="auto"/>
            <w:noWrap/>
            <w:vAlign w:val="bottom"/>
            <w:hideMark/>
          </w:tcPr>
          <w:p w14:paraId="262DB569"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461" w:type="pct"/>
            <w:gridSpan w:val="2"/>
            <w:tcBorders>
              <w:bottom w:val="single" w:sz="4" w:space="0" w:color="auto"/>
            </w:tcBorders>
            <w:shd w:val="clear" w:color="auto" w:fill="auto"/>
            <w:noWrap/>
            <w:vAlign w:val="bottom"/>
            <w:hideMark/>
          </w:tcPr>
          <w:p w14:paraId="42955184"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r>
      <w:tr w:rsidR="00B959C3" w:rsidRPr="001828CD" w14:paraId="588FC4B1" w14:textId="77777777" w:rsidTr="00EA17CB">
        <w:trPr>
          <w:trHeight w:val="58"/>
        </w:trPr>
        <w:tc>
          <w:tcPr>
            <w:tcW w:w="1231" w:type="pct"/>
            <w:tcBorders>
              <w:top w:val="single" w:sz="4" w:space="0" w:color="auto"/>
              <w:bottom w:val="single" w:sz="4" w:space="0" w:color="auto"/>
            </w:tcBorders>
            <w:shd w:val="clear" w:color="auto" w:fill="auto"/>
            <w:noWrap/>
            <w:vAlign w:val="bottom"/>
            <w:hideMark/>
          </w:tcPr>
          <w:p w14:paraId="3E3DB2B7" w14:textId="77777777" w:rsidR="00B959C3" w:rsidRPr="001828CD" w:rsidRDefault="00B959C3" w:rsidP="00B10477">
            <w:pPr>
              <w:tabs>
                <w:tab w:val="clear" w:pos="1247"/>
                <w:tab w:val="clear" w:pos="1814"/>
                <w:tab w:val="clear" w:pos="2381"/>
                <w:tab w:val="clear" w:pos="2948"/>
                <w:tab w:val="clear" w:pos="3515"/>
              </w:tabs>
              <w:spacing w:before="20" w:after="20"/>
              <w:ind w:left="340"/>
              <w:rPr>
                <w:b/>
                <w:iCs/>
                <w:color w:val="000000"/>
                <w:sz w:val="18"/>
                <w:szCs w:val="18"/>
              </w:rPr>
            </w:pPr>
            <w:r w:rsidRPr="001828CD">
              <w:rPr>
                <w:b/>
                <w:iCs/>
                <w:color w:val="000000"/>
                <w:sz w:val="18"/>
                <w:szCs w:val="18"/>
              </w:rPr>
              <w:t>Subtotal A</w:t>
            </w:r>
          </w:p>
        </w:tc>
        <w:tc>
          <w:tcPr>
            <w:tcW w:w="1231" w:type="pct"/>
            <w:gridSpan w:val="2"/>
            <w:tcBorders>
              <w:top w:val="single" w:sz="4" w:space="0" w:color="auto"/>
              <w:bottom w:val="single" w:sz="4" w:space="0" w:color="auto"/>
            </w:tcBorders>
            <w:shd w:val="clear" w:color="auto" w:fill="auto"/>
            <w:noWrap/>
            <w:vAlign w:val="bottom"/>
            <w:hideMark/>
          </w:tcPr>
          <w:p w14:paraId="5FFDEFB8"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b/>
                <w:iCs/>
                <w:color w:val="000000"/>
                <w:sz w:val="18"/>
                <w:szCs w:val="18"/>
              </w:rPr>
            </w:pPr>
            <w:r w:rsidRPr="001828CD">
              <w:rPr>
                <w:b/>
                <w:iCs/>
                <w:color w:val="000000"/>
                <w:sz w:val="18"/>
                <w:szCs w:val="18"/>
              </w:rPr>
              <w:t> </w:t>
            </w:r>
          </w:p>
        </w:tc>
        <w:tc>
          <w:tcPr>
            <w:tcW w:w="923" w:type="pct"/>
            <w:tcBorders>
              <w:top w:val="single" w:sz="4" w:space="0" w:color="auto"/>
              <w:bottom w:val="single" w:sz="4" w:space="0" w:color="auto"/>
            </w:tcBorders>
            <w:shd w:val="clear" w:color="auto" w:fill="auto"/>
            <w:noWrap/>
            <w:vAlign w:val="bottom"/>
            <w:hideMark/>
          </w:tcPr>
          <w:p w14:paraId="2BE24C7F"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9.00</w:t>
            </w:r>
          </w:p>
        </w:tc>
        <w:tc>
          <w:tcPr>
            <w:tcW w:w="1154" w:type="pct"/>
            <w:gridSpan w:val="2"/>
            <w:tcBorders>
              <w:top w:val="single" w:sz="4" w:space="0" w:color="auto"/>
              <w:bottom w:val="single" w:sz="4" w:space="0" w:color="auto"/>
            </w:tcBorders>
            <w:shd w:val="clear" w:color="auto" w:fill="auto"/>
            <w:noWrap/>
            <w:vAlign w:val="bottom"/>
            <w:hideMark/>
          </w:tcPr>
          <w:p w14:paraId="239D7822"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1.00</w:t>
            </w:r>
          </w:p>
        </w:tc>
        <w:tc>
          <w:tcPr>
            <w:tcW w:w="461" w:type="pct"/>
            <w:gridSpan w:val="2"/>
            <w:tcBorders>
              <w:top w:val="single" w:sz="4" w:space="0" w:color="auto"/>
              <w:bottom w:val="single" w:sz="4" w:space="0" w:color="auto"/>
            </w:tcBorders>
            <w:shd w:val="clear" w:color="auto" w:fill="auto"/>
            <w:noWrap/>
            <w:vAlign w:val="bottom"/>
            <w:hideMark/>
          </w:tcPr>
          <w:p w14:paraId="6B167B94"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10.0</w:t>
            </w:r>
          </w:p>
        </w:tc>
      </w:tr>
      <w:tr w:rsidR="00B959C3" w:rsidRPr="001828CD" w14:paraId="24642D54" w14:textId="77777777" w:rsidTr="00EA17CB">
        <w:trPr>
          <w:trHeight w:val="58"/>
        </w:trPr>
        <w:tc>
          <w:tcPr>
            <w:tcW w:w="1231" w:type="pct"/>
            <w:tcBorders>
              <w:top w:val="single" w:sz="4" w:space="0" w:color="auto"/>
            </w:tcBorders>
            <w:shd w:val="clear" w:color="auto" w:fill="auto"/>
            <w:noWrap/>
            <w:vAlign w:val="bottom"/>
            <w:hideMark/>
          </w:tcPr>
          <w:p w14:paraId="1E7991BF"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B. General Service category</w:t>
            </w:r>
          </w:p>
        </w:tc>
        <w:tc>
          <w:tcPr>
            <w:tcW w:w="1231" w:type="pct"/>
            <w:gridSpan w:val="2"/>
            <w:tcBorders>
              <w:top w:val="single" w:sz="4" w:space="0" w:color="auto"/>
            </w:tcBorders>
            <w:shd w:val="clear" w:color="auto" w:fill="auto"/>
            <w:noWrap/>
            <w:vAlign w:val="bottom"/>
            <w:hideMark/>
          </w:tcPr>
          <w:p w14:paraId="38D8FEE4"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tcBorders>
              <w:top w:val="single" w:sz="4" w:space="0" w:color="auto"/>
            </w:tcBorders>
            <w:shd w:val="clear" w:color="auto" w:fill="auto"/>
            <w:noWrap/>
            <w:vAlign w:val="bottom"/>
            <w:hideMark/>
          </w:tcPr>
          <w:p w14:paraId="77B734A3"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1154" w:type="pct"/>
            <w:gridSpan w:val="2"/>
            <w:tcBorders>
              <w:top w:val="single" w:sz="4" w:space="0" w:color="auto"/>
            </w:tcBorders>
            <w:shd w:val="clear" w:color="auto" w:fill="auto"/>
            <w:noWrap/>
            <w:vAlign w:val="bottom"/>
            <w:hideMark/>
          </w:tcPr>
          <w:p w14:paraId="4A6B39D0"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461" w:type="pct"/>
            <w:gridSpan w:val="2"/>
            <w:tcBorders>
              <w:top w:val="single" w:sz="4" w:space="0" w:color="auto"/>
            </w:tcBorders>
            <w:shd w:val="clear" w:color="auto" w:fill="auto"/>
            <w:noWrap/>
            <w:vAlign w:val="bottom"/>
            <w:hideMark/>
          </w:tcPr>
          <w:p w14:paraId="0E95D049"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r>
      <w:tr w:rsidR="00B959C3" w:rsidRPr="001828CD" w14:paraId="11253E25" w14:textId="77777777" w:rsidTr="00EA17CB">
        <w:trPr>
          <w:trHeight w:val="68"/>
        </w:trPr>
        <w:tc>
          <w:tcPr>
            <w:tcW w:w="1231" w:type="pct"/>
            <w:tcBorders>
              <w:bottom w:val="single" w:sz="4" w:space="0" w:color="auto"/>
            </w:tcBorders>
            <w:shd w:val="clear" w:color="auto" w:fill="auto"/>
            <w:noWrap/>
            <w:vAlign w:val="bottom"/>
            <w:hideMark/>
          </w:tcPr>
          <w:p w14:paraId="322BBAD2"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p>
        </w:tc>
        <w:tc>
          <w:tcPr>
            <w:tcW w:w="1231" w:type="pct"/>
            <w:gridSpan w:val="2"/>
            <w:tcBorders>
              <w:bottom w:val="single" w:sz="4" w:space="0" w:color="auto"/>
            </w:tcBorders>
            <w:shd w:val="clear" w:color="auto" w:fill="auto"/>
            <w:noWrap/>
            <w:vAlign w:val="bottom"/>
            <w:hideMark/>
          </w:tcPr>
          <w:p w14:paraId="52AAD2D2"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color w:val="000000"/>
                <w:sz w:val="18"/>
                <w:szCs w:val="18"/>
              </w:rPr>
            </w:pPr>
            <w:r w:rsidRPr="001828CD">
              <w:rPr>
                <w:color w:val="000000"/>
                <w:sz w:val="18"/>
                <w:szCs w:val="18"/>
              </w:rPr>
              <w:t> </w:t>
            </w:r>
          </w:p>
        </w:tc>
        <w:tc>
          <w:tcPr>
            <w:tcW w:w="923" w:type="pct"/>
            <w:tcBorders>
              <w:bottom w:val="single" w:sz="4" w:space="0" w:color="auto"/>
            </w:tcBorders>
            <w:shd w:val="clear" w:color="auto" w:fill="auto"/>
            <w:noWrap/>
            <w:vAlign w:val="bottom"/>
            <w:hideMark/>
          </w:tcPr>
          <w:p w14:paraId="7E669588"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4.00</w:t>
            </w:r>
          </w:p>
        </w:tc>
        <w:tc>
          <w:tcPr>
            <w:tcW w:w="1154" w:type="pct"/>
            <w:gridSpan w:val="2"/>
            <w:tcBorders>
              <w:bottom w:val="single" w:sz="4" w:space="0" w:color="auto"/>
            </w:tcBorders>
            <w:shd w:val="clear" w:color="auto" w:fill="auto"/>
            <w:noWrap/>
            <w:vAlign w:val="bottom"/>
            <w:hideMark/>
          </w:tcPr>
          <w:p w14:paraId="40837B0B"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1.00</w:t>
            </w:r>
          </w:p>
        </w:tc>
        <w:tc>
          <w:tcPr>
            <w:tcW w:w="461" w:type="pct"/>
            <w:gridSpan w:val="2"/>
            <w:tcBorders>
              <w:bottom w:val="single" w:sz="4" w:space="0" w:color="auto"/>
            </w:tcBorders>
            <w:shd w:val="clear" w:color="auto" w:fill="auto"/>
            <w:noWrap/>
            <w:vAlign w:val="bottom"/>
            <w:hideMark/>
          </w:tcPr>
          <w:p w14:paraId="0F14198F"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color w:val="000000"/>
                <w:sz w:val="18"/>
                <w:szCs w:val="18"/>
              </w:rPr>
            </w:pPr>
            <w:r w:rsidRPr="001828CD">
              <w:rPr>
                <w:color w:val="000000"/>
                <w:sz w:val="18"/>
                <w:szCs w:val="18"/>
              </w:rPr>
              <w:t>5.00</w:t>
            </w:r>
          </w:p>
        </w:tc>
      </w:tr>
      <w:tr w:rsidR="00B959C3" w:rsidRPr="001828CD" w14:paraId="3CA838E0" w14:textId="77777777" w:rsidTr="00EA17CB">
        <w:trPr>
          <w:trHeight w:val="58"/>
        </w:trPr>
        <w:tc>
          <w:tcPr>
            <w:tcW w:w="1231" w:type="pct"/>
            <w:tcBorders>
              <w:top w:val="single" w:sz="4" w:space="0" w:color="auto"/>
              <w:bottom w:val="single" w:sz="4" w:space="0" w:color="auto"/>
            </w:tcBorders>
            <w:shd w:val="clear" w:color="auto" w:fill="auto"/>
            <w:noWrap/>
            <w:vAlign w:val="bottom"/>
            <w:hideMark/>
          </w:tcPr>
          <w:p w14:paraId="5CCDD7F3" w14:textId="77777777" w:rsidR="00B959C3" w:rsidRPr="001828CD" w:rsidRDefault="00B959C3" w:rsidP="00B10477">
            <w:pPr>
              <w:tabs>
                <w:tab w:val="clear" w:pos="1247"/>
                <w:tab w:val="clear" w:pos="1814"/>
                <w:tab w:val="clear" w:pos="2381"/>
                <w:tab w:val="clear" w:pos="2948"/>
                <w:tab w:val="clear" w:pos="3515"/>
              </w:tabs>
              <w:spacing w:before="20" w:after="20"/>
              <w:ind w:left="340"/>
              <w:rPr>
                <w:b/>
                <w:iCs/>
                <w:color w:val="000000"/>
                <w:sz w:val="18"/>
                <w:szCs w:val="18"/>
              </w:rPr>
            </w:pPr>
            <w:r w:rsidRPr="001828CD">
              <w:rPr>
                <w:b/>
                <w:iCs/>
                <w:color w:val="000000"/>
                <w:sz w:val="18"/>
                <w:szCs w:val="18"/>
              </w:rPr>
              <w:t>Subtotal B</w:t>
            </w:r>
          </w:p>
        </w:tc>
        <w:tc>
          <w:tcPr>
            <w:tcW w:w="1231" w:type="pct"/>
            <w:gridSpan w:val="2"/>
            <w:tcBorders>
              <w:top w:val="single" w:sz="4" w:space="0" w:color="auto"/>
              <w:bottom w:val="single" w:sz="4" w:space="0" w:color="auto"/>
            </w:tcBorders>
            <w:shd w:val="clear" w:color="auto" w:fill="auto"/>
            <w:noWrap/>
            <w:vAlign w:val="bottom"/>
            <w:hideMark/>
          </w:tcPr>
          <w:p w14:paraId="5FE25C31"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i/>
                <w:iCs/>
                <w:color w:val="000000"/>
                <w:sz w:val="18"/>
                <w:szCs w:val="18"/>
              </w:rPr>
            </w:pPr>
            <w:r w:rsidRPr="001828CD">
              <w:rPr>
                <w:i/>
                <w:iCs/>
                <w:color w:val="000000"/>
                <w:sz w:val="18"/>
                <w:szCs w:val="18"/>
              </w:rPr>
              <w:t> </w:t>
            </w:r>
          </w:p>
        </w:tc>
        <w:tc>
          <w:tcPr>
            <w:tcW w:w="923" w:type="pct"/>
            <w:tcBorders>
              <w:top w:val="single" w:sz="4" w:space="0" w:color="auto"/>
              <w:bottom w:val="single" w:sz="4" w:space="0" w:color="auto"/>
            </w:tcBorders>
            <w:shd w:val="clear" w:color="auto" w:fill="auto"/>
            <w:noWrap/>
            <w:vAlign w:val="bottom"/>
            <w:hideMark/>
          </w:tcPr>
          <w:p w14:paraId="09F7B89E"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4.00</w:t>
            </w:r>
          </w:p>
        </w:tc>
        <w:tc>
          <w:tcPr>
            <w:tcW w:w="1154" w:type="pct"/>
            <w:gridSpan w:val="2"/>
            <w:tcBorders>
              <w:top w:val="single" w:sz="4" w:space="0" w:color="auto"/>
              <w:bottom w:val="single" w:sz="4" w:space="0" w:color="auto"/>
            </w:tcBorders>
            <w:shd w:val="clear" w:color="auto" w:fill="auto"/>
            <w:noWrap/>
            <w:vAlign w:val="bottom"/>
            <w:hideMark/>
          </w:tcPr>
          <w:p w14:paraId="7F723FB0"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1.00</w:t>
            </w:r>
          </w:p>
        </w:tc>
        <w:tc>
          <w:tcPr>
            <w:tcW w:w="461" w:type="pct"/>
            <w:gridSpan w:val="2"/>
            <w:tcBorders>
              <w:top w:val="single" w:sz="4" w:space="0" w:color="auto"/>
              <w:bottom w:val="single" w:sz="4" w:space="0" w:color="auto"/>
            </w:tcBorders>
            <w:shd w:val="clear" w:color="auto" w:fill="auto"/>
            <w:noWrap/>
            <w:vAlign w:val="bottom"/>
            <w:hideMark/>
          </w:tcPr>
          <w:p w14:paraId="5D024F47"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iCs/>
                <w:color w:val="000000"/>
                <w:sz w:val="18"/>
                <w:szCs w:val="18"/>
              </w:rPr>
            </w:pPr>
            <w:r w:rsidRPr="001828CD">
              <w:rPr>
                <w:b/>
                <w:iCs/>
                <w:color w:val="000000"/>
                <w:sz w:val="18"/>
                <w:szCs w:val="18"/>
              </w:rPr>
              <w:t>5.00</w:t>
            </w:r>
          </w:p>
        </w:tc>
      </w:tr>
      <w:tr w:rsidR="00B959C3" w:rsidRPr="001828CD" w14:paraId="5B64CCD6" w14:textId="77777777" w:rsidTr="00EA17CB">
        <w:trPr>
          <w:trHeight w:val="58"/>
        </w:trPr>
        <w:tc>
          <w:tcPr>
            <w:tcW w:w="1231" w:type="pct"/>
            <w:tcBorders>
              <w:top w:val="single" w:sz="4" w:space="0" w:color="auto"/>
              <w:bottom w:val="single" w:sz="12" w:space="0" w:color="auto"/>
            </w:tcBorders>
            <w:shd w:val="clear" w:color="auto" w:fill="auto"/>
            <w:noWrap/>
            <w:vAlign w:val="bottom"/>
            <w:hideMark/>
          </w:tcPr>
          <w:p w14:paraId="1C9ABA4D" w14:textId="77777777" w:rsidR="00B959C3" w:rsidRPr="001828CD" w:rsidRDefault="00B959C3" w:rsidP="00B10477">
            <w:pPr>
              <w:tabs>
                <w:tab w:val="clear" w:pos="1247"/>
                <w:tab w:val="clear" w:pos="1814"/>
                <w:tab w:val="clear" w:pos="2381"/>
                <w:tab w:val="clear" w:pos="2948"/>
                <w:tab w:val="clear" w:pos="3515"/>
              </w:tabs>
              <w:spacing w:before="20" w:after="20"/>
              <w:ind w:left="340"/>
              <w:rPr>
                <w:b/>
                <w:bCs/>
                <w:color w:val="000000"/>
                <w:sz w:val="18"/>
                <w:szCs w:val="18"/>
              </w:rPr>
            </w:pPr>
            <w:r w:rsidRPr="001828CD">
              <w:rPr>
                <w:b/>
                <w:bCs/>
                <w:color w:val="000000"/>
                <w:sz w:val="18"/>
                <w:szCs w:val="18"/>
              </w:rPr>
              <w:t>TOTAL (A+B)</w:t>
            </w:r>
          </w:p>
        </w:tc>
        <w:tc>
          <w:tcPr>
            <w:tcW w:w="1231" w:type="pct"/>
            <w:gridSpan w:val="2"/>
            <w:tcBorders>
              <w:top w:val="single" w:sz="4" w:space="0" w:color="auto"/>
              <w:bottom w:val="single" w:sz="12" w:space="0" w:color="auto"/>
            </w:tcBorders>
            <w:shd w:val="clear" w:color="auto" w:fill="auto"/>
            <w:noWrap/>
            <w:vAlign w:val="bottom"/>
            <w:hideMark/>
          </w:tcPr>
          <w:p w14:paraId="76E9D60A"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b/>
                <w:bCs/>
                <w:color w:val="000000"/>
                <w:sz w:val="18"/>
                <w:szCs w:val="18"/>
              </w:rPr>
            </w:pPr>
            <w:r w:rsidRPr="001828CD">
              <w:rPr>
                <w:b/>
                <w:bCs/>
                <w:color w:val="000000"/>
                <w:sz w:val="18"/>
                <w:szCs w:val="18"/>
              </w:rPr>
              <w:t> </w:t>
            </w:r>
          </w:p>
        </w:tc>
        <w:tc>
          <w:tcPr>
            <w:tcW w:w="923" w:type="pct"/>
            <w:tcBorders>
              <w:top w:val="single" w:sz="4" w:space="0" w:color="auto"/>
              <w:bottom w:val="single" w:sz="12" w:space="0" w:color="auto"/>
            </w:tcBorders>
            <w:shd w:val="clear" w:color="auto" w:fill="auto"/>
            <w:noWrap/>
            <w:vAlign w:val="bottom"/>
            <w:hideMark/>
          </w:tcPr>
          <w:p w14:paraId="03C53513"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bCs/>
                <w:color w:val="000000"/>
                <w:sz w:val="18"/>
                <w:szCs w:val="18"/>
              </w:rPr>
            </w:pPr>
            <w:r w:rsidRPr="001828CD">
              <w:rPr>
                <w:b/>
                <w:bCs/>
                <w:color w:val="000000"/>
                <w:sz w:val="18"/>
                <w:szCs w:val="18"/>
              </w:rPr>
              <w:t>13.00</w:t>
            </w:r>
          </w:p>
        </w:tc>
        <w:tc>
          <w:tcPr>
            <w:tcW w:w="1154" w:type="pct"/>
            <w:gridSpan w:val="2"/>
            <w:tcBorders>
              <w:top w:val="single" w:sz="4" w:space="0" w:color="auto"/>
              <w:bottom w:val="single" w:sz="12" w:space="0" w:color="auto"/>
            </w:tcBorders>
            <w:shd w:val="clear" w:color="auto" w:fill="auto"/>
            <w:noWrap/>
            <w:vAlign w:val="bottom"/>
            <w:hideMark/>
          </w:tcPr>
          <w:p w14:paraId="3F91BBB2"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bCs/>
                <w:color w:val="000000"/>
                <w:sz w:val="18"/>
                <w:szCs w:val="18"/>
              </w:rPr>
            </w:pPr>
            <w:r w:rsidRPr="001828CD">
              <w:rPr>
                <w:b/>
                <w:bCs/>
                <w:color w:val="000000"/>
                <w:sz w:val="18"/>
                <w:szCs w:val="18"/>
              </w:rPr>
              <w:t>2.00</w:t>
            </w:r>
          </w:p>
        </w:tc>
        <w:tc>
          <w:tcPr>
            <w:tcW w:w="461" w:type="pct"/>
            <w:gridSpan w:val="2"/>
            <w:tcBorders>
              <w:top w:val="single" w:sz="4" w:space="0" w:color="auto"/>
              <w:bottom w:val="single" w:sz="12" w:space="0" w:color="auto"/>
            </w:tcBorders>
            <w:shd w:val="clear" w:color="auto" w:fill="auto"/>
            <w:noWrap/>
            <w:vAlign w:val="bottom"/>
            <w:hideMark/>
          </w:tcPr>
          <w:p w14:paraId="54DA726E"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b/>
                <w:bCs/>
                <w:color w:val="000000"/>
                <w:sz w:val="18"/>
                <w:szCs w:val="18"/>
              </w:rPr>
            </w:pPr>
            <w:r w:rsidRPr="001828CD">
              <w:rPr>
                <w:b/>
                <w:bCs/>
                <w:color w:val="000000"/>
                <w:sz w:val="18"/>
                <w:szCs w:val="18"/>
              </w:rPr>
              <w:t>15.00</w:t>
            </w:r>
          </w:p>
        </w:tc>
      </w:tr>
      <w:tr w:rsidR="00B959C3" w:rsidRPr="001828CD" w14:paraId="1E1BEE25" w14:textId="77777777" w:rsidTr="00EA17CB">
        <w:trPr>
          <w:trHeight w:val="58"/>
        </w:trPr>
        <w:tc>
          <w:tcPr>
            <w:tcW w:w="1231" w:type="pct"/>
            <w:tcBorders>
              <w:top w:val="single" w:sz="12" w:space="0" w:color="auto"/>
              <w:bottom w:val="single" w:sz="4" w:space="0" w:color="auto"/>
            </w:tcBorders>
            <w:shd w:val="clear" w:color="auto" w:fill="auto"/>
            <w:noWrap/>
            <w:vAlign w:val="bottom"/>
            <w:hideMark/>
          </w:tcPr>
          <w:p w14:paraId="451316A4" w14:textId="77777777" w:rsidR="00B959C3" w:rsidRPr="001828CD" w:rsidRDefault="00B959C3" w:rsidP="00B10477">
            <w:pPr>
              <w:tabs>
                <w:tab w:val="clear" w:pos="1247"/>
                <w:tab w:val="clear" w:pos="1814"/>
                <w:tab w:val="clear" w:pos="2381"/>
                <w:tab w:val="clear" w:pos="2948"/>
                <w:tab w:val="clear" w:pos="3515"/>
              </w:tabs>
              <w:spacing w:before="20" w:after="20"/>
              <w:ind w:left="340"/>
              <w:rPr>
                <w:iCs/>
                <w:color w:val="000000"/>
                <w:sz w:val="18"/>
                <w:szCs w:val="18"/>
              </w:rPr>
            </w:pPr>
            <w:r w:rsidRPr="001828CD">
              <w:rPr>
                <w:iCs/>
                <w:color w:val="000000"/>
                <w:sz w:val="18"/>
                <w:szCs w:val="18"/>
              </w:rPr>
              <w:t>Remarks</w:t>
            </w:r>
          </w:p>
        </w:tc>
        <w:tc>
          <w:tcPr>
            <w:tcW w:w="1231" w:type="pct"/>
            <w:gridSpan w:val="2"/>
            <w:tcBorders>
              <w:top w:val="single" w:sz="12" w:space="0" w:color="auto"/>
              <w:bottom w:val="single" w:sz="4" w:space="0" w:color="auto"/>
            </w:tcBorders>
            <w:shd w:val="clear" w:color="auto" w:fill="auto"/>
            <w:noWrap/>
            <w:vAlign w:val="bottom"/>
            <w:hideMark/>
          </w:tcPr>
          <w:p w14:paraId="085876CF"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i/>
                <w:iCs/>
                <w:color w:val="000000"/>
                <w:sz w:val="18"/>
                <w:szCs w:val="18"/>
              </w:rPr>
            </w:pPr>
            <w:r w:rsidRPr="001828CD">
              <w:rPr>
                <w:i/>
                <w:iCs/>
                <w:color w:val="000000"/>
                <w:sz w:val="18"/>
                <w:szCs w:val="18"/>
              </w:rPr>
              <w:t> </w:t>
            </w:r>
          </w:p>
        </w:tc>
        <w:tc>
          <w:tcPr>
            <w:tcW w:w="923" w:type="pct"/>
            <w:tcBorders>
              <w:top w:val="single" w:sz="12" w:space="0" w:color="auto"/>
              <w:bottom w:val="single" w:sz="4" w:space="0" w:color="auto"/>
            </w:tcBorders>
            <w:shd w:val="clear" w:color="auto" w:fill="auto"/>
            <w:noWrap/>
            <w:vAlign w:val="bottom"/>
            <w:hideMark/>
          </w:tcPr>
          <w:p w14:paraId="44D2A5E3"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i/>
                <w:iCs/>
                <w:color w:val="000000"/>
                <w:sz w:val="18"/>
                <w:szCs w:val="18"/>
              </w:rPr>
            </w:pPr>
            <w:r w:rsidRPr="001828CD">
              <w:rPr>
                <w:i/>
                <w:iCs/>
                <w:color w:val="000000"/>
                <w:sz w:val="18"/>
                <w:szCs w:val="18"/>
              </w:rPr>
              <w:t>d</w:t>
            </w:r>
          </w:p>
        </w:tc>
        <w:tc>
          <w:tcPr>
            <w:tcW w:w="1154" w:type="pct"/>
            <w:gridSpan w:val="2"/>
            <w:tcBorders>
              <w:top w:val="single" w:sz="12" w:space="0" w:color="auto"/>
              <w:bottom w:val="single" w:sz="4" w:space="0" w:color="auto"/>
            </w:tcBorders>
            <w:shd w:val="clear" w:color="auto" w:fill="auto"/>
            <w:noWrap/>
            <w:vAlign w:val="bottom"/>
            <w:hideMark/>
          </w:tcPr>
          <w:p w14:paraId="6032C244" w14:textId="77777777" w:rsidR="00B959C3" w:rsidRPr="001828CD" w:rsidRDefault="00B959C3" w:rsidP="00B10477">
            <w:pPr>
              <w:keepNext/>
              <w:keepLines/>
              <w:tabs>
                <w:tab w:val="clear" w:pos="1247"/>
                <w:tab w:val="clear" w:pos="1814"/>
                <w:tab w:val="clear" w:pos="2381"/>
                <w:tab w:val="clear" w:pos="2948"/>
                <w:tab w:val="clear" w:pos="3515"/>
              </w:tabs>
              <w:spacing w:before="20" w:after="20"/>
              <w:jc w:val="right"/>
              <w:rPr>
                <w:i/>
                <w:iCs/>
                <w:color w:val="000000"/>
                <w:sz w:val="18"/>
                <w:szCs w:val="18"/>
              </w:rPr>
            </w:pPr>
            <w:r w:rsidRPr="001828CD">
              <w:rPr>
                <w:i/>
                <w:iCs/>
                <w:color w:val="000000"/>
                <w:sz w:val="18"/>
                <w:szCs w:val="18"/>
              </w:rPr>
              <w:t>c</w:t>
            </w:r>
          </w:p>
        </w:tc>
        <w:tc>
          <w:tcPr>
            <w:tcW w:w="461" w:type="pct"/>
            <w:gridSpan w:val="2"/>
            <w:tcBorders>
              <w:top w:val="single" w:sz="12" w:space="0" w:color="auto"/>
              <w:bottom w:val="single" w:sz="4" w:space="0" w:color="auto"/>
            </w:tcBorders>
            <w:shd w:val="clear" w:color="auto" w:fill="auto"/>
            <w:noWrap/>
            <w:vAlign w:val="bottom"/>
            <w:hideMark/>
          </w:tcPr>
          <w:p w14:paraId="16538B83" w14:textId="77777777" w:rsidR="00B959C3" w:rsidRPr="001828CD" w:rsidRDefault="00B959C3" w:rsidP="00B10477">
            <w:pPr>
              <w:keepNext/>
              <w:keepLines/>
              <w:tabs>
                <w:tab w:val="clear" w:pos="1247"/>
                <w:tab w:val="clear" w:pos="1814"/>
                <w:tab w:val="clear" w:pos="2381"/>
                <w:tab w:val="clear" w:pos="2948"/>
                <w:tab w:val="clear" w:pos="3515"/>
              </w:tabs>
              <w:spacing w:before="20" w:after="20"/>
              <w:rPr>
                <w:i/>
                <w:iCs/>
                <w:color w:val="000000"/>
                <w:sz w:val="18"/>
                <w:szCs w:val="18"/>
              </w:rPr>
            </w:pPr>
            <w:r w:rsidRPr="001828CD">
              <w:rPr>
                <w:i/>
                <w:iCs/>
                <w:color w:val="000000"/>
                <w:sz w:val="18"/>
                <w:szCs w:val="18"/>
              </w:rPr>
              <w:t> </w:t>
            </w:r>
          </w:p>
        </w:tc>
      </w:tr>
    </w:tbl>
    <w:p w14:paraId="308BB4D8" w14:textId="77777777" w:rsidR="00B959C3" w:rsidRPr="001828CD" w:rsidRDefault="00B959C3" w:rsidP="00B959C3">
      <w:pPr>
        <w:pStyle w:val="Normal-pool"/>
        <w:tabs>
          <w:tab w:val="clear" w:pos="1247"/>
          <w:tab w:val="left" w:pos="993"/>
        </w:tabs>
        <w:spacing w:before="120" w:after="40"/>
        <w:ind w:left="567"/>
        <w:rPr>
          <w:b/>
          <w:sz w:val="18"/>
          <w:szCs w:val="18"/>
        </w:rPr>
      </w:pPr>
      <w:r w:rsidRPr="006432A8">
        <w:rPr>
          <w:b/>
          <w:sz w:val="18"/>
          <w:szCs w:val="18"/>
        </w:rPr>
        <w:t>Remarks</w:t>
      </w:r>
    </w:p>
    <w:p w14:paraId="7AA58D2B" w14:textId="27CFD08B" w:rsidR="00B959C3" w:rsidRPr="001828CD"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rPr>
      </w:pPr>
      <w:r w:rsidRPr="006432A8">
        <w:rPr>
          <w:sz w:val="18"/>
          <w:szCs w:val="18"/>
        </w:rPr>
        <w:t xml:space="preserve">a. </w:t>
      </w:r>
      <w:r w:rsidRPr="006432A8">
        <w:rPr>
          <w:sz w:val="18"/>
          <w:szCs w:val="18"/>
        </w:rPr>
        <w:tab/>
        <w:t>In the case of a merger of the secretariat functions of the Minamata Convention into the secretariat of the Basel, Rotterdam and Stockholm conventions, this refers to posts of the Basel, Rotterdam and Stockholm conventions</w:t>
      </w:r>
      <w:r w:rsidRPr="006432A8" w:rsidDel="00A12018">
        <w:rPr>
          <w:sz w:val="18"/>
          <w:szCs w:val="18"/>
        </w:rPr>
        <w:t xml:space="preserve"> </w:t>
      </w:r>
      <w:r w:rsidRPr="006432A8">
        <w:rPr>
          <w:sz w:val="18"/>
          <w:szCs w:val="18"/>
        </w:rPr>
        <w:t xml:space="preserve">budgeted in the Basel, </w:t>
      </w:r>
      <w:r w:rsidRPr="006432A8">
        <w:rPr>
          <w:rFonts w:eastAsia="Calibri"/>
          <w:sz w:val="16"/>
          <w:szCs w:val="16"/>
        </w:rPr>
        <w:t>Rotterdam</w:t>
      </w:r>
      <w:r w:rsidRPr="006432A8">
        <w:rPr>
          <w:sz w:val="18"/>
          <w:szCs w:val="18"/>
        </w:rPr>
        <w:t xml:space="preserve"> and Stockholm conventions</w:t>
      </w:r>
      <w:r w:rsidR="00102299">
        <w:rPr>
          <w:sz w:val="18"/>
          <w:szCs w:val="18"/>
        </w:rPr>
        <w:t>’</w:t>
      </w:r>
      <w:r w:rsidRPr="006432A8" w:rsidDel="00A12018">
        <w:rPr>
          <w:sz w:val="18"/>
          <w:szCs w:val="18"/>
        </w:rPr>
        <w:t xml:space="preserve"> </w:t>
      </w:r>
      <w:r w:rsidRPr="006432A8">
        <w:rPr>
          <w:sz w:val="18"/>
          <w:szCs w:val="18"/>
        </w:rPr>
        <w:t>general trust funds for 2018–2019, to be co-funded by Minamata Convention assessed contributions.</w:t>
      </w:r>
    </w:p>
    <w:p w14:paraId="3C25AE7F" w14:textId="77777777" w:rsidR="00B959C3" w:rsidRPr="001828CD"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rPr>
      </w:pPr>
      <w:r w:rsidRPr="006432A8">
        <w:rPr>
          <w:sz w:val="18"/>
          <w:szCs w:val="18"/>
        </w:rPr>
        <w:t xml:space="preserve">b. </w:t>
      </w:r>
      <w:r w:rsidRPr="006432A8">
        <w:rPr>
          <w:sz w:val="18"/>
          <w:szCs w:val="18"/>
        </w:rPr>
        <w:tab/>
        <w:t xml:space="preserve">In the case of a merger of the secretariat functions of the Minamata Convention with the secretariat of the Basel, </w:t>
      </w:r>
      <w:r w:rsidRPr="006432A8">
        <w:rPr>
          <w:rFonts w:eastAsia="Calibri"/>
          <w:sz w:val="16"/>
          <w:szCs w:val="16"/>
        </w:rPr>
        <w:t>Rotterdam</w:t>
      </w:r>
      <w:r w:rsidRPr="006432A8">
        <w:rPr>
          <w:sz w:val="18"/>
          <w:szCs w:val="18"/>
        </w:rPr>
        <w:t xml:space="preserve"> and Stockholm conventions, this refers to new posts co-funded by the Basel, Rotterdam and Stockholm conventions and Minamata Convention assessed contributions.</w:t>
      </w:r>
    </w:p>
    <w:p w14:paraId="0CA40BFE" w14:textId="77777777" w:rsidR="00B959C3" w:rsidRPr="001828CD"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rPr>
      </w:pPr>
      <w:r w:rsidRPr="006432A8">
        <w:rPr>
          <w:sz w:val="18"/>
          <w:szCs w:val="18"/>
        </w:rPr>
        <w:t xml:space="preserve">c. </w:t>
      </w:r>
      <w:r w:rsidRPr="006432A8">
        <w:rPr>
          <w:sz w:val="18"/>
          <w:szCs w:val="18"/>
        </w:rPr>
        <w:tab/>
      </w:r>
      <w:r w:rsidRPr="006432A8">
        <w:rPr>
          <w:rFonts w:eastAsia="Calibri"/>
          <w:sz w:val="18"/>
          <w:szCs w:val="18"/>
        </w:rPr>
        <w:t>Minamata</w:t>
      </w:r>
      <w:r w:rsidRPr="006432A8">
        <w:rPr>
          <w:sz w:val="18"/>
          <w:szCs w:val="18"/>
        </w:rPr>
        <w:t xml:space="preserve"> Convention posts funded by programme support costs of 13 per cent generated by the Minamata Convention.</w:t>
      </w:r>
    </w:p>
    <w:p w14:paraId="0C6CB830" w14:textId="77777777" w:rsidR="00B959C3" w:rsidRPr="001779DF"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rPr>
      </w:pPr>
      <w:r w:rsidRPr="006432A8">
        <w:rPr>
          <w:sz w:val="18"/>
          <w:szCs w:val="18"/>
        </w:rPr>
        <w:t>d.</w:t>
      </w:r>
      <w:r w:rsidRPr="006432A8">
        <w:rPr>
          <w:sz w:val="18"/>
          <w:szCs w:val="18"/>
        </w:rPr>
        <w:tab/>
        <w:t>Minamata Convention posts funded by Minamata Convention assessed contributions.</w:t>
      </w:r>
    </w:p>
    <w:p w14:paraId="0D0B30D9" w14:textId="77777777" w:rsidR="00B10477" w:rsidRDefault="00B10477">
      <w:pPr>
        <w:tabs>
          <w:tab w:val="clear" w:pos="1247"/>
          <w:tab w:val="clear" w:pos="1814"/>
          <w:tab w:val="clear" w:pos="2381"/>
          <w:tab w:val="clear" w:pos="2948"/>
          <w:tab w:val="clear" w:pos="3515"/>
        </w:tabs>
      </w:pPr>
      <w:r>
        <w:br w:type="page"/>
      </w:r>
    </w:p>
    <w:p w14:paraId="5A7A64FC" w14:textId="60B14E06" w:rsidR="00FE4713" w:rsidRPr="006432A8" w:rsidRDefault="0041238C" w:rsidP="006432A8">
      <w:pPr>
        <w:pStyle w:val="Normal-pool"/>
        <w:spacing w:before="120" w:after="120"/>
        <w:ind w:left="1247"/>
      </w:pPr>
      <w:r w:rsidRPr="006432A8">
        <w:t>Table 2</w:t>
      </w:r>
    </w:p>
    <w:p w14:paraId="013D4551" w14:textId="73DC194D" w:rsidR="00DF1257" w:rsidRPr="007E304A" w:rsidRDefault="0041238C" w:rsidP="006432A8">
      <w:pPr>
        <w:pStyle w:val="Normal-pool"/>
        <w:ind w:left="1253"/>
        <w:rPr>
          <w:b/>
        </w:rPr>
      </w:pPr>
      <w:r w:rsidRPr="007E304A">
        <w:rPr>
          <w:b/>
        </w:rPr>
        <w:t>Projected staffing costs for the proposals on how the Executive Director would perform the functions of the permanent secretariat in Geneva, per year</w:t>
      </w:r>
    </w:p>
    <w:p w14:paraId="1F534CC6" w14:textId="2698DF23" w:rsidR="0041238C" w:rsidRPr="006432A8" w:rsidRDefault="00DF1257" w:rsidP="006432A8">
      <w:pPr>
        <w:pStyle w:val="Normal-pool"/>
        <w:spacing w:after="120"/>
        <w:ind w:left="1247"/>
      </w:pPr>
      <w:r w:rsidRPr="006432A8">
        <w:t>(in United States dollars)</w:t>
      </w:r>
    </w:p>
    <w:tbl>
      <w:tblPr>
        <w:tblW w:w="8982" w:type="dxa"/>
        <w:tblInd w:w="624" w:type="dxa"/>
        <w:tblLayout w:type="fixed"/>
        <w:tblLook w:val="04A0" w:firstRow="1" w:lastRow="0" w:firstColumn="1" w:lastColumn="0" w:noHBand="0" w:noVBand="1"/>
      </w:tblPr>
      <w:tblGrid>
        <w:gridCol w:w="2245"/>
        <w:gridCol w:w="2246"/>
        <w:gridCol w:w="2245"/>
        <w:gridCol w:w="2246"/>
      </w:tblGrid>
      <w:tr w:rsidR="0041238C" w:rsidRPr="007E304A" w14:paraId="2A548481" w14:textId="77777777" w:rsidTr="00B10477">
        <w:trPr>
          <w:trHeight w:val="1404"/>
        </w:trPr>
        <w:tc>
          <w:tcPr>
            <w:tcW w:w="2245" w:type="dxa"/>
            <w:tcBorders>
              <w:top w:val="single" w:sz="4" w:space="0" w:color="auto"/>
              <w:bottom w:val="single" w:sz="12" w:space="0" w:color="auto"/>
            </w:tcBorders>
            <w:shd w:val="clear" w:color="auto" w:fill="auto"/>
            <w:noWrap/>
            <w:vAlign w:val="bottom"/>
            <w:hideMark/>
          </w:tcPr>
          <w:p w14:paraId="59B51734" w14:textId="77777777" w:rsidR="0041238C" w:rsidRPr="007E304A" w:rsidRDefault="0041238C" w:rsidP="0041238C">
            <w:pPr>
              <w:tabs>
                <w:tab w:val="clear" w:pos="1247"/>
                <w:tab w:val="clear" w:pos="1814"/>
                <w:tab w:val="clear" w:pos="2381"/>
                <w:tab w:val="clear" w:pos="2948"/>
                <w:tab w:val="clear" w:pos="3515"/>
              </w:tabs>
              <w:ind w:left="1400"/>
              <w:rPr>
                <w:color w:val="000000"/>
                <w:sz w:val="18"/>
                <w:szCs w:val="18"/>
              </w:rPr>
            </w:pPr>
          </w:p>
        </w:tc>
        <w:tc>
          <w:tcPr>
            <w:tcW w:w="2246" w:type="dxa"/>
            <w:tcBorders>
              <w:top w:val="single" w:sz="4" w:space="0" w:color="auto"/>
              <w:bottom w:val="single" w:sz="12" w:space="0" w:color="auto"/>
            </w:tcBorders>
            <w:shd w:val="clear" w:color="auto" w:fill="auto"/>
            <w:hideMark/>
          </w:tcPr>
          <w:p w14:paraId="1348067A" w14:textId="1A2D1B6C" w:rsidR="0041238C" w:rsidRPr="006432A8" w:rsidRDefault="0041238C" w:rsidP="00EA17CB">
            <w:pPr>
              <w:keepNext/>
              <w:keepLines/>
              <w:tabs>
                <w:tab w:val="clear" w:pos="1247"/>
                <w:tab w:val="clear" w:pos="1814"/>
                <w:tab w:val="clear" w:pos="2381"/>
                <w:tab w:val="clear" w:pos="2948"/>
                <w:tab w:val="clear" w:pos="3515"/>
              </w:tabs>
              <w:spacing w:before="40" w:after="20"/>
              <w:jc w:val="right"/>
              <w:rPr>
                <w:bCs/>
                <w:i/>
                <w:color w:val="000000"/>
                <w:sz w:val="18"/>
                <w:szCs w:val="18"/>
              </w:rPr>
            </w:pPr>
            <w:r w:rsidRPr="006432A8">
              <w:rPr>
                <w:bCs/>
                <w:i/>
                <w:color w:val="000000"/>
                <w:sz w:val="18"/>
                <w:szCs w:val="18"/>
              </w:rPr>
              <w:t>Option 1</w:t>
            </w:r>
            <w:r w:rsidR="00E74970" w:rsidRPr="006432A8">
              <w:rPr>
                <w:bCs/>
                <w:i/>
                <w:color w:val="000000"/>
                <w:sz w:val="18"/>
                <w:szCs w:val="18"/>
              </w:rPr>
              <w:t xml:space="preserve"> </w:t>
            </w:r>
            <w:r w:rsidRPr="006432A8">
              <w:rPr>
                <w:bCs/>
                <w:i/>
                <w:color w:val="000000"/>
                <w:sz w:val="18"/>
                <w:szCs w:val="18"/>
              </w:rPr>
              <w:t>(a)</w:t>
            </w:r>
            <w:r w:rsidR="00E531E4" w:rsidRPr="007E304A">
              <w:rPr>
                <w:bCs/>
                <w:i/>
                <w:color w:val="000000"/>
                <w:sz w:val="18"/>
                <w:szCs w:val="18"/>
              </w:rPr>
              <w:t xml:space="preserve"> </w:t>
            </w:r>
            <w:r w:rsidR="001A2884" w:rsidRPr="007E304A">
              <w:rPr>
                <w:bCs/>
                <w:i/>
                <w:color w:val="000000"/>
                <w:sz w:val="18"/>
                <w:szCs w:val="18"/>
              </w:rPr>
              <w:t>(merger)</w:t>
            </w:r>
            <w:r w:rsidRPr="006432A8">
              <w:rPr>
                <w:bCs/>
                <w:i/>
                <w:color w:val="000000"/>
                <w:sz w:val="18"/>
                <w:szCs w:val="18"/>
              </w:rPr>
              <w:t xml:space="preserve">: Merging the secretariat functions of the Minamata Convention into the </w:t>
            </w:r>
            <w:r w:rsidR="00B25EB5" w:rsidRPr="006432A8">
              <w:rPr>
                <w:bCs/>
                <w:i/>
                <w:color w:val="000000"/>
                <w:sz w:val="18"/>
                <w:szCs w:val="18"/>
              </w:rPr>
              <w:t>Basel, Rotterdam and Stockholm</w:t>
            </w:r>
            <w:r w:rsidRPr="006432A8">
              <w:rPr>
                <w:bCs/>
                <w:i/>
                <w:color w:val="000000"/>
                <w:sz w:val="18"/>
                <w:szCs w:val="18"/>
              </w:rPr>
              <w:t xml:space="preserve"> secretariat</w:t>
            </w:r>
            <w:r w:rsidR="00D13460" w:rsidRPr="006432A8">
              <w:rPr>
                <w:bCs/>
                <w:i/>
                <w:color w:val="000000"/>
                <w:sz w:val="18"/>
                <w:szCs w:val="18"/>
              </w:rPr>
              <w:t>,</w:t>
            </w:r>
            <w:r w:rsidRPr="006432A8">
              <w:rPr>
                <w:bCs/>
                <w:i/>
                <w:color w:val="000000"/>
                <w:sz w:val="18"/>
                <w:szCs w:val="18"/>
              </w:rPr>
              <w:t xml:space="preserve"> utilizing its current structure (</w:t>
            </w:r>
            <w:r w:rsidR="00E74970" w:rsidRPr="006432A8">
              <w:rPr>
                <w:bCs/>
                <w:i/>
                <w:color w:val="000000"/>
                <w:sz w:val="18"/>
                <w:szCs w:val="18"/>
              </w:rPr>
              <w:t>l</w:t>
            </w:r>
            <w:r w:rsidRPr="006432A8">
              <w:rPr>
                <w:bCs/>
                <w:i/>
                <w:color w:val="000000"/>
                <w:sz w:val="18"/>
                <w:szCs w:val="18"/>
              </w:rPr>
              <w:t>ocation: Geneva)</w:t>
            </w:r>
          </w:p>
        </w:tc>
        <w:tc>
          <w:tcPr>
            <w:tcW w:w="2245" w:type="dxa"/>
            <w:tcBorders>
              <w:top w:val="single" w:sz="4" w:space="0" w:color="auto"/>
              <w:bottom w:val="single" w:sz="12" w:space="0" w:color="auto"/>
            </w:tcBorders>
            <w:shd w:val="clear" w:color="auto" w:fill="auto"/>
            <w:hideMark/>
          </w:tcPr>
          <w:p w14:paraId="4D2D2EF7" w14:textId="1B41E783" w:rsidR="0041238C" w:rsidRPr="006432A8" w:rsidRDefault="0041238C" w:rsidP="00EA17CB">
            <w:pPr>
              <w:keepNext/>
              <w:keepLines/>
              <w:tabs>
                <w:tab w:val="clear" w:pos="1247"/>
                <w:tab w:val="clear" w:pos="1814"/>
                <w:tab w:val="clear" w:pos="2381"/>
                <w:tab w:val="clear" w:pos="2948"/>
                <w:tab w:val="clear" w:pos="3515"/>
              </w:tabs>
              <w:spacing w:before="40" w:after="20"/>
              <w:jc w:val="right"/>
              <w:rPr>
                <w:bCs/>
                <w:i/>
                <w:color w:val="000000"/>
                <w:sz w:val="18"/>
                <w:szCs w:val="18"/>
              </w:rPr>
            </w:pPr>
            <w:r w:rsidRPr="006432A8">
              <w:rPr>
                <w:bCs/>
                <w:i/>
                <w:color w:val="000000"/>
                <w:sz w:val="18"/>
                <w:szCs w:val="18"/>
              </w:rPr>
              <w:t>Option 1</w:t>
            </w:r>
            <w:r w:rsidR="00E74970" w:rsidRPr="006432A8">
              <w:rPr>
                <w:bCs/>
                <w:i/>
                <w:color w:val="000000"/>
                <w:sz w:val="18"/>
                <w:szCs w:val="18"/>
              </w:rPr>
              <w:t xml:space="preserve"> </w:t>
            </w:r>
            <w:r w:rsidRPr="006432A8">
              <w:rPr>
                <w:bCs/>
                <w:i/>
                <w:color w:val="000000"/>
                <w:sz w:val="18"/>
                <w:szCs w:val="18"/>
              </w:rPr>
              <w:t>(b)</w:t>
            </w:r>
            <w:r w:rsidR="00E531E4" w:rsidRPr="007E304A">
              <w:rPr>
                <w:bCs/>
                <w:i/>
                <w:color w:val="000000"/>
                <w:sz w:val="18"/>
                <w:szCs w:val="18"/>
              </w:rPr>
              <w:t xml:space="preserve"> </w:t>
            </w:r>
            <w:r w:rsidR="001A2884" w:rsidRPr="007E304A">
              <w:rPr>
                <w:bCs/>
                <w:i/>
                <w:color w:val="000000"/>
                <w:sz w:val="18"/>
                <w:szCs w:val="18"/>
              </w:rPr>
              <w:t>(branch)</w:t>
            </w:r>
            <w:r w:rsidRPr="006432A8">
              <w:rPr>
                <w:bCs/>
                <w:i/>
                <w:color w:val="000000"/>
                <w:sz w:val="18"/>
                <w:szCs w:val="18"/>
              </w:rPr>
              <w:t xml:space="preserve">: Merging the secretariat of the Minamata Convention into the </w:t>
            </w:r>
            <w:r w:rsidR="00B25EB5" w:rsidRPr="006432A8">
              <w:rPr>
                <w:bCs/>
                <w:i/>
                <w:color w:val="000000"/>
                <w:sz w:val="18"/>
                <w:szCs w:val="18"/>
              </w:rPr>
              <w:t>Basel, Rotterdam and Stockholm</w:t>
            </w:r>
            <w:r w:rsidRPr="006432A8">
              <w:rPr>
                <w:bCs/>
                <w:i/>
                <w:color w:val="000000"/>
                <w:sz w:val="18"/>
                <w:szCs w:val="18"/>
              </w:rPr>
              <w:t xml:space="preserve"> </w:t>
            </w:r>
            <w:r w:rsidR="00E74970" w:rsidRPr="006432A8">
              <w:rPr>
                <w:bCs/>
                <w:i/>
                <w:color w:val="000000"/>
                <w:sz w:val="18"/>
                <w:szCs w:val="18"/>
              </w:rPr>
              <w:t>s</w:t>
            </w:r>
            <w:r w:rsidRPr="006432A8">
              <w:rPr>
                <w:bCs/>
                <w:i/>
                <w:color w:val="000000"/>
                <w:sz w:val="18"/>
                <w:szCs w:val="18"/>
              </w:rPr>
              <w:t xml:space="preserve">ecretariat by creating, in the interim, a Minamata Convention </w:t>
            </w:r>
            <w:r w:rsidR="00BA0C83" w:rsidRPr="006432A8">
              <w:rPr>
                <w:bCs/>
                <w:i/>
                <w:color w:val="000000"/>
                <w:sz w:val="18"/>
                <w:szCs w:val="18"/>
              </w:rPr>
              <w:t>branch</w:t>
            </w:r>
            <w:r w:rsidRPr="006432A8">
              <w:rPr>
                <w:bCs/>
                <w:i/>
                <w:color w:val="000000"/>
                <w:sz w:val="18"/>
                <w:szCs w:val="18"/>
              </w:rPr>
              <w:t xml:space="preserve"> (</w:t>
            </w:r>
            <w:r w:rsidR="00E74970" w:rsidRPr="006432A8">
              <w:rPr>
                <w:bCs/>
                <w:i/>
                <w:color w:val="000000"/>
                <w:sz w:val="18"/>
                <w:szCs w:val="18"/>
              </w:rPr>
              <w:t>l</w:t>
            </w:r>
            <w:r w:rsidRPr="006432A8">
              <w:rPr>
                <w:bCs/>
                <w:i/>
                <w:color w:val="000000"/>
                <w:sz w:val="18"/>
                <w:szCs w:val="18"/>
              </w:rPr>
              <w:t>ocation: Geneva)</w:t>
            </w:r>
          </w:p>
        </w:tc>
        <w:tc>
          <w:tcPr>
            <w:tcW w:w="2246" w:type="dxa"/>
            <w:tcBorders>
              <w:top w:val="single" w:sz="4" w:space="0" w:color="auto"/>
              <w:bottom w:val="single" w:sz="12" w:space="0" w:color="auto"/>
            </w:tcBorders>
            <w:shd w:val="clear" w:color="auto" w:fill="auto"/>
            <w:hideMark/>
          </w:tcPr>
          <w:p w14:paraId="596F9FDB" w14:textId="38073EB4" w:rsidR="0041238C" w:rsidRPr="006432A8" w:rsidRDefault="0041238C" w:rsidP="00EA17CB">
            <w:pPr>
              <w:keepNext/>
              <w:keepLines/>
              <w:tabs>
                <w:tab w:val="clear" w:pos="1247"/>
                <w:tab w:val="clear" w:pos="1814"/>
                <w:tab w:val="clear" w:pos="2381"/>
                <w:tab w:val="clear" w:pos="2948"/>
                <w:tab w:val="clear" w:pos="3515"/>
              </w:tabs>
              <w:spacing w:before="40" w:after="20"/>
              <w:jc w:val="right"/>
              <w:rPr>
                <w:bCs/>
                <w:i/>
                <w:color w:val="000000"/>
                <w:sz w:val="18"/>
                <w:szCs w:val="18"/>
              </w:rPr>
            </w:pPr>
            <w:r w:rsidRPr="006432A8">
              <w:rPr>
                <w:bCs/>
                <w:i/>
                <w:color w:val="000000"/>
                <w:sz w:val="18"/>
                <w:szCs w:val="18"/>
              </w:rPr>
              <w:t>Option 2</w:t>
            </w:r>
            <w:r w:rsidR="00E531E4" w:rsidRPr="007E304A">
              <w:rPr>
                <w:bCs/>
                <w:i/>
                <w:color w:val="000000"/>
                <w:sz w:val="18"/>
                <w:szCs w:val="18"/>
              </w:rPr>
              <w:t xml:space="preserve"> </w:t>
            </w:r>
            <w:r w:rsidR="001A2884" w:rsidRPr="007E304A">
              <w:rPr>
                <w:bCs/>
                <w:i/>
                <w:color w:val="000000"/>
                <w:sz w:val="18"/>
                <w:szCs w:val="18"/>
              </w:rPr>
              <w:t>(standalone)</w:t>
            </w:r>
            <w:r w:rsidRPr="006432A8">
              <w:rPr>
                <w:bCs/>
                <w:i/>
                <w:color w:val="000000"/>
                <w:sz w:val="18"/>
                <w:szCs w:val="18"/>
              </w:rPr>
              <w:t xml:space="preserve">: </w:t>
            </w:r>
            <w:r w:rsidR="007610B9" w:rsidRPr="007E304A">
              <w:t xml:space="preserve"> </w:t>
            </w:r>
            <w:r w:rsidR="007610B9" w:rsidRPr="000577E9">
              <w:rPr>
                <w:i/>
                <w:sz w:val="18"/>
                <w:szCs w:val="18"/>
              </w:rPr>
              <w:t>Standalone</w:t>
            </w:r>
            <w:r w:rsidRPr="006432A8">
              <w:rPr>
                <w:bCs/>
                <w:i/>
                <w:color w:val="000000"/>
                <w:sz w:val="18"/>
                <w:szCs w:val="18"/>
              </w:rPr>
              <w:t xml:space="preserve"> secretariat of the Minamata Convention (</w:t>
            </w:r>
            <w:r w:rsidR="00E74970" w:rsidRPr="006432A8">
              <w:rPr>
                <w:bCs/>
                <w:i/>
                <w:color w:val="000000"/>
                <w:sz w:val="18"/>
                <w:szCs w:val="18"/>
              </w:rPr>
              <w:t>l</w:t>
            </w:r>
            <w:r w:rsidRPr="006432A8">
              <w:rPr>
                <w:bCs/>
                <w:i/>
                <w:color w:val="000000"/>
                <w:sz w:val="18"/>
                <w:szCs w:val="18"/>
              </w:rPr>
              <w:t xml:space="preserve">ocation: </w:t>
            </w:r>
            <w:r w:rsidR="002E6FF4" w:rsidRPr="007E304A">
              <w:rPr>
                <w:bCs/>
                <w:i/>
                <w:color w:val="000000"/>
                <w:sz w:val="18"/>
                <w:szCs w:val="18"/>
              </w:rPr>
              <w:t>Geneva</w:t>
            </w:r>
            <w:r w:rsidR="009E64B2" w:rsidRPr="006432A8">
              <w:rPr>
                <w:bCs/>
                <w:i/>
                <w:color w:val="000000"/>
                <w:sz w:val="18"/>
                <w:szCs w:val="18"/>
              </w:rPr>
              <w:t>.</w:t>
            </w:r>
            <w:r w:rsidRPr="006432A8">
              <w:rPr>
                <w:bCs/>
                <w:i/>
                <w:color w:val="000000"/>
                <w:sz w:val="18"/>
                <w:szCs w:val="18"/>
              </w:rPr>
              <w:t>)</w:t>
            </w:r>
          </w:p>
        </w:tc>
      </w:tr>
      <w:tr w:rsidR="0041238C" w:rsidRPr="007E304A" w14:paraId="6BC42AD5" w14:textId="77777777" w:rsidTr="00B10477">
        <w:trPr>
          <w:trHeight w:val="312"/>
        </w:trPr>
        <w:tc>
          <w:tcPr>
            <w:tcW w:w="2245" w:type="dxa"/>
            <w:tcBorders>
              <w:top w:val="single" w:sz="12" w:space="0" w:color="auto"/>
            </w:tcBorders>
            <w:shd w:val="clear" w:color="auto" w:fill="auto"/>
            <w:noWrap/>
            <w:hideMark/>
          </w:tcPr>
          <w:p w14:paraId="076C0A94" w14:textId="3DF6F911" w:rsidR="0041238C" w:rsidRPr="006432A8" w:rsidRDefault="0041238C" w:rsidP="0041238C">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 xml:space="preserve">Total </w:t>
            </w:r>
            <w:r w:rsidR="00E74970" w:rsidRPr="006432A8">
              <w:rPr>
                <w:bCs/>
                <w:i/>
                <w:color w:val="000000"/>
                <w:sz w:val="18"/>
                <w:szCs w:val="18"/>
              </w:rPr>
              <w:t>s</w:t>
            </w:r>
            <w:r w:rsidRPr="006432A8">
              <w:rPr>
                <w:bCs/>
                <w:i/>
                <w:color w:val="000000"/>
                <w:sz w:val="18"/>
                <w:szCs w:val="18"/>
              </w:rPr>
              <w:t>taff</w:t>
            </w:r>
          </w:p>
        </w:tc>
        <w:tc>
          <w:tcPr>
            <w:tcW w:w="2246" w:type="dxa"/>
            <w:tcBorders>
              <w:top w:val="single" w:sz="12" w:space="0" w:color="auto"/>
            </w:tcBorders>
            <w:shd w:val="clear" w:color="auto" w:fill="auto"/>
            <w:noWrap/>
            <w:vAlign w:val="bottom"/>
            <w:hideMark/>
          </w:tcPr>
          <w:p w14:paraId="56DE8EB4" w14:textId="77777777" w:rsidR="0041238C" w:rsidRPr="007E304A" w:rsidRDefault="0041238C" w:rsidP="0041238C">
            <w:pPr>
              <w:tabs>
                <w:tab w:val="clear" w:pos="1247"/>
                <w:tab w:val="clear" w:pos="1814"/>
                <w:tab w:val="clear" w:pos="2381"/>
                <w:tab w:val="clear" w:pos="2948"/>
                <w:tab w:val="clear" w:pos="3515"/>
              </w:tabs>
              <w:jc w:val="right"/>
              <w:rPr>
                <w:b/>
                <w:bCs/>
                <w:color w:val="000000"/>
                <w:sz w:val="18"/>
                <w:szCs w:val="18"/>
              </w:rPr>
            </w:pPr>
            <w:r w:rsidRPr="007E304A">
              <w:rPr>
                <w:b/>
                <w:bCs/>
                <w:color w:val="000000"/>
                <w:sz w:val="18"/>
                <w:szCs w:val="18"/>
              </w:rPr>
              <w:t>13.30</w:t>
            </w:r>
          </w:p>
        </w:tc>
        <w:tc>
          <w:tcPr>
            <w:tcW w:w="2245" w:type="dxa"/>
            <w:tcBorders>
              <w:top w:val="single" w:sz="12" w:space="0" w:color="auto"/>
            </w:tcBorders>
            <w:shd w:val="clear" w:color="auto" w:fill="auto"/>
            <w:noWrap/>
            <w:vAlign w:val="bottom"/>
            <w:hideMark/>
          </w:tcPr>
          <w:p w14:paraId="33157F69" w14:textId="77777777" w:rsidR="0041238C" w:rsidRPr="007E304A" w:rsidRDefault="0041238C" w:rsidP="0041238C">
            <w:pPr>
              <w:tabs>
                <w:tab w:val="clear" w:pos="1247"/>
                <w:tab w:val="clear" w:pos="1814"/>
                <w:tab w:val="clear" w:pos="2381"/>
                <w:tab w:val="clear" w:pos="2948"/>
                <w:tab w:val="clear" w:pos="3515"/>
              </w:tabs>
              <w:jc w:val="right"/>
              <w:rPr>
                <w:b/>
                <w:bCs/>
                <w:color w:val="000000"/>
                <w:sz w:val="18"/>
                <w:szCs w:val="18"/>
              </w:rPr>
            </w:pPr>
            <w:r w:rsidRPr="007E304A">
              <w:rPr>
                <w:b/>
                <w:bCs/>
                <w:color w:val="000000"/>
                <w:sz w:val="18"/>
                <w:szCs w:val="18"/>
              </w:rPr>
              <w:t>13.50</w:t>
            </w:r>
          </w:p>
        </w:tc>
        <w:tc>
          <w:tcPr>
            <w:tcW w:w="2246" w:type="dxa"/>
            <w:tcBorders>
              <w:top w:val="single" w:sz="12" w:space="0" w:color="auto"/>
            </w:tcBorders>
            <w:shd w:val="clear" w:color="auto" w:fill="auto"/>
            <w:noWrap/>
            <w:vAlign w:val="bottom"/>
            <w:hideMark/>
          </w:tcPr>
          <w:p w14:paraId="5AC5A7D3" w14:textId="77777777" w:rsidR="0041238C" w:rsidRPr="007E304A" w:rsidRDefault="0041238C" w:rsidP="0041238C">
            <w:pPr>
              <w:tabs>
                <w:tab w:val="clear" w:pos="1247"/>
                <w:tab w:val="clear" w:pos="1814"/>
                <w:tab w:val="clear" w:pos="2381"/>
                <w:tab w:val="clear" w:pos="2948"/>
                <w:tab w:val="clear" w:pos="3515"/>
              </w:tabs>
              <w:jc w:val="right"/>
              <w:rPr>
                <w:b/>
                <w:bCs/>
                <w:color w:val="000000"/>
                <w:sz w:val="18"/>
                <w:szCs w:val="18"/>
              </w:rPr>
            </w:pPr>
            <w:r w:rsidRPr="007E304A">
              <w:rPr>
                <w:b/>
                <w:bCs/>
                <w:color w:val="000000"/>
                <w:sz w:val="18"/>
                <w:szCs w:val="18"/>
              </w:rPr>
              <w:t>15</w:t>
            </w:r>
          </w:p>
        </w:tc>
      </w:tr>
      <w:tr w:rsidR="0041238C" w:rsidRPr="007E304A" w14:paraId="00CAF57D" w14:textId="77777777" w:rsidTr="00B10477">
        <w:trPr>
          <w:trHeight w:val="312"/>
        </w:trPr>
        <w:tc>
          <w:tcPr>
            <w:tcW w:w="2245" w:type="dxa"/>
            <w:shd w:val="clear" w:color="auto" w:fill="auto"/>
            <w:noWrap/>
            <w:hideMark/>
          </w:tcPr>
          <w:p w14:paraId="5FAC1DC5" w14:textId="479BEA11" w:rsidR="0041238C" w:rsidRPr="006432A8" w:rsidRDefault="0041238C" w:rsidP="0041238C">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 xml:space="preserve">Total </w:t>
            </w:r>
            <w:r w:rsidR="00E74970" w:rsidRPr="006432A8">
              <w:rPr>
                <w:bCs/>
                <w:i/>
                <w:color w:val="000000"/>
                <w:sz w:val="18"/>
                <w:szCs w:val="18"/>
              </w:rPr>
              <w:t>s</w:t>
            </w:r>
            <w:r w:rsidRPr="006432A8">
              <w:rPr>
                <w:bCs/>
                <w:i/>
                <w:color w:val="000000"/>
                <w:sz w:val="18"/>
                <w:szCs w:val="18"/>
              </w:rPr>
              <w:t xml:space="preserve">taff </w:t>
            </w:r>
            <w:r w:rsidR="00E74970" w:rsidRPr="006432A8">
              <w:rPr>
                <w:bCs/>
                <w:i/>
                <w:color w:val="000000"/>
                <w:sz w:val="18"/>
                <w:szCs w:val="18"/>
              </w:rPr>
              <w:t>c</w:t>
            </w:r>
            <w:r w:rsidRPr="006432A8">
              <w:rPr>
                <w:bCs/>
                <w:i/>
                <w:color w:val="000000"/>
                <w:sz w:val="18"/>
                <w:szCs w:val="18"/>
              </w:rPr>
              <w:t>osts (</w:t>
            </w:r>
            <w:r w:rsidR="00E74970" w:rsidRPr="006432A8">
              <w:rPr>
                <w:bCs/>
                <w:i/>
                <w:color w:val="000000"/>
                <w:sz w:val="18"/>
                <w:szCs w:val="18"/>
              </w:rPr>
              <w:t>c</w:t>
            </w:r>
            <w:r w:rsidRPr="006432A8">
              <w:rPr>
                <w:bCs/>
                <w:i/>
                <w:color w:val="000000"/>
                <w:sz w:val="18"/>
                <w:szCs w:val="18"/>
              </w:rPr>
              <w:t>ore excl</w:t>
            </w:r>
            <w:r w:rsidR="005067C1" w:rsidRPr="006432A8">
              <w:rPr>
                <w:bCs/>
                <w:i/>
                <w:color w:val="000000"/>
                <w:sz w:val="18"/>
                <w:szCs w:val="18"/>
              </w:rPr>
              <w:t>uding</w:t>
            </w:r>
            <w:r w:rsidRPr="006432A8">
              <w:rPr>
                <w:bCs/>
                <w:i/>
                <w:color w:val="000000"/>
                <w:sz w:val="18"/>
                <w:szCs w:val="18"/>
              </w:rPr>
              <w:t xml:space="preserve"> </w:t>
            </w:r>
            <w:r w:rsidR="00AA2E43" w:rsidRPr="006432A8">
              <w:rPr>
                <w:bCs/>
                <w:i/>
                <w:color w:val="000000"/>
                <w:sz w:val="18"/>
                <w:szCs w:val="18"/>
              </w:rPr>
              <w:t>programme support costs</w:t>
            </w:r>
            <w:r w:rsidRPr="006432A8">
              <w:rPr>
                <w:bCs/>
                <w:i/>
                <w:color w:val="000000"/>
                <w:sz w:val="18"/>
                <w:szCs w:val="18"/>
              </w:rPr>
              <w:t>)</w:t>
            </w:r>
          </w:p>
        </w:tc>
        <w:tc>
          <w:tcPr>
            <w:tcW w:w="2246" w:type="dxa"/>
            <w:shd w:val="clear" w:color="auto" w:fill="auto"/>
            <w:noWrap/>
            <w:vAlign w:val="bottom"/>
            <w:hideMark/>
          </w:tcPr>
          <w:p w14:paraId="68FEFA16" w14:textId="155827DA" w:rsidR="0041238C" w:rsidRPr="007E304A" w:rsidRDefault="0041238C"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2</w:t>
            </w:r>
            <w:r w:rsidR="00B358F2" w:rsidRPr="007E304A">
              <w:rPr>
                <w:color w:val="000000"/>
                <w:sz w:val="18"/>
                <w:szCs w:val="18"/>
              </w:rPr>
              <w:t xml:space="preserve"> </w:t>
            </w:r>
            <w:r w:rsidR="00D514B8" w:rsidRPr="007E304A">
              <w:rPr>
                <w:color w:val="000000"/>
                <w:sz w:val="18"/>
                <w:szCs w:val="18"/>
              </w:rPr>
              <w:t>749 134</w:t>
            </w:r>
            <w:r w:rsidRPr="007E304A">
              <w:rPr>
                <w:color w:val="000000"/>
                <w:sz w:val="18"/>
                <w:szCs w:val="18"/>
              </w:rPr>
              <w:t xml:space="preserve"> </w:t>
            </w:r>
          </w:p>
        </w:tc>
        <w:tc>
          <w:tcPr>
            <w:tcW w:w="2245" w:type="dxa"/>
            <w:shd w:val="clear" w:color="auto" w:fill="auto"/>
            <w:noWrap/>
            <w:vAlign w:val="bottom"/>
            <w:hideMark/>
          </w:tcPr>
          <w:p w14:paraId="18CD10EF" w14:textId="44F9E3D6" w:rsidR="0041238C" w:rsidRPr="007E304A" w:rsidRDefault="0041238C"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2</w:t>
            </w:r>
            <w:r w:rsidR="00B358F2" w:rsidRPr="007E304A">
              <w:rPr>
                <w:color w:val="000000"/>
                <w:sz w:val="18"/>
                <w:szCs w:val="18"/>
              </w:rPr>
              <w:t xml:space="preserve"> </w:t>
            </w:r>
            <w:r w:rsidR="00D514B8" w:rsidRPr="007E304A">
              <w:rPr>
                <w:color w:val="000000"/>
                <w:sz w:val="18"/>
                <w:szCs w:val="18"/>
              </w:rPr>
              <w:t>772 917</w:t>
            </w:r>
            <w:r w:rsidRPr="007E304A">
              <w:rPr>
                <w:color w:val="000000"/>
                <w:sz w:val="18"/>
                <w:szCs w:val="18"/>
              </w:rPr>
              <w:t xml:space="preserve"> </w:t>
            </w:r>
          </w:p>
        </w:tc>
        <w:tc>
          <w:tcPr>
            <w:tcW w:w="2246" w:type="dxa"/>
            <w:shd w:val="clear" w:color="auto" w:fill="auto"/>
            <w:noWrap/>
            <w:vAlign w:val="bottom"/>
            <w:hideMark/>
          </w:tcPr>
          <w:p w14:paraId="0E0F6CBB" w14:textId="65ED1F90" w:rsidR="0041238C" w:rsidRPr="007E304A" w:rsidRDefault="00D514B8"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3</w:t>
            </w:r>
            <w:r w:rsidR="00B358F2" w:rsidRPr="007E304A">
              <w:rPr>
                <w:color w:val="000000"/>
                <w:sz w:val="18"/>
                <w:szCs w:val="18"/>
              </w:rPr>
              <w:t xml:space="preserve"> </w:t>
            </w:r>
            <w:r w:rsidR="0041238C" w:rsidRPr="007E304A">
              <w:rPr>
                <w:color w:val="000000"/>
                <w:sz w:val="18"/>
                <w:szCs w:val="18"/>
              </w:rPr>
              <w:t>2</w:t>
            </w:r>
            <w:r w:rsidRPr="007E304A">
              <w:rPr>
                <w:color w:val="000000"/>
                <w:sz w:val="18"/>
                <w:szCs w:val="18"/>
              </w:rPr>
              <w:t>33</w:t>
            </w:r>
            <w:r w:rsidR="00B358F2" w:rsidRPr="007E304A">
              <w:rPr>
                <w:color w:val="000000"/>
                <w:sz w:val="18"/>
                <w:szCs w:val="18"/>
              </w:rPr>
              <w:t xml:space="preserve"> </w:t>
            </w:r>
            <w:r w:rsidRPr="007E304A">
              <w:rPr>
                <w:color w:val="000000"/>
                <w:sz w:val="18"/>
                <w:szCs w:val="18"/>
              </w:rPr>
              <w:t>7</w:t>
            </w:r>
            <w:r w:rsidR="0041238C" w:rsidRPr="007E304A">
              <w:rPr>
                <w:color w:val="000000"/>
                <w:sz w:val="18"/>
                <w:szCs w:val="18"/>
              </w:rPr>
              <w:t>0</w:t>
            </w:r>
            <w:r w:rsidRPr="007E304A">
              <w:rPr>
                <w:color w:val="000000"/>
                <w:sz w:val="18"/>
                <w:szCs w:val="18"/>
              </w:rPr>
              <w:t>9</w:t>
            </w:r>
            <w:r w:rsidR="0041238C" w:rsidRPr="007E304A">
              <w:rPr>
                <w:color w:val="000000"/>
                <w:sz w:val="18"/>
                <w:szCs w:val="18"/>
              </w:rPr>
              <w:t xml:space="preserve"> </w:t>
            </w:r>
          </w:p>
        </w:tc>
      </w:tr>
      <w:tr w:rsidR="0041238C" w:rsidRPr="007E304A" w14:paraId="7C9383AC" w14:textId="77777777" w:rsidTr="00B10477">
        <w:trPr>
          <w:trHeight w:val="312"/>
        </w:trPr>
        <w:tc>
          <w:tcPr>
            <w:tcW w:w="2245" w:type="dxa"/>
            <w:tcBorders>
              <w:bottom w:val="single" w:sz="4" w:space="0" w:color="auto"/>
            </w:tcBorders>
            <w:shd w:val="clear" w:color="auto" w:fill="auto"/>
            <w:noWrap/>
            <w:hideMark/>
          </w:tcPr>
          <w:p w14:paraId="05386EB1" w14:textId="088D6AC3" w:rsidR="0041238C" w:rsidRPr="006432A8" w:rsidRDefault="00AA2E43">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Programme support costs</w:t>
            </w:r>
            <w:r w:rsidR="0041238C" w:rsidRPr="006432A8">
              <w:rPr>
                <w:bCs/>
                <w:i/>
                <w:color w:val="000000"/>
                <w:sz w:val="18"/>
                <w:szCs w:val="18"/>
              </w:rPr>
              <w:t xml:space="preserve"> on </w:t>
            </w:r>
            <w:r w:rsidRPr="006432A8">
              <w:rPr>
                <w:bCs/>
                <w:i/>
                <w:color w:val="000000"/>
                <w:sz w:val="18"/>
                <w:szCs w:val="18"/>
              </w:rPr>
              <w:t>s</w:t>
            </w:r>
            <w:r w:rsidR="0041238C" w:rsidRPr="006432A8">
              <w:rPr>
                <w:bCs/>
                <w:i/>
                <w:color w:val="000000"/>
                <w:sz w:val="18"/>
                <w:szCs w:val="18"/>
              </w:rPr>
              <w:t xml:space="preserve">taff </w:t>
            </w:r>
            <w:r w:rsidRPr="006432A8">
              <w:rPr>
                <w:bCs/>
                <w:i/>
                <w:color w:val="000000"/>
                <w:sz w:val="18"/>
                <w:szCs w:val="18"/>
              </w:rPr>
              <w:t>c</w:t>
            </w:r>
            <w:r w:rsidR="0041238C" w:rsidRPr="006432A8">
              <w:rPr>
                <w:bCs/>
                <w:i/>
                <w:color w:val="000000"/>
                <w:sz w:val="18"/>
                <w:szCs w:val="18"/>
              </w:rPr>
              <w:t>osts</w:t>
            </w:r>
          </w:p>
        </w:tc>
        <w:tc>
          <w:tcPr>
            <w:tcW w:w="2246" w:type="dxa"/>
            <w:tcBorders>
              <w:bottom w:val="single" w:sz="4" w:space="0" w:color="auto"/>
            </w:tcBorders>
            <w:shd w:val="clear" w:color="auto" w:fill="auto"/>
            <w:noWrap/>
            <w:vAlign w:val="bottom"/>
            <w:hideMark/>
          </w:tcPr>
          <w:p w14:paraId="60FB2B35" w14:textId="2E3338F4" w:rsidR="0041238C" w:rsidRPr="007E304A" w:rsidRDefault="00C71051"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357</w:t>
            </w:r>
            <w:r w:rsidR="00B358F2" w:rsidRPr="007E304A">
              <w:rPr>
                <w:color w:val="000000"/>
                <w:sz w:val="18"/>
                <w:szCs w:val="18"/>
              </w:rPr>
              <w:t xml:space="preserve"> </w:t>
            </w:r>
            <w:r w:rsidRPr="007E304A">
              <w:rPr>
                <w:color w:val="000000"/>
                <w:sz w:val="18"/>
                <w:szCs w:val="18"/>
              </w:rPr>
              <w:t>387</w:t>
            </w:r>
            <w:r w:rsidR="0041238C" w:rsidRPr="007E304A">
              <w:rPr>
                <w:color w:val="000000"/>
                <w:sz w:val="18"/>
                <w:szCs w:val="18"/>
              </w:rPr>
              <w:t xml:space="preserve"> </w:t>
            </w:r>
          </w:p>
        </w:tc>
        <w:tc>
          <w:tcPr>
            <w:tcW w:w="2245" w:type="dxa"/>
            <w:tcBorders>
              <w:bottom w:val="single" w:sz="4" w:space="0" w:color="auto"/>
            </w:tcBorders>
            <w:shd w:val="clear" w:color="auto" w:fill="auto"/>
            <w:noWrap/>
            <w:vAlign w:val="bottom"/>
            <w:hideMark/>
          </w:tcPr>
          <w:p w14:paraId="1EB56A5A" w14:textId="6E3B077A" w:rsidR="0041238C" w:rsidRPr="007E304A" w:rsidRDefault="000A1250" w:rsidP="00AB20EE">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360</w:t>
            </w:r>
            <w:r w:rsidR="00B358F2" w:rsidRPr="007E304A">
              <w:rPr>
                <w:color w:val="000000"/>
                <w:sz w:val="18"/>
                <w:szCs w:val="18"/>
              </w:rPr>
              <w:t xml:space="preserve"> </w:t>
            </w:r>
            <w:r w:rsidRPr="007E304A">
              <w:rPr>
                <w:color w:val="000000"/>
                <w:sz w:val="18"/>
                <w:szCs w:val="18"/>
              </w:rPr>
              <w:t>479</w:t>
            </w:r>
            <w:r w:rsidR="0041238C" w:rsidRPr="007E304A">
              <w:rPr>
                <w:color w:val="000000"/>
                <w:sz w:val="18"/>
                <w:szCs w:val="18"/>
              </w:rPr>
              <w:t xml:space="preserve"> </w:t>
            </w:r>
          </w:p>
        </w:tc>
        <w:tc>
          <w:tcPr>
            <w:tcW w:w="2246" w:type="dxa"/>
            <w:tcBorders>
              <w:bottom w:val="single" w:sz="4" w:space="0" w:color="auto"/>
            </w:tcBorders>
            <w:shd w:val="clear" w:color="auto" w:fill="auto"/>
            <w:noWrap/>
            <w:vAlign w:val="bottom"/>
            <w:hideMark/>
          </w:tcPr>
          <w:p w14:paraId="30BDCDF9" w14:textId="735B514E" w:rsidR="0041238C" w:rsidRPr="007E304A" w:rsidRDefault="00FC7A16" w:rsidP="00FC7A16">
            <w:pPr>
              <w:tabs>
                <w:tab w:val="clear" w:pos="1247"/>
                <w:tab w:val="clear" w:pos="1814"/>
                <w:tab w:val="clear" w:pos="2381"/>
                <w:tab w:val="clear" w:pos="2948"/>
                <w:tab w:val="clear" w:pos="3515"/>
              </w:tabs>
              <w:jc w:val="right"/>
              <w:rPr>
                <w:color w:val="000000"/>
                <w:sz w:val="18"/>
                <w:szCs w:val="18"/>
              </w:rPr>
            </w:pPr>
            <w:r w:rsidRPr="006432A8">
              <w:rPr>
                <w:color w:val="000000"/>
                <w:sz w:val="18"/>
                <w:szCs w:val="18"/>
              </w:rPr>
              <w:t>420</w:t>
            </w:r>
            <w:r w:rsidR="00B358F2" w:rsidRPr="007E304A">
              <w:rPr>
                <w:color w:val="000000"/>
                <w:sz w:val="18"/>
                <w:szCs w:val="18"/>
              </w:rPr>
              <w:t xml:space="preserve"> </w:t>
            </w:r>
            <w:r w:rsidRPr="006432A8">
              <w:rPr>
                <w:color w:val="000000"/>
                <w:sz w:val="18"/>
                <w:szCs w:val="18"/>
              </w:rPr>
              <w:t>382</w:t>
            </w:r>
            <w:r w:rsidR="0041238C" w:rsidRPr="007E304A">
              <w:rPr>
                <w:color w:val="000000"/>
                <w:sz w:val="18"/>
                <w:szCs w:val="18"/>
              </w:rPr>
              <w:t xml:space="preserve"> </w:t>
            </w:r>
          </w:p>
        </w:tc>
      </w:tr>
      <w:tr w:rsidR="0041238C" w:rsidRPr="007E304A" w14:paraId="0F0BA7D9" w14:textId="77777777" w:rsidTr="00B10477">
        <w:trPr>
          <w:trHeight w:val="312"/>
        </w:trPr>
        <w:tc>
          <w:tcPr>
            <w:tcW w:w="2245" w:type="dxa"/>
            <w:tcBorders>
              <w:top w:val="single" w:sz="4" w:space="0" w:color="auto"/>
              <w:bottom w:val="single" w:sz="12" w:space="0" w:color="auto"/>
            </w:tcBorders>
            <w:shd w:val="clear" w:color="auto" w:fill="auto"/>
            <w:noWrap/>
            <w:hideMark/>
          </w:tcPr>
          <w:p w14:paraId="422F62DB" w14:textId="2AC1303D" w:rsidR="0041238C" w:rsidRPr="006432A8" w:rsidRDefault="0041238C">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 xml:space="preserve">Total </w:t>
            </w:r>
            <w:r w:rsidR="00AA2E43" w:rsidRPr="006432A8">
              <w:rPr>
                <w:bCs/>
                <w:i/>
                <w:color w:val="000000"/>
                <w:sz w:val="18"/>
                <w:szCs w:val="18"/>
              </w:rPr>
              <w:t>s</w:t>
            </w:r>
            <w:r w:rsidRPr="006432A8">
              <w:rPr>
                <w:bCs/>
                <w:i/>
                <w:color w:val="000000"/>
                <w:sz w:val="18"/>
                <w:szCs w:val="18"/>
              </w:rPr>
              <w:t xml:space="preserve">taff </w:t>
            </w:r>
            <w:r w:rsidR="00AA2E43" w:rsidRPr="006432A8">
              <w:rPr>
                <w:bCs/>
                <w:i/>
                <w:color w:val="000000"/>
                <w:sz w:val="18"/>
                <w:szCs w:val="18"/>
              </w:rPr>
              <w:t>c</w:t>
            </w:r>
            <w:r w:rsidRPr="006432A8">
              <w:rPr>
                <w:bCs/>
                <w:i/>
                <w:color w:val="000000"/>
                <w:sz w:val="18"/>
                <w:szCs w:val="18"/>
              </w:rPr>
              <w:t>osts (core inc</w:t>
            </w:r>
            <w:r w:rsidR="005067C1" w:rsidRPr="006432A8">
              <w:rPr>
                <w:bCs/>
                <w:i/>
                <w:color w:val="000000"/>
                <w:sz w:val="18"/>
                <w:szCs w:val="18"/>
              </w:rPr>
              <w:t>luding</w:t>
            </w:r>
            <w:r w:rsidRPr="006432A8">
              <w:rPr>
                <w:bCs/>
                <w:i/>
                <w:color w:val="000000"/>
                <w:sz w:val="18"/>
                <w:szCs w:val="18"/>
              </w:rPr>
              <w:t xml:space="preserve"> </w:t>
            </w:r>
            <w:r w:rsidR="00AA2E43" w:rsidRPr="006432A8">
              <w:rPr>
                <w:bCs/>
                <w:i/>
                <w:color w:val="000000"/>
                <w:sz w:val="18"/>
                <w:szCs w:val="18"/>
              </w:rPr>
              <w:t>programme support costs</w:t>
            </w:r>
            <w:r w:rsidRPr="006432A8">
              <w:rPr>
                <w:bCs/>
                <w:i/>
                <w:color w:val="000000"/>
                <w:sz w:val="18"/>
                <w:szCs w:val="18"/>
              </w:rPr>
              <w:t>)</w:t>
            </w:r>
          </w:p>
        </w:tc>
        <w:tc>
          <w:tcPr>
            <w:tcW w:w="2246" w:type="dxa"/>
            <w:tcBorders>
              <w:top w:val="single" w:sz="4" w:space="0" w:color="auto"/>
              <w:bottom w:val="single" w:sz="12" w:space="0" w:color="auto"/>
            </w:tcBorders>
            <w:shd w:val="clear" w:color="auto" w:fill="auto"/>
            <w:noWrap/>
            <w:vAlign w:val="bottom"/>
            <w:hideMark/>
          </w:tcPr>
          <w:p w14:paraId="2EF051B0" w14:textId="222C1CA5" w:rsidR="0041238C" w:rsidRPr="007E304A" w:rsidRDefault="00FC7A16" w:rsidP="00FC7A16">
            <w:pPr>
              <w:tabs>
                <w:tab w:val="clear" w:pos="1247"/>
                <w:tab w:val="clear" w:pos="1814"/>
                <w:tab w:val="clear" w:pos="2381"/>
                <w:tab w:val="clear" w:pos="2948"/>
                <w:tab w:val="clear" w:pos="3515"/>
              </w:tabs>
              <w:jc w:val="right"/>
              <w:rPr>
                <w:b/>
                <w:bCs/>
                <w:color w:val="000000"/>
                <w:sz w:val="18"/>
                <w:szCs w:val="18"/>
              </w:rPr>
            </w:pPr>
            <w:r w:rsidRPr="006432A8">
              <w:rPr>
                <w:b/>
                <w:bCs/>
                <w:color w:val="000000"/>
                <w:sz w:val="18"/>
                <w:szCs w:val="18"/>
              </w:rPr>
              <w:t>3</w:t>
            </w:r>
            <w:r w:rsidR="00B358F2" w:rsidRPr="007E304A">
              <w:rPr>
                <w:b/>
                <w:bCs/>
                <w:color w:val="000000"/>
                <w:sz w:val="18"/>
                <w:szCs w:val="18"/>
              </w:rPr>
              <w:t xml:space="preserve"> </w:t>
            </w:r>
            <w:r w:rsidRPr="006432A8">
              <w:rPr>
                <w:b/>
                <w:bCs/>
                <w:color w:val="000000"/>
                <w:sz w:val="18"/>
                <w:szCs w:val="18"/>
              </w:rPr>
              <w:t>106</w:t>
            </w:r>
            <w:r w:rsidR="00B358F2" w:rsidRPr="007E304A">
              <w:rPr>
                <w:b/>
                <w:bCs/>
                <w:color w:val="000000"/>
                <w:sz w:val="18"/>
                <w:szCs w:val="18"/>
              </w:rPr>
              <w:t xml:space="preserve"> </w:t>
            </w:r>
            <w:r w:rsidRPr="006432A8">
              <w:rPr>
                <w:b/>
                <w:bCs/>
                <w:color w:val="000000"/>
                <w:sz w:val="18"/>
                <w:szCs w:val="18"/>
              </w:rPr>
              <w:t>521</w:t>
            </w:r>
            <w:r w:rsidR="0041238C" w:rsidRPr="007E304A">
              <w:rPr>
                <w:b/>
                <w:bCs/>
                <w:color w:val="000000"/>
                <w:sz w:val="18"/>
                <w:szCs w:val="18"/>
              </w:rPr>
              <w:t xml:space="preserve"> </w:t>
            </w:r>
          </w:p>
        </w:tc>
        <w:tc>
          <w:tcPr>
            <w:tcW w:w="2245" w:type="dxa"/>
            <w:tcBorders>
              <w:top w:val="single" w:sz="4" w:space="0" w:color="auto"/>
              <w:bottom w:val="single" w:sz="12" w:space="0" w:color="auto"/>
            </w:tcBorders>
            <w:shd w:val="clear" w:color="auto" w:fill="auto"/>
            <w:noWrap/>
            <w:vAlign w:val="bottom"/>
            <w:hideMark/>
          </w:tcPr>
          <w:p w14:paraId="547A9684" w14:textId="5133BB43" w:rsidR="0041238C" w:rsidRPr="007E304A" w:rsidRDefault="00FC7A16" w:rsidP="0041238C">
            <w:pPr>
              <w:tabs>
                <w:tab w:val="clear" w:pos="1247"/>
                <w:tab w:val="clear" w:pos="1814"/>
                <w:tab w:val="clear" w:pos="2381"/>
                <w:tab w:val="clear" w:pos="2948"/>
                <w:tab w:val="clear" w:pos="3515"/>
              </w:tabs>
              <w:jc w:val="right"/>
              <w:rPr>
                <w:b/>
                <w:bCs/>
                <w:color w:val="000000"/>
                <w:sz w:val="18"/>
                <w:szCs w:val="18"/>
              </w:rPr>
            </w:pPr>
            <w:r w:rsidRPr="006432A8">
              <w:rPr>
                <w:b/>
                <w:bCs/>
                <w:color w:val="000000"/>
                <w:sz w:val="18"/>
                <w:szCs w:val="18"/>
              </w:rPr>
              <w:t>3 133 396</w:t>
            </w:r>
            <w:r w:rsidR="0041238C" w:rsidRPr="007E304A">
              <w:rPr>
                <w:b/>
                <w:bCs/>
                <w:color w:val="000000"/>
                <w:sz w:val="18"/>
                <w:szCs w:val="18"/>
              </w:rPr>
              <w:t xml:space="preserve"> </w:t>
            </w:r>
          </w:p>
        </w:tc>
        <w:tc>
          <w:tcPr>
            <w:tcW w:w="2246" w:type="dxa"/>
            <w:tcBorders>
              <w:top w:val="single" w:sz="4" w:space="0" w:color="auto"/>
              <w:bottom w:val="single" w:sz="12" w:space="0" w:color="auto"/>
            </w:tcBorders>
            <w:shd w:val="clear" w:color="auto" w:fill="auto"/>
            <w:noWrap/>
            <w:vAlign w:val="bottom"/>
            <w:hideMark/>
          </w:tcPr>
          <w:p w14:paraId="7DED2E06" w14:textId="1EF2E938" w:rsidR="0041238C" w:rsidRPr="007E304A" w:rsidRDefault="0041238C" w:rsidP="00FC7A16">
            <w:pPr>
              <w:tabs>
                <w:tab w:val="clear" w:pos="1247"/>
                <w:tab w:val="clear" w:pos="1814"/>
                <w:tab w:val="clear" w:pos="2381"/>
                <w:tab w:val="clear" w:pos="2948"/>
                <w:tab w:val="clear" w:pos="3515"/>
              </w:tabs>
              <w:jc w:val="right"/>
              <w:rPr>
                <w:b/>
                <w:bCs/>
                <w:color w:val="000000"/>
                <w:sz w:val="18"/>
                <w:szCs w:val="18"/>
              </w:rPr>
            </w:pPr>
            <w:r w:rsidRPr="007E304A">
              <w:rPr>
                <w:b/>
                <w:bCs/>
                <w:color w:val="000000"/>
                <w:sz w:val="18"/>
                <w:szCs w:val="18"/>
              </w:rPr>
              <w:t>3</w:t>
            </w:r>
            <w:r w:rsidR="00B358F2" w:rsidRPr="007E304A">
              <w:rPr>
                <w:b/>
                <w:bCs/>
                <w:color w:val="000000"/>
                <w:sz w:val="18"/>
                <w:szCs w:val="18"/>
              </w:rPr>
              <w:t xml:space="preserve"> </w:t>
            </w:r>
            <w:r w:rsidR="00FC7A16" w:rsidRPr="006432A8">
              <w:rPr>
                <w:b/>
                <w:bCs/>
                <w:color w:val="000000"/>
                <w:sz w:val="18"/>
                <w:szCs w:val="18"/>
              </w:rPr>
              <w:t>654</w:t>
            </w:r>
            <w:r w:rsidR="00B358F2" w:rsidRPr="007E304A">
              <w:rPr>
                <w:b/>
                <w:bCs/>
                <w:color w:val="000000"/>
                <w:sz w:val="18"/>
                <w:szCs w:val="18"/>
              </w:rPr>
              <w:t xml:space="preserve"> </w:t>
            </w:r>
            <w:r w:rsidR="00FC7A16" w:rsidRPr="006432A8">
              <w:rPr>
                <w:b/>
                <w:bCs/>
                <w:color w:val="000000"/>
                <w:sz w:val="18"/>
                <w:szCs w:val="18"/>
              </w:rPr>
              <w:t>091</w:t>
            </w:r>
            <w:r w:rsidRPr="007E304A">
              <w:rPr>
                <w:b/>
                <w:bCs/>
                <w:color w:val="000000"/>
                <w:sz w:val="18"/>
                <w:szCs w:val="18"/>
              </w:rPr>
              <w:t xml:space="preserve"> </w:t>
            </w:r>
          </w:p>
        </w:tc>
      </w:tr>
    </w:tbl>
    <w:p w14:paraId="05202D74" w14:textId="77777777" w:rsidR="00FE4713" w:rsidRPr="006432A8" w:rsidRDefault="0041238C" w:rsidP="006432A8">
      <w:pPr>
        <w:pStyle w:val="Normal-pool"/>
        <w:spacing w:before="240" w:after="120"/>
        <w:ind w:left="1247"/>
      </w:pPr>
      <w:r w:rsidRPr="006432A8">
        <w:t>Table 3</w:t>
      </w:r>
    </w:p>
    <w:p w14:paraId="4D32F97C" w14:textId="7741618A" w:rsidR="0041238C" w:rsidRPr="007E304A" w:rsidRDefault="0041238C" w:rsidP="006432A8">
      <w:pPr>
        <w:pStyle w:val="Normal-pool"/>
        <w:ind w:left="1253"/>
        <w:rPr>
          <w:b/>
        </w:rPr>
      </w:pPr>
      <w:r w:rsidRPr="007E304A">
        <w:rPr>
          <w:b/>
        </w:rPr>
        <w:t xml:space="preserve">Projected staffing costs for </w:t>
      </w:r>
      <w:r w:rsidR="007610B9" w:rsidRPr="000577E9">
        <w:rPr>
          <w:b/>
        </w:rPr>
        <w:t xml:space="preserve">a standalone </w:t>
      </w:r>
      <w:r w:rsidRPr="007E304A">
        <w:rPr>
          <w:b/>
        </w:rPr>
        <w:t>secretariat in the six proposed locations, per year</w:t>
      </w:r>
    </w:p>
    <w:p w14:paraId="14D1326B" w14:textId="3887DCFB" w:rsidR="00B358F2" w:rsidRPr="006432A8" w:rsidRDefault="00B358F2" w:rsidP="006432A8">
      <w:pPr>
        <w:pStyle w:val="Normal-pool"/>
        <w:ind w:left="1253"/>
        <w:rPr>
          <w:i/>
        </w:rPr>
      </w:pPr>
      <w:r w:rsidRPr="006432A8">
        <w:rPr>
          <w:i/>
        </w:rPr>
        <w:t>(in United States dollars)</w:t>
      </w:r>
    </w:p>
    <w:tbl>
      <w:tblPr>
        <w:tblW w:w="9123" w:type="dxa"/>
        <w:tblInd w:w="624" w:type="dxa"/>
        <w:tblLayout w:type="fixed"/>
        <w:tblLook w:val="04A0" w:firstRow="1" w:lastRow="0" w:firstColumn="1" w:lastColumn="0" w:noHBand="0" w:noVBand="1"/>
      </w:tblPr>
      <w:tblGrid>
        <w:gridCol w:w="2027"/>
        <w:gridCol w:w="1168"/>
        <w:gridCol w:w="1168"/>
        <w:gridCol w:w="1169"/>
        <w:gridCol w:w="1168"/>
        <w:gridCol w:w="1168"/>
        <w:gridCol w:w="1255"/>
      </w:tblGrid>
      <w:tr w:rsidR="0041238C" w:rsidRPr="007E304A" w14:paraId="781B2029" w14:textId="77777777" w:rsidTr="00B10477">
        <w:trPr>
          <w:trHeight w:val="312"/>
        </w:trPr>
        <w:tc>
          <w:tcPr>
            <w:tcW w:w="2027" w:type="dxa"/>
            <w:tcBorders>
              <w:top w:val="single" w:sz="4" w:space="0" w:color="auto"/>
              <w:bottom w:val="single" w:sz="4" w:space="0" w:color="auto"/>
            </w:tcBorders>
            <w:shd w:val="clear" w:color="auto" w:fill="auto"/>
            <w:noWrap/>
            <w:vAlign w:val="bottom"/>
            <w:hideMark/>
          </w:tcPr>
          <w:p w14:paraId="3799F917" w14:textId="77777777" w:rsidR="0041238C" w:rsidRPr="007E304A" w:rsidRDefault="0041238C" w:rsidP="0041238C">
            <w:pPr>
              <w:tabs>
                <w:tab w:val="clear" w:pos="1247"/>
                <w:tab w:val="clear" w:pos="1814"/>
                <w:tab w:val="clear" w:pos="2381"/>
                <w:tab w:val="clear" w:pos="2948"/>
                <w:tab w:val="clear" w:pos="3515"/>
              </w:tabs>
              <w:rPr>
                <w:color w:val="000000"/>
                <w:sz w:val="18"/>
                <w:szCs w:val="18"/>
              </w:rPr>
            </w:pPr>
          </w:p>
        </w:tc>
        <w:tc>
          <w:tcPr>
            <w:tcW w:w="7096" w:type="dxa"/>
            <w:gridSpan w:val="6"/>
            <w:tcBorders>
              <w:top w:val="single" w:sz="4" w:space="0" w:color="auto"/>
              <w:bottom w:val="single" w:sz="4" w:space="0" w:color="auto"/>
            </w:tcBorders>
            <w:shd w:val="clear" w:color="auto" w:fill="auto"/>
            <w:noWrap/>
            <w:vAlign w:val="bottom"/>
            <w:hideMark/>
          </w:tcPr>
          <w:p w14:paraId="28F5C88A" w14:textId="2247D529" w:rsidR="0041238C" w:rsidRPr="006432A8" w:rsidRDefault="0041238C" w:rsidP="0041238C">
            <w:pPr>
              <w:tabs>
                <w:tab w:val="clear" w:pos="1247"/>
                <w:tab w:val="clear" w:pos="1814"/>
                <w:tab w:val="clear" w:pos="2381"/>
                <w:tab w:val="clear" w:pos="2948"/>
                <w:tab w:val="clear" w:pos="3515"/>
              </w:tabs>
              <w:jc w:val="center"/>
              <w:rPr>
                <w:bCs/>
                <w:i/>
                <w:color w:val="000000"/>
                <w:sz w:val="18"/>
                <w:szCs w:val="18"/>
              </w:rPr>
            </w:pPr>
            <w:r w:rsidRPr="006432A8">
              <w:rPr>
                <w:bCs/>
                <w:i/>
                <w:color w:val="000000"/>
                <w:sz w:val="18"/>
                <w:szCs w:val="18"/>
              </w:rPr>
              <w:t xml:space="preserve">Option 2: </w:t>
            </w:r>
            <w:r w:rsidR="007610B9">
              <w:rPr>
                <w:bCs/>
                <w:i/>
                <w:color w:val="000000"/>
                <w:sz w:val="18"/>
                <w:szCs w:val="18"/>
              </w:rPr>
              <w:t>Standalone</w:t>
            </w:r>
            <w:r w:rsidR="007610B9" w:rsidRPr="006432A8">
              <w:rPr>
                <w:bCs/>
                <w:i/>
                <w:color w:val="000000"/>
                <w:sz w:val="18"/>
                <w:szCs w:val="18"/>
              </w:rPr>
              <w:t xml:space="preserve"> </w:t>
            </w:r>
            <w:r w:rsidRPr="006432A8">
              <w:rPr>
                <w:bCs/>
                <w:i/>
                <w:color w:val="000000"/>
                <w:sz w:val="18"/>
                <w:szCs w:val="18"/>
              </w:rPr>
              <w:t xml:space="preserve">Minamata Convention </w:t>
            </w:r>
            <w:r w:rsidR="00E47609" w:rsidRPr="006432A8">
              <w:rPr>
                <w:bCs/>
                <w:i/>
                <w:color w:val="000000"/>
                <w:sz w:val="18"/>
                <w:szCs w:val="18"/>
              </w:rPr>
              <w:t>s</w:t>
            </w:r>
            <w:r w:rsidRPr="006432A8">
              <w:rPr>
                <w:bCs/>
                <w:i/>
                <w:color w:val="000000"/>
                <w:sz w:val="18"/>
                <w:szCs w:val="18"/>
              </w:rPr>
              <w:t>ecretariat</w:t>
            </w:r>
          </w:p>
        </w:tc>
      </w:tr>
      <w:tr w:rsidR="0041238C" w:rsidRPr="007E304A" w14:paraId="2FF40F93" w14:textId="77777777" w:rsidTr="00B10477">
        <w:trPr>
          <w:trHeight w:val="312"/>
        </w:trPr>
        <w:tc>
          <w:tcPr>
            <w:tcW w:w="2027" w:type="dxa"/>
            <w:tcBorders>
              <w:top w:val="single" w:sz="4" w:space="0" w:color="auto"/>
              <w:bottom w:val="single" w:sz="12" w:space="0" w:color="auto"/>
            </w:tcBorders>
            <w:shd w:val="clear" w:color="auto" w:fill="auto"/>
            <w:noWrap/>
            <w:vAlign w:val="bottom"/>
            <w:hideMark/>
          </w:tcPr>
          <w:p w14:paraId="43ADB06B" w14:textId="77777777" w:rsidR="0041238C" w:rsidRPr="007E304A" w:rsidRDefault="0041238C" w:rsidP="0041238C">
            <w:pPr>
              <w:tabs>
                <w:tab w:val="clear" w:pos="1247"/>
                <w:tab w:val="clear" w:pos="1814"/>
                <w:tab w:val="clear" w:pos="2381"/>
                <w:tab w:val="clear" w:pos="2948"/>
                <w:tab w:val="clear" w:pos="3515"/>
              </w:tabs>
              <w:rPr>
                <w:color w:val="000000"/>
                <w:sz w:val="18"/>
                <w:szCs w:val="18"/>
              </w:rPr>
            </w:pPr>
          </w:p>
        </w:tc>
        <w:tc>
          <w:tcPr>
            <w:tcW w:w="1168" w:type="dxa"/>
            <w:tcBorders>
              <w:top w:val="single" w:sz="4" w:space="0" w:color="auto"/>
              <w:bottom w:val="single" w:sz="12" w:space="0" w:color="auto"/>
            </w:tcBorders>
            <w:shd w:val="clear" w:color="auto" w:fill="auto"/>
            <w:noWrap/>
            <w:vAlign w:val="bottom"/>
            <w:hideMark/>
          </w:tcPr>
          <w:p w14:paraId="7955C585"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Bangkok</w:t>
            </w:r>
          </w:p>
        </w:tc>
        <w:tc>
          <w:tcPr>
            <w:tcW w:w="1168" w:type="dxa"/>
            <w:tcBorders>
              <w:top w:val="single" w:sz="4" w:space="0" w:color="auto"/>
              <w:bottom w:val="single" w:sz="12" w:space="0" w:color="auto"/>
            </w:tcBorders>
            <w:shd w:val="clear" w:color="auto" w:fill="auto"/>
            <w:noWrap/>
            <w:vAlign w:val="bottom"/>
            <w:hideMark/>
          </w:tcPr>
          <w:p w14:paraId="6A87788C"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Geneva</w:t>
            </w:r>
          </w:p>
        </w:tc>
        <w:tc>
          <w:tcPr>
            <w:tcW w:w="1169" w:type="dxa"/>
            <w:tcBorders>
              <w:top w:val="single" w:sz="4" w:space="0" w:color="auto"/>
              <w:bottom w:val="single" w:sz="12" w:space="0" w:color="auto"/>
            </w:tcBorders>
            <w:shd w:val="clear" w:color="auto" w:fill="auto"/>
            <w:noWrap/>
            <w:vAlign w:val="bottom"/>
            <w:hideMark/>
          </w:tcPr>
          <w:p w14:paraId="6A288F2A"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Nairobi</w:t>
            </w:r>
          </w:p>
        </w:tc>
        <w:tc>
          <w:tcPr>
            <w:tcW w:w="1168" w:type="dxa"/>
            <w:tcBorders>
              <w:top w:val="single" w:sz="4" w:space="0" w:color="auto"/>
              <w:bottom w:val="single" w:sz="12" w:space="0" w:color="auto"/>
            </w:tcBorders>
            <w:shd w:val="clear" w:color="auto" w:fill="auto"/>
            <w:noWrap/>
            <w:vAlign w:val="bottom"/>
            <w:hideMark/>
          </w:tcPr>
          <w:p w14:paraId="31092536"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Osaka</w:t>
            </w:r>
          </w:p>
        </w:tc>
        <w:tc>
          <w:tcPr>
            <w:tcW w:w="1168" w:type="dxa"/>
            <w:tcBorders>
              <w:top w:val="single" w:sz="4" w:space="0" w:color="auto"/>
              <w:bottom w:val="single" w:sz="12" w:space="0" w:color="auto"/>
            </w:tcBorders>
            <w:shd w:val="clear" w:color="auto" w:fill="auto"/>
            <w:noWrap/>
            <w:vAlign w:val="bottom"/>
            <w:hideMark/>
          </w:tcPr>
          <w:p w14:paraId="46E5521F"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Vienna</w:t>
            </w:r>
          </w:p>
        </w:tc>
        <w:tc>
          <w:tcPr>
            <w:tcW w:w="1255" w:type="dxa"/>
            <w:tcBorders>
              <w:top w:val="single" w:sz="4" w:space="0" w:color="auto"/>
              <w:bottom w:val="single" w:sz="12" w:space="0" w:color="auto"/>
            </w:tcBorders>
            <w:shd w:val="clear" w:color="auto" w:fill="auto"/>
            <w:noWrap/>
            <w:vAlign w:val="bottom"/>
            <w:hideMark/>
          </w:tcPr>
          <w:p w14:paraId="668C505E"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Washington</w:t>
            </w:r>
          </w:p>
        </w:tc>
      </w:tr>
      <w:tr w:rsidR="0041238C" w:rsidRPr="007E304A" w14:paraId="67384F13" w14:textId="77777777" w:rsidTr="00B10477">
        <w:trPr>
          <w:trHeight w:val="312"/>
        </w:trPr>
        <w:tc>
          <w:tcPr>
            <w:tcW w:w="2027" w:type="dxa"/>
            <w:tcBorders>
              <w:top w:val="single" w:sz="12" w:space="0" w:color="auto"/>
            </w:tcBorders>
            <w:shd w:val="clear" w:color="auto" w:fill="auto"/>
            <w:noWrap/>
            <w:hideMark/>
          </w:tcPr>
          <w:p w14:paraId="410643AF" w14:textId="5F45E6D0" w:rsidR="0041238C" w:rsidRPr="006432A8" w:rsidRDefault="0041238C" w:rsidP="0041238C">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 xml:space="preserve">Total </w:t>
            </w:r>
            <w:r w:rsidR="0089387D" w:rsidRPr="006432A8">
              <w:rPr>
                <w:bCs/>
                <w:i/>
                <w:color w:val="000000"/>
                <w:sz w:val="18"/>
                <w:szCs w:val="18"/>
              </w:rPr>
              <w:t>s</w:t>
            </w:r>
            <w:r w:rsidRPr="006432A8">
              <w:rPr>
                <w:bCs/>
                <w:i/>
                <w:color w:val="000000"/>
                <w:sz w:val="18"/>
                <w:szCs w:val="18"/>
              </w:rPr>
              <w:t>taff</w:t>
            </w:r>
          </w:p>
        </w:tc>
        <w:tc>
          <w:tcPr>
            <w:tcW w:w="1168" w:type="dxa"/>
            <w:tcBorders>
              <w:top w:val="single" w:sz="12" w:space="0" w:color="auto"/>
            </w:tcBorders>
            <w:shd w:val="clear" w:color="auto" w:fill="auto"/>
            <w:noWrap/>
            <w:vAlign w:val="bottom"/>
            <w:hideMark/>
          </w:tcPr>
          <w:p w14:paraId="285F5CC7"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8" w:type="dxa"/>
            <w:tcBorders>
              <w:top w:val="single" w:sz="12" w:space="0" w:color="auto"/>
            </w:tcBorders>
            <w:shd w:val="clear" w:color="auto" w:fill="auto"/>
            <w:noWrap/>
            <w:vAlign w:val="bottom"/>
            <w:hideMark/>
          </w:tcPr>
          <w:p w14:paraId="6D770DB7"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9" w:type="dxa"/>
            <w:tcBorders>
              <w:top w:val="single" w:sz="12" w:space="0" w:color="auto"/>
            </w:tcBorders>
            <w:shd w:val="clear" w:color="auto" w:fill="auto"/>
            <w:noWrap/>
            <w:vAlign w:val="bottom"/>
            <w:hideMark/>
          </w:tcPr>
          <w:p w14:paraId="0B561401"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8" w:type="dxa"/>
            <w:tcBorders>
              <w:top w:val="single" w:sz="12" w:space="0" w:color="auto"/>
            </w:tcBorders>
            <w:shd w:val="clear" w:color="auto" w:fill="auto"/>
            <w:noWrap/>
            <w:vAlign w:val="bottom"/>
            <w:hideMark/>
          </w:tcPr>
          <w:p w14:paraId="004A1AD9"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8" w:type="dxa"/>
            <w:tcBorders>
              <w:top w:val="single" w:sz="12" w:space="0" w:color="auto"/>
            </w:tcBorders>
            <w:shd w:val="clear" w:color="auto" w:fill="auto"/>
            <w:noWrap/>
            <w:vAlign w:val="bottom"/>
            <w:hideMark/>
          </w:tcPr>
          <w:p w14:paraId="35F497F4"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255" w:type="dxa"/>
            <w:tcBorders>
              <w:top w:val="single" w:sz="12" w:space="0" w:color="auto"/>
            </w:tcBorders>
            <w:shd w:val="clear" w:color="auto" w:fill="auto"/>
            <w:noWrap/>
            <w:vAlign w:val="bottom"/>
            <w:hideMark/>
          </w:tcPr>
          <w:p w14:paraId="03762A10"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r>
      <w:tr w:rsidR="0041238C" w:rsidRPr="007E304A" w14:paraId="2C7B7323" w14:textId="77777777" w:rsidTr="00B10477">
        <w:trPr>
          <w:trHeight w:val="312"/>
        </w:trPr>
        <w:tc>
          <w:tcPr>
            <w:tcW w:w="2027" w:type="dxa"/>
            <w:shd w:val="clear" w:color="auto" w:fill="auto"/>
            <w:noWrap/>
            <w:hideMark/>
          </w:tcPr>
          <w:p w14:paraId="763E6CA2" w14:textId="06B5A1E0" w:rsidR="0041238C" w:rsidRPr="006432A8" w:rsidRDefault="0041238C" w:rsidP="0041238C">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 xml:space="preserve">Total </w:t>
            </w:r>
            <w:r w:rsidR="0089387D" w:rsidRPr="006432A8">
              <w:rPr>
                <w:bCs/>
                <w:i/>
                <w:color w:val="000000"/>
                <w:sz w:val="18"/>
                <w:szCs w:val="18"/>
              </w:rPr>
              <w:t>s</w:t>
            </w:r>
            <w:r w:rsidRPr="006432A8">
              <w:rPr>
                <w:bCs/>
                <w:i/>
                <w:color w:val="000000"/>
                <w:sz w:val="18"/>
                <w:szCs w:val="18"/>
              </w:rPr>
              <w:t xml:space="preserve">taff </w:t>
            </w:r>
            <w:r w:rsidR="0089387D" w:rsidRPr="006432A8">
              <w:rPr>
                <w:bCs/>
                <w:i/>
                <w:color w:val="000000"/>
                <w:sz w:val="18"/>
                <w:szCs w:val="18"/>
              </w:rPr>
              <w:t>c</w:t>
            </w:r>
            <w:r w:rsidRPr="006432A8">
              <w:rPr>
                <w:bCs/>
                <w:i/>
                <w:color w:val="000000"/>
                <w:sz w:val="18"/>
                <w:szCs w:val="18"/>
              </w:rPr>
              <w:t>osts (</w:t>
            </w:r>
            <w:r w:rsidR="0089387D" w:rsidRPr="006432A8">
              <w:rPr>
                <w:bCs/>
                <w:i/>
                <w:color w:val="000000"/>
                <w:sz w:val="18"/>
                <w:szCs w:val="18"/>
              </w:rPr>
              <w:t>c</w:t>
            </w:r>
            <w:r w:rsidRPr="006432A8">
              <w:rPr>
                <w:bCs/>
                <w:i/>
                <w:color w:val="000000"/>
                <w:sz w:val="18"/>
                <w:szCs w:val="18"/>
              </w:rPr>
              <w:t>ore excl</w:t>
            </w:r>
            <w:r w:rsidR="006947B4" w:rsidRPr="006432A8">
              <w:rPr>
                <w:bCs/>
                <w:i/>
                <w:color w:val="000000"/>
                <w:sz w:val="18"/>
                <w:szCs w:val="18"/>
              </w:rPr>
              <w:t>uding</w:t>
            </w:r>
            <w:r w:rsidRPr="006432A8">
              <w:rPr>
                <w:bCs/>
                <w:i/>
                <w:color w:val="000000"/>
                <w:sz w:val="18"/>
                <w:szCs w:val="18"/>
              </w:rPr>
              <w:t xml:space="preserve"> </w:t>
            </w:r>
            <w:r w:rsidR="0089387D" w:rsidRPr="006432A8">
              <w:rPr>
                <w:bCs/>
                <w:i/>
                <w:color w:val="000000"/>
                <w:sz w:val="18"/>
                <w:szCs w:val="18"/>
              </w:rPr>
              <w:t>programme support costs</w:t>
            </w:r>
            <w:r w:rsidRPr="006432A8">
              <w:rPr>
                <w:bCs/>
                <w:i/>
                <w:color w:val="000000"/>
                <w:sz w:val="18"/>
                <w:szCs w:val="18"/>
              </w:rPr>
              <w:t>)</w:t>
            </w:r>
          </w:p>
        </w:tc>
        <w:tc>
          <w:tcPr>
            <w:tcW w:w="1168" w:type="dxa"/>
            <w:shd w:val="clear" w:color="auto" w:fill="auto"/>
            <w:noWrap/>
            <w:vAlign w:val="bottom"/>
            <w:hideMark/>
          </w:tcPr>
          <w:p w14:paraId="53DA6FCC" w14:textId="6A3077B5" w:rsidR="0041238C" w:rsidRPr="007E304A" w:rsidRDefault="0041238C" w:rsidP="006006BB">
            <w:pPr>
              <w:tabs>
                <w:tab w:val="clear" w:pos="1247"/>
                <w:tab w:val="clear" w:pos="1814"/>
                <w:tab w:val="clear" w:pos="2381"/>
                <w:tab w:val="clear" w:pos="2948"/>
                <w:tab w:val="clear" w:pos="3515"/>
              </w:tabs>
              <w:jc w:val="right"/>
              <w:rPr>
                <w:sz w:val="18"/>
                <w:szCs w:val="18"/>
              </w:rPr>
            </w:pPr>
            <w:r w:rsidRPr="007E304A">
              <w:rPr>
                <w:sz w:val="18"/>
                <w:szCs w:val="18"/>
              </w:rPr>
              <w:t>2</w:t>
            </w:r>
            <w:r w:rsidR="00B358F2" w:rsidRPr="007E304A">
              <w:rPr>
                <w:sz w:val="18"/>
                <w:szCs w:val="18"/>
              </w:rPr>
              <w:t xml:space="preserve"> </w:t>
            </w:r>
            <w:r w:rsidR="006006BB" w:rsidRPr="006432A8">
              <w:rPr>
                <w:sz w:val="18"/>
                <w:szCs w:val="18"/>
              </w:rPr>
              <w:t>140</w:t>
            </w:r>
            <w:r w:rsidR="00B358F2" w:rsidRPr="007E304A">
              <w:rPr>
                <w:sz w:val="18"/>
                <w:szCs w:val="18"/>
              </w:rPr>
              <w:t xml:space="preserve"> </w:t>
            </w:r>
            <w:r w:rsidR="006006BB" w:rsidRPr="006432A8">
              <w:rPr>
                <w:sz w:val="18"/>
                <w:szCs w:val="18"/>
              </w:rPr>
              <w:t>500</w:t>
            </w:r>
            <w:r w:rsidRPr="007E304A">
              <w:rPr>
                <w:sz w:val="18"/>
                <w:szCs w:val="18"/>
              </w:rPr>
              <w:t xml:space="preserve"> </w:t>
            </w:r>
          </w:p>
        </w:tc>
        <w:tc>
          <w:tcPr>
            <w:tcW w:w="1168" w:type="dxa"/>
            <w:shd w:val="clear" w:color="auto" w:fill="auto"/>
            <w:noWrap/>
            <w:vAlign w:val="bottom"/>
            <w:hideMark/>
          </w:tcPr>
          <w:p w14:paraId="7DFFC324" w14:textId="53CE8AC1" w:rsidR="0041238C" w:rsidRPr="007E304A" w:rsidRDefault="006006BB" w:rsidP="006006BB">
            <w:pPr>
              <w:tabs>
                <w:tab w:val="clear" w:pos="1247"/>
                <w:tab w:val="clear" w:pos="1814"/>
                <w:tab w:val="clear" w:pos="2381"/>
                <w:tab w:val="clear" w:pos="2948"/>
                <w:tab w:val="clear" w:pos="3515"/>
              </w:tabs>
              <w:jc w:val="right"/>
              <w:rPr>
                <w:sz w:val="18"/>
                <w:szCs w:val="18"/>
              </w:rPr>
            </w:pPr>
            <w:r w:rsidRPr="006432A8">
              <w:rPr>
                <w:color w:val="000000"/>
                <w:sz w:val="18"/>
                <w:szCs w:val="18"/>
              </w:rPr>
              <w:t>3 233 709</w:t>
            </w:r>
          </w:p>
        </w:tc>
        <w:tc>
          <w:tcPr>
            <w:tcW w:w="1169" w:type="dxa"/>
            <w:shd w:val="clear" w:color="auto" w:fill="auto"/>
            <w:noWrap/>
            <w:vAlign w:val="bottom"/>
            <w:hideMark/>
          </w:tcPr>
          <w:p w14:paraId="57EE3AB5" w14:textId="35FE935C" w:rsidR="0041238C" w:rsidRPr="007E304A" w:rsidRDefault="006006BB" w:rsidP="0041238C">
            <w:pPr>
              <w:tabs>
                <w:tab w:val="clear" w:pos="1247"/>
                <w:tab w:val="clear" w:pos="1814"/>
                <w:tab w:val="clear" w:pos="2381"/>
                <w:tab w:val="clear" w:pos="2948"/>
                <w:tab w:val="clear" w:pos="3515"/>
              </w:tabs>
              <w:jc w:val="right"/>
              <w:rPr>
                <w:sz w:val="18"/>
                <w:szCs w:val="18"/>
              </w:rPr>
            </w:pPr>
            <w:r w:rsidRPr="006432A8">
              <w:rPr>
                <w:sz w:val="18"/>
                <w:szCs w:val="18"/>
              </w:rPr>
              <w:t>2 074 550</w:t>
            </w:r>
          </w:p>
        </w:tc>
        <w:tc>
          <w:tcPr>
            <w:tcW w:w="1168" w:type="dxa"/>
            <w:shd w:val="clear" w:color="auto" w:fill="auto"/>
            <w:noWrap/>
            <w:vAlign w:val="bottom"/>
            <w:hideMark/>
          </w:tcPr>
          <w:p w14:paraId="694F0AB1" w14:textId="64628EE2" w:rsidR="0041238C" w:rsidRPr="007E304A" w:rsidRDefault="0041238C" w:rsidP="004B6984">
            <w:pPr>
              <w:tabs>
                <w:tab w:val="clear" w:pos="1247"/>
                <w:tab w:val="clear" w:pos="1814"/>
                <w:tab w:val="clear" w:pos="2381"/>
                <w:tab w:val="clear" w:pos="2948"/>
                <w:tab w:val="clear" w:pos="3515"/>
              </w:tabs>
              <w:jc w:val="right"/>
              <w:rPr>
                <w:sz w:val="18"/>
                <w:szCs w:val="18"/>
              </w:rPr>
            </w:pPr>
            <w:r w:rsidRPr="007E304A">
              <w:rPr>
                <w:sz w:val="18"/>
                <w:szCs w:val="18"/>
              </w:rPr>
              <w:t>2</w:t>
            </w:r>
            <w:r w:rsidR="004B6984" w:rsidRPr="006432A8">
              <w:rPr>
                <w:sz w:val="18"/>
                <w:szCs w:val="18"/>
              </w:rPr>
              <w:t xml:space="preserve"> 674</w:t>
            </w:r>
            <w:r w:rsidR="00B358F2" w:rsidRPr="007E304A">
              <w:rPr>
                <w:sz w:val="18"/>
                <w:szCs w:val="18"/>
              </w:rPr>
              <w:t xml:space="preserve"> </w:t>
            </w:r>
            <w:r w:rsidR="004B6984" w:rsidRPr="006432A8">
              <w:rPr>
                <w:sz w:val="18"/>
                <w:szCs w:val="18"/>
              </w:rPr>
              <w:t>800</w:t>
            </w:r>
            <w:r w:rsidRPr="007E304A">
              <w:rPr>
                <w:sz w:val="18"/>
                <w:szCs w:val="18"/>
              </w:rPr>
              <w:t xml:space="preserve"> </w:t>
            </w:r>
          </w:p>
        </w:tc>
        <w:tc>
          <w:tcPr>
            <w:tcW w:w="1168" w:type="dxa"/>
            <w:shd w:val="clear" w:color="auto" w:fill="auto"/>
            <w:noWrap/>
            <w:vAlign w:val="bottom"/>
            <w:hideMark/>
          </w:tcPr>
          <w:p w14:paraId="185A1972" w14:textId="5EB95400" w:rsidR="0041238C" w:rsidRPr="007E304A" w:rsidRDefault="0041238C" w:rsidP="0041238C">
            <w:pPr>
              <w:tabs>
                <w:tab w:val="clear" w:pos="1247"/>
                <w:tab w:val="clear" w:pos="1814"/>
                <w:tab w:val="clear" w:pos="2381"/>
                <w:tab w:val="clear" w:pos="2948"/>
                <w:tab w:val="clear" w:pos="3515"/>
              </w:tabs>
              <w:jc w:val="right"/>
              <w:rPr>
                <w:sz w:val="18"/>
                <w:szCs w:val="18"/>
              </w:rPr>
            </w:pPr>
            <w:r w:rsidRPr="007E304A">
              <w:rPr>
                <w:sz w:val="18"/>
                <w:szCs w:val="18"/>
              </w:rPr>
              <w:t>2</w:t>
            </w:r>
            <w:r w:rsidR="00B358F2" w:rsidRPr="007E304A">
              <w:rPr>
                <w:sz w:val="18"/>
                <w:szCs w:val="18"/>
              </w:rPr>
              <w:t xml:space="preserve"> </w:t>
            </w:r>
            <w:r w:rsidR="006006BB" w:rsidRPr="006432A8">
              <w:rPr>
                <w:sz w:val="18"/>
                <w:szCs w:val="18"/>
              </w:rPr>
              <w:t>34</w:t>
            </w:r>
            <w:r w:rsidRPr="007E304A">
              <w:rPr>
                <w:sz w:val="18"/>
                <w:szCs w:val="18"/>
              </w:rPr>
              <w:t>6</w:t>
            </w:r>
            <w:r w:rsidR="00B358F2" w:rsidRPr="007E304A">
              <w:rPr>
                <w:sz w:val="18"/>
                <w:szCs w:val="18"/>
              </w:rPr>
              <w:t xml:space="preserve"> </w:t>
            </w:r>
            <w:r w:rsidR="006006BB" w:rsidRPr="006432A8">
              <w:rPr>
                <w:sz w:val="18"/>
                <w:szCs w:val="18"/>
              </w:rPr>
              <w:t>40</w:t>
            </w:r>
            <w:r w:rsidRPr="007E304A">
              <w:rPr>
                <w:sz w:val="18"/>
                <w:szCs w:val="18"/>
              </w:rPr>
              <w:t xml:space="preserve">0 </w:t>
            </w:r>
          </w:p>
        </w:tc>
        <w:tc>
          <w:tcPr>
            <w:tcW w:w="1255" w:type="dxa"/>
            <w:shd w:val="clear" w:color="auto" w:fill="auto"/>
            <w:noWrap/>
            <w:vAlign w:val="bottom"/>
            <w:hideMark/>
          </w:tcPr>
          <w:p w14:paraId="538EE887" w14:textId="25FD5C40" w:rsidR="0041238C" w:rsidRPr="007E304A" w:rsidRDefault="0041238C" w:rsidP="00AB20EE">
            <w:pPr>
              <w:tabs>
                <w:tab w:val="clear" w:pos="1247"/>
                <w:tab w:val="clear" w:pos="1814"/>
                <w:tab w:val="clear" w:pos="2381"/>
                <w:tab w:val="clear" w:pos="2948"/>
                <w:tab w:val="clear" w:pos="3515"/>
              </w:tabs>
              <w:jc w:val="right"/>
              <w:rPr>
                <w:sz w:val="18"/>
                <w:szCs w:val="18"/>
              </w:rPr>
            </w:pPr>
            <w:r w:rsidRPr="007E304A">
              <w:rPr>
                <w:sz w:val="18"/>
                <w:szCs w:val="18"/>
              </w:rPr>
              <w:t>2</w:t>
            </w:r>
            <w:r w:rsidR="00B358F2" w:rsidRPr="007E304A">
              <w:rPr>
                <w:sz w:val="18"/>
                <w:szCs w:val="18"/>
              </w:rPr>
              <w:t xml:space="preserve"> </w:t>
            </w:r>
            <w:r w:rsidR="000A1250" w:rsidRPr="007E304A">
              <w:rPr>
                <w:sz w:val="18"/>
                <w:szCs w:val="18"/>
              </w:rPr>
              <w:t>490</w:t>
            </w:r>
            <w:r w:rsidR="00B358F2" w:rsidRPr="007E304A">
              <w:rPr>
                <w:sz w:val="18"/>
                <w:szCs w:val="18"/>
              </w:rPr>
              <w:t xml:space="preserve"> </w:t>
            </w:r>
            <w:r w:rsidR="000A1250" w:rsidRPr="007E304A">
              <w:rPr>
                <w:sz w:val="18"/>
                <w:szCs w:val="18"/>
              </w:rPr>
              <w:t>050</w:t>
            </w:r>
            <w:r w:rsidRPr="007E304A">
              <w:rPr>
                <w:sz w:val="18"/>
                <w:szCs w:val="18"/>
              </w:rPr>
              <w:t xml:space="preserve"> </w:t>
            </w:r>
          </w:p>
        </w:tc>
      </w:tr>
      <w:tr w:rsidR="0041238C" w:rsidRPr="007E304A" w14:paraId="72B18BFD" w14:textId="77777777" w:rsidTr="00B10477">
        <w:trPr>
          <w:trHeight w:val="312"/>
        </w:trPr>
        <w:tc>
          <w:tcPr>
            <w:tcW w:w="2027" w:type="dxa"/>
            <w:tcBorders>
              <w:bottom w:val="single" w:sz="4" w:space="0" w:color="auto"/>
            </w:tcBorders>
            <w:shd w:val="clear" w:color="auto" w:fill="auto"/>
            <w:noWrap/>
            <w:hideMark/>
          </w:tcPr>
          <w:p w14:paraId="16FCD55E" w14:textId="528D0EC2" w:rsidR="0041238C" w:rsidRPr="006432A8" w:rsidRDefault="0089387D">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Programme support costs</w:t>
            </w:r>
            <w:r w:rsidR="0041238C" w:rsidRPr="006432A8">
              <w:rPr>
                <w:bCs/>
                <w:i/>
                <w:color w:val="000000"/>
                <w:sz w:val="18"/>
                <w:szCs w:val="18"/>
              </w:rPr>
              <w:t xml:space="preserve"> on </w:t>
            </w:r>
            <w:r w:rsidRPr="006432A8">
              <w:rPr>
                <w:bCs/>
                <w:i/>
                <w:color w:val="000000"/>
                <w:sz w:val="18"/>
                <w:szCs w:val="18"/>
              </w:rPr>
              <w:t>s</w:t>
            </w:r>
            <w:r w:rsidR="0041238C" w:rsidRPr="006432A8">
              <w:rPr>
                <w:bCs/>
                <w:i/>
                <w:color w:val="000000"/>
                <w:sz w:val="18"/>
                <w:szCs w:val="18"/>
              </w:rPr>
              <w:t xml:space="preserve">taff </w:t>
            </w:r>
            <w:r w:rsidRPr="006432A8">
              <w:rPr>
                <w:bCs/>
                <w:i/>
                <w:color w:val="000000"/>
                <w:sz w:val="18"/>
                <w:szCs w:val="18"/>
              </w:rPr>
              <w:t>c</w:t>
            </w:r>
            <w:r w:rsidR="0041238C" w:rsidRPr="006432A8">
              <w:rPr>
                <w:bCs/>
                <w:i/>
                <w:color w:val="000000"/>
                <w:sz w:val="18"/>
                <w:szCs w:val="18"/>
              </w:rPr>
              <w:t>osts</w:t>
            </w:r>
            <w:r w:rsidR="002F467D" w:rsidRPr="006432A8">
              <w:rPr>
                <w:bCs/>
                <w:i/>
                <w:color w:val="000000"/>
                <w:sz w:val="18"/>
                <w:szCs w:val="18"/>
              </w:rPr>
              <w:t xml:space="preserve"> </w:t>
            </w:r>
          </w:p>
        </w:tc>
        <w:tc>
          <w:tcPr>
            <w:tcW w:w="1168" w:type="dxa"/>
            <w:tcBorders>
              <w:bottom w:val="single" w:sz="4" w:space="0" w:color="auto"/>
            </w:tcBorders>
            <w:shd w:val="clear" w:color="auto" w:fill="auto"/>
            <w:noWrap/>
            <w:vAlign w:val="bottom"/>
            <w:hideMark/>
          </w:tcPr>
          <w:p w14:paraId="7C922DD8" w14:textId="6FF7A5A4" w:rsidR="0041238C" w:rsidRPr="007E304A" w:rsidRDefault="0041238C" w:rsidP="0041238C">
            <w:pPr>
              <w:tabs>
                <w:tab w:val="clear" w:pos="1247"/>
                <w:tab w:val="clear" w:pos="1814"/>
                <w:tab w:val="clear" w:pos="2381"/>
                <w:tab w:val="clear" w:pos="2948"/>
                <w:tab w:val="clear" w:pos="3515"/>
              </w:tabs>
              <w:jc w:val="right"/>
              <w:rPr>
                <w:sz w:val="18"/>
                <w:szCs w:val="18"/>
              </w:rPr>
            </w:pPr>
            <w:r w:rsidRPr="007E304A">
              <w:rPr>
                <w:sz w:val="18"/>
                <w:szCs w:val="18"/>
              </w:rPr>
              <w:t>2</w:t>
            </w:r>
            <w:r w:rsidR="006006BB" w:rsidRPr="006432A8">
              <w:rPr>
                <w:sz w:val="18"/>
                <w:szCs w:val="18"/>
              </w:rPr>
              <w:t>78</w:t>
            </w:r>
            <w:r w:rsidR="00B358F2" w:rsidRPr="007E304A">
              <w:rPr>
                <w:sz w:val="18"/>
                <w:szCs w:val="18"/>
              </w:rPr>
              <w:t xml:space="preserve"> </w:t>
            </w:r>
            <w:r w:rsidR="006006BB" w:rsidRPr="006432A8">
              <w:rPr>
                <w:sz w:val="18"/>
                <w:szCs w:val="18"/>
              </w:rPr>
              <w:t>26</w:t>
            </w:r>
            <w:r w:rsidRPr="007E304A">
              <w:rPr>
                <w:sz w:val="18"/>
                <w:szCs w:val="18"/>
              </w:rPr>
              <w:t xml:space="preserve">5 </w:t>
            </w:r>
          </w:p>
        </w:tc>
        <w:tc>
          <w:tcPr>
            <w:tcW w:w="1168" w:type="dxa"/>
            <w:tcBorders>
              <w:bottom w:val="single" w:sz="4" w:space="0" w:color="auto"/>
            </w:tcBorders>
            <w:shd w:val="clear" w:color="auto" w:fill="auto"/>
            <w:noWrap/>
            <w:vAlign w:val="bottom"/>
            <w:hideMark/>
          </w:tcPr>
          <w:p w14:paraId="0EF5A83D" w14:textId="53E99B97" w:rsidR="0041238C" w:rsidRPr="007E304A" w:rsidRDefault="006006BB" w:rsidP="0041238C">
            <w:pPr>
              <w:tabs>
                <w:tab w:val="clear" w:pos="1247"/>
                <w:tab w:val="clear" w:pos="1814"/>
                <w:tab w:val="clear" w:pos="2381"/>
                <w:tab w:val="clear" w:pos="2948"/>
                <w:tab w:val="clear" w:pos="3515"/>
              </w:tabs>
              <w:jc w:val="right"/>
              <w:rPr>
                <w:sz w:val="18"/>
                <w:szCs w:val="18"/>
              </w:rPr>
            </w:pPr>
            <w:r w:rsidRPr="006432A8">
              <w:rPr>
                <w:color w:val="000000"/>
                <w:sz w:val="18"/>
                <w:szCs w:val="18"/>
              </w:rPr>
              <w:t>420 382</w:t>
            </w:r>
          </w:p>
        </w:tc>
        <w:tc>
          <w:tcPr>
            <w:tcW w:w="1169" w:type="dxa"/>
            <w:tcBorders>
              <w:bottom w:val="single" w:sz="4" w:space="0" w:color="auto"/>
            </w:tcBorders>
            <w:shd w:val="clear" w:color="auto" w:fill="auto"/>
            <w:noWrap/>
            <w:vAlign w:val="bottom"/>
            <w:hideMark/>
          </w:tcPr>
          <w:p w14:paraId="0143EDE0" w14:textId="38C45190" w:rsidR="0041238C" w:rsidRPr="007E304A" w:rsidRDefault="006006BB" w:rsidP="006006BB">
            <w:pPr>
              <w:tabs>
                <w:tab w:val="clear" w:pos="1247"/>
                <w:tab w:val="clear" w:pos="1814"/>
                <w:tab w:val="clear" w:pos="2381"/>
                <w:tab w:val="clear" w:pos="2948"/>
                <w:tab w:val="clear" w:pos="3515"/>
              </w:tabs>
              <w:jc w:val="right"/>
              <w:rPr>
                <w:sz w:val="18"/>
                <w:szCs w:val="18"/>
              </w:rPr>
            </w:pPr>
            <w:r w:rsidRPr="006432A8">
              <w:rPr>
                <w:sz w:val="18"/>
                <w:szCs w:val="18"/>
              </w:rPr>
              <w:t>269</w:t>
            </w:r>
            <w:r w:rsidR="00B358F2" w:rsidRPr="007E304A">
              <w:rPr>
                <w:sz w:val="18"/>
                <w:szCs w:val="18"/>
              </w:rPr>
              <w:t xml:space="preserve"> </w:t>
            </w:r>
            <w:r w:rsidRPr="006432A8">
              <w:rPr>
                <w:sz w:val="18"/>
                <w:szCs w:val="18"/>
              </w:rPr>
              <w:t>692</w:t>
            </w:r>
            <w:r w:rsidR="0041238C" w:rsidRPr="007E304A">
              <w:rPr>
                <w:sz w:val="18"/>
                <w:szCs w:val="18"/>
              </w:rPr>
              <w:t xml:space="preserve"> </w:t>
            </w:r>
          </w:p>
        </w:tc>
        <w:tc>
          <w:tcPr>
            <w:tcW w:w="1168" w:type="dxa"/>
            <w:tcBorders>
              <w:bottom w:val="single" w:sz="4" w:space="0" w:color="auto"/>
            </w:tcBorders>
            <w:shd w:val="clear" w:color="auto" w:fill="auto"/>
            <w:noWrap/>
            <w:vAlign w:val="bottom"/>
            <w:hideMark/>
          </w:tcPr>
          <w:p w14:paraId="26096951" w14:textId="02B9C5C7" w:rsidR="0041238C" w:rsidRPr="007E304A" w:rsidRDefault="004B6984" w:rsidP="004B6984">
            <w:pPr>
              <w:tabs>
                <w:tab w:val="clear" w:pos="1247"/>
                <w:tab w:val="clear" w:pos="1814"/>
                <w:tab w:val="clear" w:pos="2381"/>
                <w:tab w:val="clear" w:pos="2948"/>
                <w:tab w:val="clear" w:pos="3515"/>
              </w:tabs>
              <w:jc w:val="right"/>
              <w:rPr>
                <w:sz w:val="18"/>
                <w:szCs w:val="18"/>
              </w:rPr>
            </w:pPr>
            <w:r w:rsidRPr="006432A8">
              <w:rPr>
                <w:sz w:val="18"/>
                <w:szCs w:val="18"/>
              </w:rPr>
              <w:t>347</w:t>
            </w:r>
            <w:r w:rsidR="00B358F2" w:rsidRPr="007E304A">
              <w:rPr>
                <w:sz w:val="18"/>
                <w:szCs w:val="18"/>
              </w:rPr>
              <w:t xml:space="preserve"> </w:t>
            </w:r>
            <w:r w:rsidRPr="006432A8">
              <w:rPr>
                <w:sz w:val="18"/>
                <w:szCs w:val="18"/>
              </w:rPr>
              <w:t>724</w:t>
            </w:r>
            <w:r w:rsidR="0041238C" w:rsidRPr="007E304A">
              <w:rPr>
                <w:sz w:val="18"/>
                <w:szCs w:val="18"/>
              </w:rPr>
              <w:t xml:space="preserve"> </w:t>
            </w:r>
          </w:p>
        </w:tc>
        <w:tc>
          <w:tcPr>
            <w:tcW w:w="1168" w:type="dxa"/>
            <w:tcBorders>
              <w:bottom w:val="single" w:sz="4" w:space="0" w:color="auto"/>
            </w:tcBorders>
            <w:shd w:val="clear" w:color="auto" w:fill="auto"/>
            <w:noWrap/>
            <w:vAlign w:val="bottom"/>
            <w:hideMark/>
          </w:tcPr>
          <w:p w14:paraId="521A1215" w14:textId="0D1AA717" w:rsidR="0041238C" w:rsidRPr="007E304A" w:rsidRDefault="006006BB" w:rsidP="006006BB">
            <w:pPr>
              <w:tabs>
                <w:tab w:val="clear" w:pos="1247"/>
                <w:tab w:val="clear" w:pos="1814"/>
                <w:tab w:val="clear" w:pos="2381"/>
                <w:tab w:val="clear" w:pos="2948"/>
                <w:tab w:val="clear" w:pos="3515"/>
              </w:tabs>
              <w:jc w:val="right"/>
              <w:rPr>
                <w:sz w:val="18"/>
                <w:szCs w:val="18"/>
              </w:rPr>
            </w:pPr>
            <w:r w:rsidRPr="006432A8">
              <w:rPr>
                <w:sz w:val="18"/>
                <w:szCs w:val="18"/>
              </w:rPr>
              <w:t>305</w:t>
            </w:r>
            <w:r w:rsidR="00B358F2" w:rsidRPr="007E304A">
              <w:rPr>
                <w:sz w:val="18"/>
                <w:szCs w:val="18"/>
              </w:rPr>
              <w:t xml:space="preserve"> </w:t>
            </w:r>
            <w:r w:rsidRPr="006432A8">
              <w:rPr>
                <w:sz w:val="18"/>
                <w:szCs w:val="18"/>
              </w:rPr>
              <w:t>032</w:t>
            </w:r>
            <w:r w:rsidR="0041238C" w:rsidRPr="007E304A">
              <w:rPr>
                <w:sz w:val="18"/>
                <w:szCs w:val="18"/>
              </w:rPr>
              <w:t xml:space="preserve"> </w:t>
            </w:r>
          </w:p>
        </w:tc>
        <w:tc>
          <w:tcPr>
            <w:tcW w:w="1255" w:type="dxa"/>
            <w:tcBorders>
              <w:bottom w:val="single" w:sz="4" w:space="0" w:color="auto"/>
            </w:tcBorders>
            <w:shd w:val="clear" w:color="auto" w:fill="auto"/>
            <w:noWrap/>
            <w:vAlign w:val="bottom"/>
            <w:hideMark/>
          </w:tcPr>
          <w:p w14:paraId="4D3483CF" w14:textId="2974D28C" w:rsidR="0041238C" w:rsidRPr="007E304A" w:rsidRDefault="000A1250" w:rsidP="00AB20EE">
            <w:pPr>
              <w:tabs>
                <w:tab w:val="clear" w:pos="1247"/>
                <w:tab w:val="clear" w:pos="1814"/>
                <w:tab w:val="clear" w:pos="2381"/>
                <w:tab w:val="clear" w:pos="2948"/>
                <w:tab w:val="clear" w:pos="3515"/>
              </w:tabs>
              <w:jc w:val="right"/>
              <w:rPr>
                <w:sz w:val="18"/>
                <w:szCs w:val="18"/>
              </w:rPr>
            </w:pPr>
            <w:r w:rsidRPr="007E304A">
              <w:rPr>
                <w:sz w:val="18"/>
                <w:szCs w:val="18"/>
              </w:rPr>
              <w:t>323</w:t>
            </w:r>
            <w:r w:rsidR="00B358F2" w:rsidRPr="007E304A">
              <w:rPr>
                <w:sz w:val="18"/>
                <w:szCs w:val="18"/>
              </w:rPr>
              <w:t xml:space="preserve"> </w:t>
            </w:r>
            <w:r w:rsidRPr="007E304A">
              <w:rPr>
                <w:sz w:val="18"/>
                <w:szCs w:val="18"/>
              </w:rPr>
              <w:t>707</w:t>
            </w:r>
            <w:r w:rsidR="0041238C" w:rsidRPr="007E304A">
              <w:rPr>
                <w:sz w:val="18"/>
                <w:szCs w:val="18"/>
              </w:rPr>
              <w:t xml:space="preserve"> </w:t>
            </w:r>
          </w:p>
        </w:tc>
      </w:tr>
      <w:tr w:rsidR="0041238C" w:rsidRPr="007E304A" w14:paraId="682033A1" w14:textId="77777777" w:rsidTr="00B10477">
        <w:trPr>
          <w:trHeight w:val="312"/>
        </w:trPr>
        <w:tc>
          <w:tcPr>
            <w:tcW w:w="2027" w:type="dxa"/>
            <w:tcBorders>
              <w:top w:val="single" w:sz="4" w:space="0" w:color="auto"/>
              <w:bottom w:val="single" w:sz="12" w:space="0" w:color="auto"/>
            </w:tcBorders>
            <w:shd w:val="clear" w:color="auto" w:fill="auto"/>
            <w:noWrap/>
            <w:hideMark/>
          </w:tcPr>
          <w:p w14:paraId="2054696A" w14:textId="5C3F25FC" w:rsidR="0041238C" w:rsidRPr="006432A8" w:rsidRDefault="0041238C" w:rsidP="0041238C">
            <w:pPr>
              <w:tabs>
                <w:tab w:val="clear" w:pos="1247"/>
                <w:tab w:val="clear" w:pos="1814"/>
                <w:tab w:val="clear" w:pos="2381"/>
                <w:tab w:val="clear" w:pos="2948"/>
                <w:tab w:val="clear" w:pos="3515"/>
              </w:tabs>
              <w:jc w:val="right"/>
              <w:rPr>
                <w:bCs/>
                <w:i/>
                <w:color w:val="000000"/>
                <w:sz w:val="18"/>
                <w:szCs w:val="18"/>
              </w:rPr>
            </w:pPr>
            <w:r w:rsidRPr="006432A8">
              <w:rPr>
                <w:bCs/>
                <w:i/>
                <w:color w:val="000000"/>
                <w:sz w:val="18"/>
                <w:szCs w:val="18"/>
              </w:rPr>
              <w:t xml:space="preserve">Total </w:t>
            </w:r>
            <w:r w:rsidR="0089387D" w:rsidRPr="006432A8">
              <w:rPr>
                <w:bCs/>
                <w:i/>
                <w:color w:val="000000"/>
                <w:sz w:val="18"/>
                <w:szCs w:val="18"/>
              </w:rPr>
              <w:t>s</w:t>
            </w:r>
            <w:r w:rsidRPr="006432A8">
              <w:rPr>
                <w:bCs/>
                <w:i/>
                <w:color w:val="000000"/>
                <w:sz w:val="18"/>
                <w:szCs w:val="18"/>
              </w:rPr>
              <w:t xml:space="preserve">taff </w:t>
            </w:r>
            <w:r w:rsidR="0089387D" w:rsidRPr="006432A8">
              <w:rPr>
                <w:bCs/>
                <w:i/>
                <w:color w:val="000000"/>
                <w:sz w:val="18"/>
                <w:szCs w:val="18"/>
              </w:rPr>
              <w:t>c</w:t>
            </w:r>
            <w:r w:rsidRPr="006432A8">
              <w:rPr>
                <w:bCs/>
                <w:i/>
                <w:color w:val="000000"/>
                <w:sz w:val="18"/>
                <w:szCs w:val="18"/>
              </w:rPr>
              <w:t>osts (core incl</w:t>
            </w:r>
            <w:r w:rsidR="006947B4" w:rsidRPr="006432A8">
              <w:rPr>
                <w:bCs/>
                <w:i/>
                <w:color w:val="000000"/>
                <w:sz w:val="18"/>
                <w:szCs w:val="18"/>
              </w:rPr>
              <w:t>uding</w:t>
            </w:r>
            <w:r w:rsidRPr="006432A8">
              <w:rPr>
                <w:bCs/>
                <w:i/>
                <w:color w:val="000000"/>
                <w:sz w:val="18"/>
                <w:szCs w:val="18"/>
              </w:rPr>
              <w:t xml:space="preserve"> </w:t>
            </w:r>
            <w:r w:rsidR="0089387D" w:rsidRPr="006432A8">
              <w:rPr>
                <w:i/>
                <w:sz w:val="18"/>
                <w:szCs w:val="18"/>
              </w:rPr>
              <w:t>programme support costs</w:t>
            </w:r>
            <w:r w:rsidRPr="006432A8">
              <w:rPr>
                <w:bCs/>
                <w:i/>
                <w:color w:val="000000"/>
                <w:sz w:val="18"/>
                <w:szCs w:val="18"/>
              </w:rPr>
              <w:t>)</w:t>
            </w:r>
          </w:p>
        </w:tc>
        <w:tc>
          <w:tcPr>
            <w:tcW w:w="1168" w:type="dxa"/>
            <w:tcBorders>
              <w:top w:val="single" w:sz="4" w:space="0" w:color="auto"/>
              <w:bottom w:val="single" w:sz="12" w:space="0" w:color="auto"/>
            </w:tcBorders>
            <w:shd w:val="clear" w:color="auto" w:fill="auto"/>
            <w:noWrap/>
            <w:vAlign w:val="bottom"/>
            <w:hideMark/>
          </w:tcPr>
          <w:p w14:paraId="615CCEC3" w14:textId="6E33E7FE" w:rsidR="0041238C" w:rsidRPr="007E304A" w:rsidRDefault="0041238C" w:rsidP="006006BB">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006006BB" w:rsidRPr="006432A8">
              <w:rPr>
                <w:b/>
                <w:bCs/>
                <w:sz w:val="18"/>
                <w:szCs w:val="18"/>
              </w:rPr>
              <w:t>418</w:t>
            </w:r>
            <w:r w:rsidR="00B358F2" w:rsidRPr="007E304A">
              <w:rPr>
                <w:b/>
                <w:bCs/>
                <w:sz w:val="18"/>
                <w:szCs w:val="18"/>
              </w:rPr>
              <w:t xml:space="preserve"> </w:t>
            </w:r>
            <w:r w:rsidR="006006BB" w:rsidRPr="006432A8">
              <w:rPr>
                <w:b/>
                <w:bCs/>
                <w:sz w:val="18"/>
                <w:szCs w:val="18"/>
              </w:rPr>
              <w:t>76</w:t>
            </w:r>
            <w:r w:rsidRPr="007E304A">
              <w:rPr>
                <w:b/>
                <w:bCs/>
                <w:sz w:val="18"/>
                <w:szCs w:val="18"/>
              </w:rPr>
              <w:t xml:space="preserve">5 </w:t>
            </w:r>
          </w:p>
        </w:tc>
        <w:tc>
          <w:tcPr>
            <w:tcW w:w="1168" w:type="dxa"/>
            <w:tcBorders>
              <w:top w:val="single" w:sz="4" w:space="0" w:color="auto"/>
              <w:bottom w:val="single" w:sz="12" w:space="0" w:color="auto"/>
            </w:tcBorders>
            <w:shd w:val="clear" w:color="auto" w:fill="auto"/>
            <w:noWrap/>
            <w:vAlign w:val="bottom"/>
            <w:hideMark/>
          </w:tcPr>
          <w:p w14:paraId="40750514" w14:textId="3B6EFA9D" w:rsidR="0041238C" w:rsidRPr="007E304A" w:rsidRDefault="006006BB" w:rsidP="0041238C">
            <w:pPr>
              <w:tabs>
                <w:tab w:val="clear" w:pos="1247"/>
                <w:tab w:val="clear" w:pos="1814"/>
                <w:tab w:val="clear" w:pos="2381"/>
                <w:tab w:val="clear" w:pos="2948"/>
                <w:tab w:val="clear" w:pos="3515"/>
              </w:tabs>
              <w:jc w:val="right"/>
              <w:rPr>
                <w:b/>
                <w:bCs/>
                <w:sz w:val="18"/>
                <w:szCs w:val="18"/>
              </w:rPr>
            </w:pPr>
            <w:r w:rsidRPr="006432A8">
              <w:rPr>
                <w:b/>
                <w:bCs/>
                <w:color w:val="000000"/>
                <w:sz w:val="18"/>
                <w:szCs w:val="18"/>
              </w:rPr>
              <w:t>3 654 091</w:t>
            </w:r>
          </w:p>
        </w:tc>
        <w:tc>
          <w:tcPr>
            <w:tcW w:w="1169" w:type="dxa"/>
            <w:tcBorders>
              <w:top w:val="single" w:sz="4" w:space="0" w:color="auto"/>
              <w:bottom w:val="single" w:sz="12" w:space="0" w:color="auto"/>
            </w:tcBorders>
            <w:shd w:val="clear" w:color="auto" w:fill="auto"/>
            <w:noWrap/>
            <w:vAlign w:val="bottom"/>
            <w:hideMark/>
          </w:tcPr>
          <w:p w14:paraId="64509BDE" w14:textId="344F611E" w:rsidR="0041238C" w:rsidRPr="007E304A" w:rsidRDefault="0041238C" w:rsidP="006006BB">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006006BB" w:rsidRPr="006432A8">
              <w:rPr>
                <w:b/>
                <w:bCs/>
                <w:sz w:val="18"/>
                <w:szCs w:val="18"/>
              </w:rPr>
              <w:t>344</w:t>
            </w:r>
            <w:r w:rsidR="00B358F2" w:rsidRPr="007E304A">
              <w:rPr>
                <w:b/>
                <w:bCs/>
                <w:sz w:val="18"/>
                <w:szCs w:val="18"/>
              </w:rPr>
              <w:t xml:space="preserve"> </w:t>
            </w:r>
            <w:r w:rsidR="006006BB" w:rsidRPr="006432A8">
              <w:rPr>
                <w:b/>
                <w:bCs/>
                <w:sz w:val="18"/>
                <w:szCs w:val="18"/>
              </w:rPr>
              <w:t>242</w:t>
            </w:r>
            <w:r w:rsidRPr="007E304A">
              <w:rPr>
                <w:b/>
                <w:bCs/>
                <w:sz w:val="18"/>
                <w:szCs w:val="18"/>
              </w:rPr>
              <w:t xml:space="preserve"> </w:t>
            </w:r>
          </w:p>
        </w:tc>
        <w:tc>
          <w:tcPr>
            <w:tcW w:w="1168" w:type="dxa"/>
            <w:tcBorders>
              <w:top w:val="single" w:sz="4" w:space="0" w:color="auto"/>
              <w:bottom w:val="single" w:sz="12" w:space="0" w:color="auto"/>
            </w:tcBorders>
            <w:shd w:val="clear" w:color="auto" w:fill="auto"/>
            <w:noWrap/>
            <w:vAlign w:val="bottom"/>
            <w:hideMark/>
          </w:tcPr>
          <w:p w14:paraId="0378780E" w14:textId="12653661" w:rsidR="0041238C" w:rsidRPr="007E304A" w:rsidRDefault="004B6984" w:rsidP="004B6984">
            <w:pPr>
              <w:tabs>
                <w:tab w:val="clear" w:pos="1247"/>
                <w:tab w:val="clear" w:pos="1814"/>
                <w:tab w:val="clear" w:pos="2381"/>
                <w:tab w:val="clear" w:pos="2948"/>
                <w:tab w:val="clear" w:pos="3515"/>
              </w:tabs>
              <w:jc w:val="right"/>
              <w:rPr>
                <w:b/>
                <w:bCs/>
                <w:sz w:val="18"/>
                <w:szCs w:val="18"/>
              </w:rPr>
            </w:pPr>
            <w:r w:rsidRPr="006432A8">
              <w:rPr>
                <w:b/>
                <w:bCs/>
                <w:sz w:val="18"/>
                <w:szCs w:val="18"/>
              </w:rPr>
              <w:t>3</w:t>
            </w:r>
            <w:r w:rsidR="00B358F2" w:rsidRPr="007E304A">
              <w:rPr>
                <w:b/>
                <w:bCs/>
                <w:sz w:val="18"/>
                <w:szCs w:val="18"/>
              </w:rPr>
              <w:t xml:space="preserve"> </w:t>
            </w:r>
            <w:r w:rsidRPr="006432A8">
              <w:rPr>
                <w:b/>
                <w:bCs/>
                <w:sz w:val="18"/>
                <w:szCs w:val="18"/>
              </w:rPr>
              <w:t>022</w:t>
            </w:r>
            <w:r w:rsidR="00B358F2" w:rsidRPr="007E304A">
              <w:rPr>
                <w:b/>
                <w:bCs/>
                <w:sz w:val="18"/>
                <w:szCs w:val="18"/>
              </w:rPr>
              <w:t xml:space="preserve"> </w:t>
            </w:r>
            <w:r w:rsidRPr="006432A8">
              <w:rPr>
                <w:b/>
                <w:bCs/>
                <w:sz w:val="18"/>
                <w:szCs w:val="18"/>
              </w:rPr>
              <w:t>524</w:t>
            </w:r>
            <w:r w:rsidR="0041238C" w:rsidRPr="007E304A">
              <w:rPr>
                <w:b/>
                <w:bCs/>
                <w:sz w:val="18"/>
                <w:szCs w:val="18"/>
              </w:rPr>
              <w:t xml:space="preserve"> </w:t>
            </w:r>
          </w:p>
        </w:tc>
        <w:tc>
          <w:tcPr>
            <w:tcW w:w="1168" w:type="dxa"/>
            <w:tcBorders>
              <w:top w:val="single" w:sz="4" w:space="0" w:color="auto"/>
              <w:bottom w:val="single" w:sz="12" w:space="0" w:color="auto"/>
            </w:tcBorders>
            <w:shd w:val="clear" w:color="auto" w:fill="auto"/>
            <w:noWrap/>
            <w:vAlign w:val="bottom"/>
            <w:hideMark/>
          </w:tcPr>
          <w:p w14:paraId="3FA273D9" w14:textId="54AFBC56" w:rsidR="0041238C" w:rsidRPr="007E304A" w:rsidRDefault="0041238C" w:rsidP="006006BB">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006006BB" w:rsidRPr="006432A8">
              <w:rPr>
                <w:b/>
                <w:bCs/>
                <w:sz w:val="18"/>
                <w:szCs w:val="18"/>
              </w:rPr>
              <w:t>651</w:t>
            </w:r>
            <w:r w:rsidR="00B358F2" w:rsidRPr="007E304A">
              <w:rPr>
                <w:b/>
                <w:bCs/>
                <w:sz w:val="18"/>
                <w:szCs w:val="18"/>
              </w:rPr>
              <w:t xml:space="preserve"> </w:t>
            </w:r>
            <w:r w:rsidR="006006BB" w:rsidRPr="006432A8">
              <w:rPr>
                <w:b/>
                <w:bCs/>
                <w:sz w:val="18"/>
                <w:szCs w:val="18"/>
              </w:rPr>
              <w:t>432</w:t>
            </w:r>
            <w:r w:rsidRPr="007E304A">
              <w:rPr>
                <w:b/>
                <w:bCs/>
                <w:sz w:val="18"/>
                <w:szCs w:val="18"/>
              </w:rPr>
              <w:t xml:space="preserve"> </w:t>
            </w:r>
          </w:p>
        </w:tc>
        <w:tc>
          <w:tcPr>
            <w:tcW w:w="1255" w:type="dxa"/>
            <w:tcBorders>
              <w:top w:val="single" w:sz="4" w:space="0" w:color="auto"/>
              <w:bottom w:val="single" w:sz="12" w:space="0" w:color="auto"/>
            </w:tcBorders>
            <w:shd w:val="clear" w:color="auto" w:fill="auto"/>
            <w:noWrap/>
            <w:vAlign w:val="bottom"/>
            <w:hideMark/>
          </w:tcPr>
          <w:p w14:paraId="56431F9A" w14:textId="44269A7C" w:rsidR="0041238C" w:rsidRPr="007E304A" w:rsidRDefault="000A1250" w:rsidP="00AB20EE">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Pr="007E304A">
              <w:rPr>
                <w:b/>
                <w:bCs/>
                <w:sz w:val="18"/>
                <w:szCs w:val="18"/>
              </w:rPr>
              <w:t>813</w:t>
            </w:r>
            <w:r w:rsidR="00B358F2" w:rsidRPr="007E304A">
              <w:rPr>
                <w:b/>
                <w:bCs/>
                <w:sz w:val="18"/>
                <w:szCs w:val="18"/>
              </w:rPr>
              <w:t xml:space="preserve"> </w:t>
            </w:r>
            <w:r w:rsidRPr="007E304A">
              <w:rPr>
                <w:b/>
                <w:bCs/>
                <w:sz w:val="18"/>
                <w:szCs w:val="18"/>
              </w:rPr>
              <w:t>757</w:t>
            </w:r>
            <w:r w:rsidR="0041238C" w:rsidRPr="007E304A">
              <w:rPr>
                <w:b/>
                <w:bCs/>
                <w:sz w:val="18"/>
                <w:szCs w:val="18"/>
              </w:rPr>
              <w:t xml:space="preserve"> </w:t>
            </w:r>
          </w:p>
        </w:tc>
      </w:tr>
    </w:tbl>
    <w:p w14:paraId="6E900AC3" w14:textId="77777777" w:rsidR="00FE4713" w:rsidRPr="006432A8" w:rsidRDefault="0041238C" w:rsidP="006432A8">
      <w:pPr>
        <w:pStyle w:val="Normal-pool"/>
        <w:keepNext/>
        <w:keepLines/>
        <w:spacing w:before="240" w:after="120"/>
        <w:ind w:left="1247"/>
      </w:pPr>
      <w:r w:rsidRPr="006432A8">
        <w:t>Table 4</w:t>
      </w:r>
    </w:p>
    <w:p w14:paraId="36699BC7" w14:textId="18016157" w:rsidR="0041238C" w:rsidRPr="007E304A" w:rsidRDefault="0041238C" w:rsidP="006432A8">
      <w:pPr>
        <w:pStyle w:val="Normal-pool"/>
        <w:keepNext/>
        <w:keepLines/>
        <w:ind w:left="1253"/>
        <w:rPr>
          <w:b/>
        </w:rPr>
      </w:pPr>
      <w:r w:rsidRPr="007E304A">
        <w:rPr>
          <w:b/>
        </w:rPr>
        <w:t>Overview of estimate of the full costs of running a secretariat in the six proposed locations (including office costs, meeting costs and staff travel costs for Geneva-based meetings)</w:t>
      </w:r>
    </w:p>
    <w:p w14:paraId="228CE6CC" w14:textId="127EEDE3" w:rsidR="00B358F2" w:rsidRPr="006432A8" w:rsidRDefault="00B358F2" w:rsidP="006432A8">
      <w:pPr>
        <w:pStyle w:val="Normal-pool"/>
        <w:keepNext/>
        <w:keepLines/>
        <w:spacing w:after="120"/>
        <w:ind w:left="1253"/>
        <w:rPr>
          <w:i/>
        </w:rPr>
      </w:pPr>
      <w:r w:rsidRPr="006432A8">
        <w:rPr>
          <w:i/>
        </w:rPr>
        <w:t>(in United States dollars)</w:t>
      </w:r>
    </w:p>
    <w:tbl>
      <w:tblPr>
        <w:tblW w:w="10490" w:type="dxa"/>
        <w:tblInd w:w="-175" w:type="dxa"/>
        <w:tblLayout w:type="fixed"/>
        <w:tblLook w:val="04A0" w:firstRow="1" w:lastRow="0" w:firstColumn="1" w:lastColumn="0" w:noHBand="0" w:noVBand="1"/>
      </w:tblPr>
      <w:tblGrid>
        <w:gridCol w:w="1276"/>
        <w:gridCol w:w="851"/>
        <w:gridCol w:w="1393"/>
        <w:gridCol w:w="1394"/>
        <w:gridCol w:w="1394"/>
        <w:gridCol w:w="1394"/>
        <w:gridCol w:w="1394"/>
        <w:gridCol w:w="1394"/>
      </w:tblGrid>
      <w:tr w:rsidR="0041238C" w:rsidRPr="007E304A" w14:paraId="23EA1F3C" w14:textId="77777777" w:rsidTr="00B10477">
        <w:trPr>
          <w:trHeight w:val="312"/>
        </w:trPr>
        <w:tc>
          <w:tcPr>
            <w:tcW w:w="10490" w:type="dxa"/>
            <w:gridSpan w:val="8"/>
            <w:tcBorders>
              <w:top w:val="single" w:sz="4" w:space="0" w:color="auto"/>
              <w:bottom w:val="single" w:sz="4" w:space="0" w:color="auto"/>
            </w:tcBorders>
            <w:shd w:val="clear" w:color="auto" w:fill="auto"/>
            <w:vAlign w:val="center"/>
            <w:hideMark/>
          </w:tcPr>
          <w:p w14:paraId="0C89F78A" w14:textId="39F94111" w:rsidR="0041238C" w:rsidRPr="007E304A" w:rsidRDefault="0041238C" w:rsidP="00090E66">
            <w:pPr>
              <w:keepNext/>
              <w:keepLines/>
              <w:tabs>
                <w:tab w:val="clear" w:pos="1247"/>
                <w:tab w:val="clear" w:pos="1814"/>
                <w:tab w:val="clear" w:pos="2381"/>
                <w:tab w:val="clear" w:pos="2948"/>
                <w:tab w:val="clear" w:pos="3515"/>
              </w:tabs>
              <w:jc w:val="center"/>
              <w:rPr>
                <w:b/>
                <w:bCs/>
                <w:color w:val="000000"/>
                <w:sz w:val="16"/>
                <w:szCs w:val="16"/>
              </w:rPr>
            </w:pPr>
            <w:r w:rsidRPr="00187D94">
              <w:rPr>
                <w:b/>
                <w:bCs/>
                <w:color w:val="000000"/>
                <w:sz w:val="16"/>
                <w:szCs w:val="16"/>
              </w:rPr>
              <w:t xml:space="preserve">Estimated </w:t>
            </w:r>
            <w:r w:rsidR="00187D94" w:rsidRPr="001664EC">
              <w:rPr>
                <w:b/>
                <w:bCs/>
                <w:color w:val="000000"/>
                <w:sz w:val="16"/>
                <w:szCs w:val="16"/>
              </w:rPr>
              <w:t xml:space="preserve">approximate </w:t>
            </w:r>
            <w:r w:rsidRPr="00187D94">
              <w:rPr>
                <w:b/>
                <w:bCs/>
                <w:color w:val="000000"/>
                <w:sz w:val="16"/>
                <w:szCs w:val="16"/>
              </w:rPr>
              <w:t>full costs of running a secretariat in the six proposed locations</w:t>
            </w:r>
          </w:p>
        </w:tc>
      </w:tr>
      <w:tr w:rsidR="002B6C1A" w:rsidRPr="007E304A" w14:paraId="0B2BE17E" w14:textId="77777777" w:rsidTr="00B10477">
        <w:trPr>
          <w:trHeight w:val="312"/>
        </w:trPr>
        <w:tc>
          <w:tcPr>
            <w:tcW w:w="1276" w:type="dxa"/>
            <w:tcBorders>
              <w:top w:val="single" w:sz="4" w:space="0" w:color="auto"/>
              <w:bottom w:val="single" w:sz="12" w:space="0" w:color="auto"/>
            </w:tcBorders>
            <w:shd w:val="clear" w:color="auto" w:fill="auto"/>
            <w:hideMark/>
          </w:tcPr>
          <w:p w14:paraId="67BCF9D1" w14:textId="77777777" w:rsidR="0041238C" w:rsidRPr="00EA17CB" w:rsidRDefault="0041238C" w:rsidP="00090E66">
            <w:pPr>
              <w:keepNext/>
              <w:keepLines/>
              <w:tabs>
                <w:tab w:val="clear" w:pos="1247"/>
                <w:tab w:val="clear" w:pos="1814"/>
                <w:tab w:val="clear" w:pos="2381"/>
                <w:tab w:val="clear" w:pos="2948"/>
                <w:tab w:val="clear" w:pos="3515"/>
              </w:tabs>
              <w:rPr>
                <w:bCs/>
                <w:i/>
                <w:color w:val="000000"/>
                <w:sz w:val="16"/>
                <w:szCs w:val="16"/>
              </w:rPr>
            </w:pPr>
            <w:r w:rsidRPr="00EA17CB">
              <w:rPr>
                <w:bCs/>
                <w:i/>
                <w:color w:val="000000"/>
                <w:sz w:val="16"/>
                <w:szCs w:val="16"/>
              </w:rPr>
              <w:t> </w:t>
            </w:r>
          </w:p>
        </w:tc>
        <w:tc>
          <w:tcPr>
            <w:tcW w:w="851" w:type="dxa"/>
            <w:tcBorders>
              <w:top w:val="single" w:sz="4" w:space="0" w:color="auto"/>
              <w:bottom w:val="single" w:sz="12" w:space="0" w:color="auto"/>
            </w:tcBorders>
            <w:shd w:val="clear" w:color="auto" w:fill="auto"/>
            <w:hideMark/>
          </w:tcPr>
          <w:p w14:paraId="57C8A988" w14:textId="77777777" w:rsidR="0041238C" w:rsidRPr="002B6C1A" w:rsidRDefault="0041238C" w:rsidP="00EA17CB">
            <w:pPr>
              <w:tabs>
                <w:tab w:val="clear" w:pos="1247"/>
                <w:tab w:val="clear" w:pos="1814"/>
                <w:tab w:val="clear" w:pos="2381"/>
                <w:tab w:val="clear" w:pos="2948"/>
                <w:tab w:val="clear" w:pos="3515"/>
              </w:tabs>
              <w:jc w:val="right"/>
              <w:rPr>
                <w:bCs/>
                <w:i/>
                <w:sz w:val="15"/>
                <w:szCs w:val="15"/>
              </w:rPr>
            </w:pPr>
            <w:r w:rsidRPr="002B6C1A">
              <w:rPr>
                <w:bCs/>
                <w:i/>
                <w:sz w:val="15"/>
                <w:szCs w:val="15"/>
              </w:rPr>
              <w:t>Remarks</w:t>
            </w:r>
          </w:p>
        </w:tc>
        <w:tc>
          <w:tcPr>
            <w:tcW w:w="1393" w:type="dxa"/>
            <w:tcBorders>
              <w:top w:val="single" w:sz="4" w:space="0" w:color="auto"/>
              <w:bottom w:val="single" w:sz="12" w:space="0" w:color="auto"/>
            </w:tcBorders>
            <w:shd w:val="clear" w:color="auto" w:fill="auto"/>
            <w:hideMark/>
          </w:tcPr>
          <w:p w14:paraId="481CA1BE"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Bangkok</w:t>
            </w:r>
          </w:p>
        </w:tc>
        <w:tc>
          <w:tcPr>
            <w:tcW w:w="1394" w:type="dxa"/>
            <w:tcBorders>
              <w:top w:val="single" w:sz="4" w:space="0" w:color="auto"/>
              <w:bottom w:val="single" w:sz="12" w:space="0" w:color="auto"/>
            </w:tcBorders>
            <w:shd w:val="clear" w:color="auto" w:fill="auto"/>
            <w:hideMark/>
          </w:tcPr>
          <w:p w14:paraId="0D75DFFA"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Geneva</w:t>
            </w:r>
          </w:p>
        </w:tc>
        <w:tc>
          <w:tcPr>
            <w:tcW w:w="1394" w:type="dxa"/>
            <w:tcBorders>
              <w:top w:val="single" w:sz="4" w:space="0" w:color="auto"/>
              <w:bottom w:val="single" w:sz="12" w:space="0" w:color="auto"/>
            </w:tcBorders>
            <w:shd w:val="clear" w:color="auto" w:fill="auto"/>
            <w:hideMark/>
          </w:tcPr>
          <w:p w14:paraId="7E1E2726"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Nairobi</w:t>
            </w:r>
          </w:p>
        </w:tc>
        <w:tc>
          <w:tcPr>
            <w:tcW w:w="1394" w:type="dxa"/>
            <w:tcBorders>
              <w:top w:val="single" w:sz="4" w:space="0" w:color="auto"/>
              <w:bottom w:val="single" w:sz="12" w:space="0" w:color="auto"/>
            </w:tcBorders>
            <w:shd w:val="clear" w:color="auto" w:fill="auto"/>
            <w:hideMark/>
          </w:tcPr>
          <w:p w14:paraId="65D0D8E2"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Osaka</w:t>
            </w:r>
          </w:p>
        </w:tc>
        <w:tc>
          <w:tcPr>
            <w:tcW w:w="1394" w:type="dxa"/>
            <w:tcBorders>
              <w:top w:val="single" w:sz="4" w:space="0" w:color="auto"/>
              <w:bottom w:val="single" w:sz="12" w:space="0" w:color="auto"/>
            </w:tcBorders>
            <w:shd w:val="clear" w:color="auto" w:fill="auto"/>
            <w:hideMark/>
          </w:tcPr>
          <w:p w14:paraId="181D4E84"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Vienna</w:t>
            </w:r>
          </w:p>
        </w:tc>
        <w:tc>
          <w:tcPr>
            <w:tcW w:w="1394" w:type="dxa"/>
            <w:tcBorders>
              <w:top w:val="single" w:sz="4" w:space="0" w:color="auto"/>
              <w:bottom w:val="single" w:sz="12" w:space="0" w:color="auto"/>
            </w:tcBorders>
            <w:shd w:val="clear" w:color="auto" w:fill="auto"/>
            <w:hideMark/>
          </w:tcPr>
          <w:p w14:paraId="3759CD75" w14:textId="4D9CFB3C"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Washington</w:t>
            </w:r>
            <w:r w:rsidR="001A2884" w:rsidRPr="00EA17CB">
              <w:rPr>
                <w:bCs/>
                <w:i/>
                <w:sz w:val="16"/>
                <w:szCs w:val="16"/>
              </w:rPr>
              <w:t>, D.C.</w:t>
            </w:r>
          </w:p>
        </w:tc>
      </w:tr>
      <w:tr w:rsidR="002B6C1A" w:rsidRPr="007E304A" w14:paraId="2FF42DA1" w14:textId="77777777" w:rsidTr="00B10477">
        <w:trPr>
          <w:trHeight w:val="141"/>
        </w:trPr>
        <w:tc>
          <w:tcPr>
            <w:tcW w:w="1276" w:type="dxa"/>
            <w:tcBorders>
              <w:top w:val="single" w:sz="12" w:space="0" w:color="auto"/>
            </w:tcBorders>
            <w:shd w:val="clear" w:color="auto" w:fill="auto"/>
            <w:hideMark/>
          </w:tcPr>
          <w:p w14:paraId="2D76460A" w14:textId="07FFF55D" w:rsidR="0041238C" w:rsidRPr="006432A8" w:rsidRDefault="0041238C" w:rsidP="00090E66">
            <w:pPr>
              <w:keepNext/>
              <w:keepLines/>
              <w:tabs>
                <w:tab w:val="clear" w:pos="1247"/>
                <w:tab w:val="clear" w:pos="1814"/>
                <w:tab w:val="clear" w:pos="2381"/>
                <w:tab w:val="clear" w:pos="2948"/>
                <w:tab w:val="clear" w:pos="3515"/>
              </w:tabs>
              <w:rPr>
                <w:bCs/>
                <w:i/>
                <w:color w:val="000000"/>
                <w:sz w:val="16"/>
                <w:szCs w:val="16"/>
              </w:rPr>
            </w:pPr>
            <w:r w:rsidRPr="006432A8">
              <w:rPr>
                <w:bCs/>
                <w:i/>
                <w:color w:val="000000"/>
                <w:sz w:val="16"/>
                <w:szCs w:val="16"/>
              </w:rPr>
              <w:t>Estimated secretariat operation costs (including office space and common services costs)</w:t>
            </w:r>
          </w:p>
        </w:tc>
        <w:tc>
          <w:tcPr>
            <w:tcW w:w="851" w:type="dxa"/>
            <w:tcBorders>
              <w:top w:val="single" w:sz="12" w:space="0" w:color="auto"/>
            </w:tcBorders>
            <w:shd w:val="clear" w:color="auto" w:fill="auto"/>
            <w:hideMark/>
          </w:tcPr>
          <w:p w14:paraId="2D69A801" w14:textId="77777777" w:rsidR="0041238C" w:rsidRPr="007E304A" w:rsidRDefault="0041238C"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1</w:t>
            </w:r>
          </w:p>
        </w:tc>
        <w:tc>
          <w:tcPr>
            <w:tcW w:w="1393" w:type="dxa"/>
            <w:tcBorders>
              <w:top w:val="single" w:sz="12" w:space="0" w:color="auto"/>
            </w:tcBorders>
            <w:shd w:val="clear" w:color="auto" w:fill="auto"/>
            <w:hideMark/>
          </w:tcPr>
          <w:p w14:paraId="495EF4F2" w14:textId="7942AA31" w:rsidR="0041238C" w:rsidRPr="007E304A" w:rsidRDefault="002E6FF4" w:rsidP="00090E66">
            <w:pPr>
              <w:keepNext/>
              <w:keepLines/>
              <w:tabs>
                <w:tab w:val="clear" w:pos="1247"/>
                <w:tab w:val="clear" w:pos="1814"/>
                <w:tab w:val="clear" w:pos="2381"/>
                <w:tab w:val="clear" w:pos="2948"/>
                <w:tab w:val="clear" w:pos="3515"/>
              </w:tabs>
              <w:ind w:right="-56"/>
              <w:jc w:val="right"/>
              <w:rPr>
                <w:color w:val="000000"/>
                <w:sz w:val="16"/>
                <w:szCs w:val="16"/>
              </w:rPr>
            </w:pPr>
            <w:r w:rsidRPr="007E304A">
              <w:rPr>
                <w:color w:val="000000"/>
                <w:sz w:val="16"/>
                <w:szCs w:val="16"/>
              </w:rPr>
              <w:t>20</w:t>
            </w:r>
            <w:r w:rsidR="0041238C" w:rsidRPr="007E304A">
              <w:rPr>
                <w:color w:val="000000"/>
                <w:sz w:val="16"/>
                <w:szCs w:val="16"/>
              </w:rPr>
              <w:t>0,000/year</w:t>
            </w:r>
          </w:p>
        </w:tc>
        <w:tc>
          <w:tcPr>
            <w:tcW w:w="1394" w:type="dxa"/>
            <w:tcBorders>
              <w:top w:val="single" w:sz="12" w:space="0" w:color="auto"/>
            </w:tcBorders>
            <w:shd w:val="clear" w:color="auto" w:fill="auto"/>
            <w:hideMark/>
          </w:tcPr>
          <w:p w14:paraId="5AE7C5CC" w14:textId="0D8822EC"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200,000/year</w:t>
            </w:r>
          </w:p>
        </w:tc>
        <w:tc>
          <w:tcPr>
            <w:tcW w:w="1394" w:type="dxa"/>
            <w:tcBorders>
              <w:top w:val="single" w:sz="12" w:space="0" w:color="auto"/>
            </w:tcBorders>
            <w:shd w:val="clear" w:color="auto" w:fill="auto"/>
            <w:hideMark/>
          </w:tcPr>
          <w:p w14:paraId="089C13CE" w14:textId="3AB07ACC" w:rsidR="0041238C" w:rsidRPr="007E304A" w:rsidRDefault="002E6FF4"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20</w:t>
            </w:r>
            <w:r w:rsidR="0041238C" w:rsidRPr="007E304A">
              <w:rPr>
                <w:color w:val="000000"/>
                <w:sz w:val="16"/>
                <w:szCs w:val="16"/>
              </w:rPr>
              <w:t>0,000/year</w:t>
            </w:r>
          </w:p>
        </w:tc>
        <w:tc>
          <w:tcPr>
            <w:tcW w:w="1394" w:type="dxa"/>
            <w:tcBorders>
              <w:top w:val="single" w:sz="12" w:space="0" w:color="auto"/>
            </w:tcBorders>
            <w:shd w:val="clear" w:color="auto" w:fill="auto"/>
            <w:hideMark/>
          </w:tcPr>
          <w:p w14:paraId="66B08081" w14:textId="1F63AD64" w:rsidR="0041238C" w:rsidRPr="007E304A" w:rsidRDefault="002E6FF4"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20</w:t>
            </w:r>
            <w:r w:rsidR="0041238C" w:rsidRPr="007E304A">
              <w:rPr>
                <w:color w:val="000000"/>
                <w:sz w:val="16"/>
                <w:szCs w:val="16"/>
              </w:rPr>
              <w:t>0,000/year</w:t>
            </w:r>
          </w:p>
        </w:tc>
        <w:tc>
          <w:tcPr>
            <w:tcW w:w="1394" w:type="dxa"/>
            <w:tcBorders>
              <w:top w:val="single" w:sz="12" w:space="0" w:color="auto"/>
            </w:tcBorders>
            <w:shd w:val="clear" w:color="auto" w:fill="auto"/>
            <w:hideMark/>
          </w:tcPr>
          <w:p w14:paraId="1C3EB752" w14:textId="4DFFA188"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250,000/year</w:t>
            </w:r>
          </w:p>
        </w:tc>
        <w:tc>
          <w:tcPr>
            <w:tcW w:w="1394" w:type="dxa"/>
            <w:tcBorders>
              <w:top w:val="single" w:sz="12" w:space="0" w:color="auto"/>
            </w:tcBorders>
            <w:shd w:val="clear" w:color="auto" w:fill="auto"/>
            <w:hideMark/>
          </w:tcPr>
          <w:p w14:paraId="2D0B9231" w14:textId="62E4ADD4"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450,000/year</w:t>
            </w:r>
          </w:p>
        </w:tc>
      </w:tr>
      <w:tr w:rsidR="002B6C1A" w:rsidRPr="007E304A" w14:paraId="01B27994" w14:textId="77777777" w:rsidTr="00B10477">
        <w:trPr>
          <w:trHeight w:val="312"/>
        </w:trPr>
        <w:tc>
          <w:tcPr>
            <w:tcW w:w="1276" w:type="dxa"/>
            <w:tcBorders>
              <w:top w:val="nil"/>
            </w:tcBorders>
            <w:shd w:val="clear" w:color="auto" w:fill="auto"/>
            <w:hideMark/>
          </w:tcPr>
          <w:p w14:paraId="45874C6F" w14:textId="71DB9C8F" w:rsidR="0041238C" w:rsidRPr="006432A8" w:rsidRDefault="0041238C" w:rsidP="00090E66">
            <w:pPr>
              <w:keepNext/>
              <w:keepLines/>
              <w:tabs>
                <w:tab w:val="clear" w:pos="1247"/>
                <w:tab w:val="clear" w:pos="1814"/>
                <w:tab w:val="clear" w:pos="2381"/>
                <w:tab w:val="clear" w:pos="2948"/>
                <w:tab w:val="clear" w:pos="3515"/>
              </w:tabs>
              <w:rPr>
                <w:bCs/>
                <w:i/>
                <w:color w:val="000000"/>
                <w:sz w:val="16"/>
                <w:szCs w:val="16"/>
              </w:rPr>
            </w:pPr>
            <w:r w:rsidRPr="006432A8">
              <w:rPr>
                <w:bCs/>
                <w:i/>
                <w:color w:val="000000"/>
                <w:sz w:val="16"/>
                <w:szCs w:val="16"/>
              </w:rPr>
              <w:t xml:space="preserve">Estimated </w:t>
            </w:r>
            <w:r w:rsidR="00C05211" w:rsidRPr="006432A8">
              <w:rPr>
                <w:bCs/>
                <w:i/>
                <w:color w:val="000000"/>
                <w:sz w:val="16"/>
                <w:szCs w:val="16"/>
              </w:rPr>
              <w:t>costs of meeting</w:t>
            </w:r>
            <w:r w:rsidR="00300885" w:rsidRPr="006432A8">
              <w:rPr>
                <w:bCs/>
                <w:i/>
                <w:color w:val="000000"/>
                <w:sz w:val="16"/>
                <w:szCs w:val="16"/>
              </w:rPr>
              <w:t>s</w:t>
            </w:r>
            <w:r w:rsidR="00C05211" w:rsidRPr="006432A8">
              <w:rPr>
                <w:bCs/>
                <w:i/>
                <w:color w:val="000000"/>
                <w:sz w:val="16"/>
                <w:szCs w:val="16"/>
              </w:rPr>
              <w:t xml:space="preserve"> of the </w:t>
            </w:r>
            <w:r w:rsidRPr="006432A8">
              <w:rPr>
                <w:bCs/>
                <w:i/>
                <w:color w:val="000000"/>
                <w:sz w:val="16"/>
                <w:szCs w:val="16"/>
              </w:rPr>
              <w:t>C</w:t>
            </w:r>
            <w:r w:rsidR="00342857" w:rsidRPr="006432A8">
              <w:rPr>
                <w:bCs/>
                <w:i/>
                <w:color w:val="000000"/>
                <w:sz w:val="16"/>
                <w:szCs w:val="16"/>
              </w:rPr>
              <w:t xml:space="preserve">onference of the </w:t>
            </w:r>
            <w:r w:rsidRPr="006432A8">
              <w:rPr>
                <w:bCs/>
                <w:i/>
                <w:color w:val="000000"/>
                <w:sz w:val="16"/>
                <w:szCs w:val="16"/>
              </w:rPr>
              <w:t>P</w:t>
            </w:r>
            <w:r w:rsidR="00342857" w:rsidRPr="006432A8">
              <w:rPr>
                <w:bCs/>
                <w:i/>
                <w:color w:val="000000"/>
                <w:sz w:val="16"/>
                <w:szCs w:val="16"/>
              </w:rPr>
              <w:t>arties</w:t>
            </w:r>
          </w:p>
        </w:tc>
        <w:tc>
          <w:tcPr>
            <w:tcW w:w="851" w:type="dxa"/>
            <w:tcBorders>
              <w:top w:val="nil"/>
            </w:tcBorders>
            <w:shd w:val="clear" w:color="auto" w:fill="auto"/>
            <w:hideMark/>
          </w:tcPr>
          <w:p w14:paraId="728C1B15" w14:textId="77777777" w:rsidR="0041238C" w:rsidRPr="007E304A" w:rsidRDefault="0041238C"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2</w:t>
            </w:r>
          </w:p>
        </w:tc>
        <w:tc>
          <w:tcPr>
            <w:tcW w:w="1393" w:type="dxa"/>
            <w:tcBorders>
              <w:top w:val="nil"/>
            </w:tcBorders>
            <w:shd w:val="clear" w:color="auto" w:fill="auto"/>
            <w:hideMark/>
          </w:tcPr>
          <w:p w14:paraId="03F7EFE4" w14:textId="79ED8C88"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820,000/meeting</w:t>
            </w:r>
          </w:p>
        </w:tc>
        <w:tc>
          <w:tcPr>
            <w:tcW w:w="1394" w:type="dxa"/>
            <w:tcBorders>
              <w:top w:val="nil"/>
            </w:tcBorders>
            <w:shd w:val="clear" w:color="auto" w:fill="auto"/>
            <w:hideMark/>
          </w:tcPr>
          <w:p w14:paraId="59BAA9A9" w14:textId="29353A8A" w:rsidR="0041238C" w:rsidRPr="002B6C1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2B6C1A">
              <w:rPr>
                <w:color w:val="000000"/>
                <w:sz w:val="16"/>
                <w:szCs w:val="16"/>
              </w:rPr>
              <w:t>1,300,000/</w:t>
            </w:r>
            <w:r w:rsidRPr="002B6C1A">
              <w:rPr>
                <w:color w:val="000000"/>
                <w:sz w:val="15"/>
                <w:szCs w:val="15"/>
              </w:rPr>
              <w:t>meeting</w:t>
            </w:r>
          </w:p>
        </w:tc>
        <w:tc>
          <w:tcPr>
            <w:tcW w:w="1394" w:type="dxa"/>
            <w:tcBorders>
              <w:top w:val="nil"/>
            </w:tcBorders>
            <w:shd w:val="clear" w:color="auto" w:fill="auto"/>
            <w:hideMark/>
          </w:tcPr>
          <w:p w14:paraId="690B9C32" w14:textId="7A1380CB"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620,000/meeting</w:t>
            </w:r>
          </w:p>
        </w:tc>
        <w:tc>
          <w:tcPr>
            <w:tcW w:w="1394" w:type="dxa"/>
            <w:tcBorders>
              <w:top w:val="nil"/>
            </w:tcBorders>
            <w:shd w:val="clear" w:color="auto" w:fill="auto"/>
            <w:hideMark/>
          </w:tcPr>
          <w:p w14:paraId="7D742844" w14:textId="5940E295"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840,000/meeting</w:t>
            </w:r>
          </w:p>
        </w:tc>
        <w:tc>
          <w:tcPr>
            <w:tcW w:w="1394" w:type="dxa"/>
            <w:tcBorders>
              <w:top w:val="nil"/>
            </w:tcBorders>
            <w:shd w:val="clear" w:color="auto" w:fill="auto"/>
            <w:hideMark/>
          </w:tcPr>
          <w:p w14:paraId="6C39AD70" w14:textId="29414B44"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870,000/meeting</w:t>
            </w:r>
          </w:p>
        </w:tc>
        <w:tc>
          <w:tcPr>
            <w:tcW w:w="1394" w:type="dxa"/>
            <w:tcBorders>
              <w:top w:val="nil"/>
            </w:tcBorders>
            <w:shd w:val="clear" w:color="auto" w:fill="auto"/>
            <w:hideMark/>
          </w:tcPr>
          <w:p w14:paraId="7BBFA1E3" w14:textId="6A5A59C8"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980,000/meeting</w:t>
            </w:r>
          </w:p>
        </w:tc>
      </w:tr>
      <w:tr w:rsidR="002B6C1A" w:rsidRPr="007E304A" w14:paraId="76633F0A" w14:textId="77777777" w:rsidTr="00B10477">
        <w:trPr>
          <w:trHeight w:val="184"/>
        </w:trPr>
        <w:tc>
          <w:tcPr>
            <w:tcW w:w="1276" w:type="dxa"/>
            <w:tcBorders>
              <w:top w:val="nil"/>
            </w:tcBorders>
            <w:shd w:val="clear" w:color="auto" w:fill="auto"/>
            <w:hideMark/>
          </w:tcPr>
          <w:p w14:paraId="36EEDCD6" w14:textId="43D342E1" w:rsidR="0041238C" w:rsidRPr="006432A8" w:rsidRDefault="0041238C" w:rsidP="00090E66">
            <w:pPr>
              <w:keepNext/>
              <w:keepLines/>
              <w:tabs>
                <w:tab w:val="clear" w:pos="1247"/>
                <w:tab w:val="clear" w:pos="1814"/>
                <w:tab w:val="clear" w:pos="2381"/>
                <w:tab w:val="clear" w:pos="2948"/>
                <w:tab w:val="clear" w:pos="3515"/>
              </w:tabs>
              <w:rPr>
                <w:bCs/>
                <w:i/>
                <w:color w:val="000000"/>
                <w:sz w:val="16"/>
                <w:szCs w:val="16"/>
              </w:rPr>
            </w:pPr>
            <w:r w:rsidRPr="006432A8">
              <w:rPr>
                <w:bCs/>
                <w:i/>
                <w:color w:val="000000"/>
                <w:sz w:val="16"/>
                <w:szCs w:val="16"/>
              </w:rPr>
              <w:t xml:space="preserve">Funded delegates travel </w:t>
            </w:r>
            <w:r w:rsidR="006C5011" w:rsidRPr="006432A8">
              <w:rPr>
                <w:bCs/>
                <w:i/>
                <w:color w:val="000000"/>
                <w:sz w:val="16"/>
                <w:szCs w:val="16"/>
              </w:rPr>
              <w:t>to the meeting of the</w:t>
            </w:r>
            <w:r w:rsidRPr="006432A8">
              <w:rPr>
                <w:bCs/>
                <w:i/>
                <w:color w:val="000000"/>
                <w:sz w:val="16"/>
                <w:szCs w:val="16"/>
              </w:rPr>
              <w:t xml:space="preserve"> </w:t>
            </w:r>
            <w:r w:rsidR="00342857" w:rsidRPr="006432A8">
              <w:rPr>
                <w:bCs/>
                <w:i/>
                <w:color w:val="000000"/>
                <w:sz w:val="16"/>
                <w:szCs w:val="16"/>
              </w:rPr>
              <w:t>Conference of the Parties</w:t>
            </w:r>
          </w:p>
        </w:tc>
        <w:tc>
          <w:tcPr>
            <w:tcW w:w="851" w:type="dxa"/>
            <w:tcBorders>
              <w:top w:val="nil"/>
            </w:tcBorders>
            <w:shd w:val="clear" w:color="auto" w:fill="auto"/>
            <w:hideMark/>
          </w:tcPr>
          <w:p w14:paraId="049ACED2" w14:textId="1AB99206" w:rsidR="0041238C" w:rsidRPr="007E304A" w:rsidRDefault="004B6984"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3</w:t>
            </w:r>
          </w:p>
        </w:tc>
        <w:tc>
          <w:tcPr>
            <w:tcW w:w="1393" w:type="dxa"/>
            <w:tcBorders>
              <w:top w:val="nil"/>
            </w:tcBorders>
            <w:shd w:val="clear" w:color="auto" w:fill="auto"/>
            <w:hideMark/>
          </w:tcPr>
          <w:p w14:paraId="41FD06EF" w14:textId="27332C5E"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470,000/meeting</w:t>
            </w:r>
          </w:p>
        </w:tc>
        <w:tc>
          <w:tcPr>
            <w:tcW w:w="1394" w:type="dxa"/>
            <w:tcBorders>
              <w:top w:val="nil"/>
            </w:tcBorders>
            <w:shd w:val="clear" w:color="auto" w:fill="auto"/>
            <w:hideMark/>
          </w:tcPr>
          <w:p w14:paraId="22FFE4F4" w14:textId="7139DC66" w:rsidR="0041238C" w:rsidRPr="002B6C1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2B6C1A">
              <w:rPr>
                <w:color w:val="000000"/>
                <w:sz w:val="16"/>
                <w:szCs w:val="16"/>
              </w:rPr>
              <w:t>850,000/meeting</w:t>
            </w:r>
          </w:p>
        </w:tc>
        <w:tc>
          <w:tcPr>
            <w:tcW w:w="1394" w:type="dxa"/>
            <w:tcBorders>
              <w:top w:val="nil"/>
            </w:tcBorders>
            <w:shd w:val="clear" w:color="auto" w:fill="auto"/>
            <w:hideMark/>
          </w:tcPr>
          <w:p w14:paraId="4DFF2E38" w14:textId="53C9357B"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630,000/meeting</w:t>
            </w:r>
          </w:p>
        </w:tc>
        <w:tc>
          <w:tcPr>
            <w:tcW w:w="1394" w:type="dxa"/>
            <w:tcBorders>
              <w:top w:val="nil"/>
            </w:tcBorders>
            <w:shd w:val="clear" w:color="auto" w:fill="auto"/>
            <w:hideMark/>
          </w:tcPr>
          <w:p w14:paraId="519D026B" w14:textId="69159668"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470,000/meeting</w:t>
            </w:r>
          </w:p>
        </w:tc>
        <w:tc>
          <w:tcPr>
            <w:tcW w:w="1394" w:type="dxa"/>
            <w:tcBorders>
              <w:top w:val="nil"/>
            </w:tcBorders>
            <w:shd w:val="clear" w:color="auto" w:fill="auto"/>
            <w:hideMark/>
          </w:tcPr>
          <w:p w14:paraId="0F72A82D" w14:textId="7C38151B" w:rsidR="0041238C" w:rsidRPr="007E304A" w:rsidRDefault="0041238C" w:rsidP="00090E66">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670,000/meeting</w:t>
            </w:r>
          </w:p>
        </w:tc>
        <w:tc>
          <w:tcPr>
            <w:tcW w:w="1394" w:type="dxa"/>
            <w:tcBorders>
              <w:top w:val="nil"/>
            </w:tcBorders>
            <w:shd w:val="clear" w:color="auto" w:fill="auto"/>
            <w:hideMark/>
          </w:tcPr>
          <w:p w14:paraId="3CAA9001" w14:textId="0E8E9A48"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850,000/meeting</w:t>
            </w:r>
          </w:p>
        </w:tc>
      </w:tr>
      <w:tr w:rsidR="002B6C1A" w:rsidRPr="007E304A" w14:paraId="58E9221F" w14:textId="77777777" w:rsidTr="00B10477">
        <w:trPr>
          <w:trHeight w:val="472"/>
        </w:trPr>
        <w:tc>
          <w:tcPr>
            <w:tcW w:w="1276" w:type="dxa"/>
            <w:tcBorders>
              <w:top w:val="nil"/>
            </w:tcBorders>
            <w:shd w:val="clear" w:color="auto" w:fill="auto"/>
            <w:hideMark/>
          </w:tcPr>
          <w:p w14:paraId="58766A2D" w14:textId="5C23B350" w:rsidR="0041238C" w:rsidRPr="006432A8" w:rsidRDefault="0041238C" w:rsidP="00090E66">
            <w:pPr>
              <w:keepNext/>
              <w:keepLines/>
              <w:tabs>
                <w:tab w:val="clear" w:pos="1247"/>
                <w:tab w:val="clear" w:pos="1814"/>
                <w:tab w:val="clear" w:pos="2381"/>
                <w:tab w:val="clear" w:pos="2948"/>
                <w:tab w:val="clear" w:pos="3515"/>
              </w:tabs>
              <w:rPr>
                <w:bCs/>
                <w:i/>
                <w:color w:val="000000"/>
                <w:sz w:val="16"/>
                <w:szCs w:val="16"/>
              </w:rPr>
            </w:pPr>
            <w:r w:rsidRPr="006432A8">
              <w:rPr>
                <w:bCs/>
                <w:i/>
                <w:color w:val="000000"/>
                <w:sz w:val="16"/>
                <w:szCs w:val="16"/>
              </w:rPr>
              <w:t>Estimated secretariat staff travel costs to Geneva for chemicals and waste meetings</w:t>
            </w:r>
          </w:p>
        </w:tc>
        <w:tc>
          <w:tcPr>
            <w:tcW w:w="851" w:type="dxa"/>
            <w:tcBorders>
              <w:top w:val="nil"/>
            </w:tcBorders>
            <w:shd w:val="clear" w:color="auto" w:fill="auto"/>
            <w:hideMark/>
          </w:tcPr>
          <w:p w14:paraId="51D430D0" w14:textId="60A2FAAC" w:rsidR="0041238C" w:rsidRPr="007E304A" w:rsidRDefault="004B6984"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4</w:t>
            </w:r>
          </w:p>
        </w:tc>
        <w:tc>
          <w:tcPr>
            <w:tcW w:w="1393" w:type="dxa"/>
            <w:tcBorders>
              <w:top w:val="nil"/>
            </w:tcBorders>
            <w:shd w:val="clear" w:color="auto" w:fill="auto"/>
            <w:hideMark/>
          </w:tcPr>
          <w:p w14:paraId="54618E0D" w14:textId="0FC17E2C"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40,000/biennium</w:t>
            </w:r>
          </w:p>
        </w:tc>
        <w:tc>
          <w:tcPr>
            <w:tcW w:w="1394" w:type="dxa"/>
            <w:tcBorders>
              <w:top w:val="nil"/>
            </w:tcBorders>
            <w:shd w:val="clear" w:color="auto" w:fill="auto"/>
            <w:hideMark/>
          </w:tcPr>
          <w:p w14:paraId="3D93778B" w14:textId="77777777" w:rsidR="0041238C" w:rsidRPr="007E304A" w:rsidRDefault="0041238C" w:rsidP="00090E66">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0</w:t>
            </w:r>
          </w:p>
        </w:tc>
        <w:tc>
          <w:tcPr>
            <w:tcW w:w="1394" w:type="dxa"/>
            <w:tcBorders>
              <w:top w:val="nil"/>
            </w:tcBorders>
            <w:shd w:val="clear" w:color="auto" w:fill="auto"/>
            <w:hideMark/>
          </w:tcPr>
          <w:p w14:paraId="5D5DDBC6" w14:textId="0D121270"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36,000/biennium</w:t>
            </w:r>
          </w:p>
        </w:tc>
        <w:tc>
          <w:tcPr>
            <w:tcW w:w="1394" w:type="dxa"/>
            <w:tcBorders>
              <w:top w:val="nil"/>
            </w:tcBorders>
            <w:shd w:val="clear" w:color="auto" w:fill="auto"/>
            <w:hideMark/>
          </w:tcPr>
          <w:p w14:paraId="74C51152" w14:textId="095A0BDD"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45,000/biennium</w:t>
            </w:r>
          </w:p>
        </w:tc>
        <w:tc>
          <w:tcPr>
            <w:tcW w:w="1394" w:type="dxa"/>
            <w:tcBorders>
              <w:top w:val="nil"/>
            </w:tcBorders>
            <w:shd w:val="clear" w:color="auto" w:fill="auto"/>
            <w:hideMark/>
          </w:tcPr>
          <w:p w14:paraId="47366130" w14:textId="5E85C119"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20,000/biennium</w:t>
            </w:r>
          </w:p>
        </w:tc>
        <w:tc>
          <w:tcPr>
            <w:tcW w:w="1394" w:type="dxa"/>
            <w:tcBorders>
              <w:top w:val="nil"/>
            </w:tcBorders>
            <w:shd w:val="clear" w:color="auto" w:fill="auto"/>
            <w:hideMark/>
          </w:tcPr>
          <w:p w14:paraId="0C3B4595" w14:textId="4C4DD58A" w:rsidR="0041238C" w:rsidRPr="007E304A" w:rsidRDefault="0041238C" w:rsidP="002B6C1A">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40,000/biennium</w:t>
            </w:r>
          </w:p>
        </w:tc>
      </w:tr>
      <w:tr w:rsidR="002B6C1A" w:rsidRPr="007E304A" w14:paraId="21210D04" w14:textId="77777777" w:rsidTr="00B10477">
        <w:trPr>
          <w:trHeight w:val="312"/>
        </w:trPr>
        <w:tc>
          <w:tcPr>
            <w:tcW w:w="1276" w:type="dxa"/>
            <w:tcBorders>
              <w:top w:val="nil"/>
              <w:bottom w:val="single" w:sz="12" w:space="0" w:color="auto"/>
            </w:tcBorders>
            <w:shd w:val="clear" w:color="auto" w:fill="auto"/>
            <w:hideMark/>
          </w:tcPr>
          <w:p w14:paraId="02CED38F" w14:textId="77777777" w:rsidR="0041238C" w:rsidRPr="006432A8" w:rsidRDefault="0041238C" w:rsidP="006432A8">
            <w:pPr>
              <w:keepNext/>
              <w:keepLines/>
              <w:tabs>
                <w:tab w:val="clear" w:pos="1247"/>
                <w:tab w:val="clear" w:pos="1814"/>
                <w:tab w:val="clear" w:pos="2381"/>
                <w:tab w:val="clear" w:pos="2948"/>
                <w:tab w:val="clear" w:pos="3515"/>
              </w:tabs>
              <w:ind w:firstLineChars="100" w:firstLine="160"/>
              <w:rPr>
                <w:i/>
                <w:color w:val="000000"/>
                <w:sz w:val="16"/>
                <w:szCs w:val="16"/>
              </w:rPr>
            </w:pPr>
            <w:r w:rsidRPr="006432A8">
              <w:rPr>
                <w:i/>
                <w:color w:val="000000"/>
                <w:sz w:val="16"/>
                <w:szCs w:val="16"/>
              </w:rPr>
              <w:t>Remarks</w:t>
            </w:r>
          </w:p>
        </w:tc>
        <w:tc>
          <w:tcPr>
            <w:tcW w:w="851" w:type="dxa"/>
            <w:tcBorders>
              <w:top w:val="nil"/>
              <w:bottom w:val="single" w:sz="12" w:space="0" w:color="auto"/>
            </w:tcBorders>
            <w:shd w:val="clear" w:color="auto" w:fill="auto"/>
            <w:hideMark/>
          </w:tcPr>
          <w:p w14:paraId="5396D5B0" w14:textId="77777777" w:rsidR="0041238C" w:rsidRPr="007E304A" w:rsidRDefault="0041238C" w:rsidP="00BE71F1">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 </w:t>
            </w:r>
          </w:p>
        </w:tc>
        <w:tc>
          <w:tcPr>
            <w:tcW w:w="1393" w:type="dxa"/>
            <w:tcBorders>
              <w:top w:val="nil"/>
              <w:bottom w:val="single" w:sz="12" w:space="0" w:color="auto"/>
            </w:tcBorders>
            <w:shd w:val="clear" w:color="auto" w:fill="auto"/>
            <w:hideMark/>
          </w:tcPr>
          <w:p w14:paraId="5C909861"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394" w:type="dxa"/>
            <w:tcBorders>
              <w:top w:val="nil"/>
              <w:bottom w:val="single" w:sz="12" w:space="0" w:color="auto"/>
            </w:tcBorders>
            <w:shd w:val="clear" w:color="auto" w:fill="auto"/>
            <w:hideMark/>
          </w:tcPr>
          <w:p w14:paraId="3232B11B"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394" w:type="dxa"/>
            <w:tcBorders>
              <w:top w:val="nil"/>
              <w:bottom w:val="single" w:sz="12" w:space="0" w:color="auto"/>
            </w:tcBorders>
            <w:shd w:val="clear" w:color="auto" w:fill="auto"/>
            <w:hideMark/>
          </w:tcPr>
          <w:p w14:paraId="5DC139EA"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394" w:type="dxa"/>
            <w:tcBorders>
              <w:top w:val="nil"/>
              <w:bottom w:val="single" w:sz="12" w:space="0" w:color="auto"/>
            </w:tcBorders>
            <w:shd w:val="clear" w:color="auto" w:fill="auto"/>
            <w:hideMark/>
          </w:tcPr>
          <w:p w14:paraId="58D7AF6E"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5, 6</w:t>
            </w:r>
          </w:p>
        </w:tc>
        <w:tc>
          <w:tcPr>
            <w:tcW w:w="1394" w:type="dxa"/>
            <w:tcBorders>
              <w:top w:val="nil"/>
              <w:bottom w:val="single" w:sz="12" w:space="0" w:color="auto"/>
            </w:tcBorders>
            <w:shd w:val="clear" w:color="auto" w:fill="auto"/>
            <w:hideMark/>
          </w:tcPr>
          <w:p w14:paraId="6571FE9A"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394" w:type="dxa"/>
            <w:tcBorders>
              <w:top w:val="nil"/>
              <w:bottom w:val="single" w:sz="12" w:space="0" w:color="auto"/>
            </w:tcBorders>
            <w:shd w:val="clear" w:color="auto" w:fill="auto"/>
            <w:hideMark/>
          </w:tcPr>
          <w:p w14:paraId="61414C82"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5</w:t>
            </w:r>
          </w:p>
        </w:tc>
      </w:tr>
    </w:tbl>
    <w:p w14:paraId="246252B2" w14:textId="6B0B3EAB" w:rsidR="00B358F2" w:rsidRPr="007E304A" w:rsidRDefault="00B358F2" w:rsidP="001664EC">
      <w:pPr>
        <w:pStyle w:val="Normal-pool"/>
        <w:keepNext/>
        <w:keepLines/>
        <w:tabs>
          <w:tab w:val="clear" w:pos="1247"/>
          <w:tab w:val="clear" w:pos="1814"/>
          <w:tab w:val="clear" w:pos="2381"/>
          <w:tab w:val="clear" w:pos="2948"/>
          <w:tab w:val="clear" w:pos="3515"/>
          <w:tab w:val="clear" w:pos="4082"/>
          <w:tab w:val="left" w:pos="624"/>
        </w:tabs>
        <w:spacing w:before="120" w:after="40"/>
        <w:ind w:left="1253"/>
        <w:rPr>
          <w:sz w:val="18"/>
          <w:szCs w:val="18"/>
        </w:rPr>
      </w:pPr>
      <w:r w:rsidRPr="007E304A">
        <w:rPr>
          <w:sz w:val="18"/>
          <w:szCs w:val="18"/>
        </w:rPr>
        <w:t>Remarks:</w:t>
      </w:r>
    </w:p>
    <w:p w14:paraId="0BFD1A9D" w14:textId="229556FA" w:rsidR="0041238C" w:rsidRPr="007E304A" w:rsidRDefault="0041238C" w:rsidP="00BE71F1">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rPr>
      </w:pPr>
      <w:r w:rsidRPr="007E304A">
        <w:rPr>
          <w:sz w:val="18"/>
          <w:szCs w:val="18"/>
        </w:rPr>
        <w:t xml:space="preserve">1. </w:t>
      </w:r>
      <w:r w:rsidR="006D523F" w:rsidRPr="007E304A">
        <w:rPr>
          <w:sz w:val="18"/>
          <w:szCs w:val="18"/>
        </w:rPr>
        <w:tab/>
      </w:r>
      <w:r w:rsidRPr="007E304A">
        <w:rPr>
          <w:sz w:val="18"/>
          <w:szCs w:val="18"/>
        </w:rPr>
        <w:t xml:space="preserve">Depending on the location, the estimated office space and common service costs may include rent, office usage and maintenance fees, security fees, full desk setup, common service charges and other related charges to maintain full required secretariat office operations. </w:t>
      </w:r>
    </w:p>
    <w:p w14:paraId="07F2A971" w14:textId="43BAE532" w:rsidR="0041238C" w:rsidRPr="007E304A" w:rsidRDefault="0041238C" w:rsidP="00BE71F1">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rPr>
      </w:pPr>
      <w:r w:rsidRPr="007E304A">
        <w:rPr>
          <w:sz w:val="18"/>
          <w:szCs w:val="18"/>
        </w:rPr>
        <w:t xml:space="preserve">2. </w:t>
      </w:r>
      <w:r w:rsidR="006D523F" w:rsidRPr="007E304A">
        <w:rPr>
          <w:sz w:val="18"/>
          <w:szCs w:val="18"/>
        </w:rPr>
        <w:tab/>
      </w:r>
      <w:r w:rsidRPr="007E304A">
        <w:rPr>
          <w:sz w:val="18"/>
          <w:szCs w:val="18"/>
        </w:rPr>
        <w:t xml:space="preserve">Estimated </w:t>
      </w:r>
      <w:r w:rsidR="009D3675" w:rsidRPr="007E304A">
        <w:rPr>
          <w:sz w:val="18"/>
          <w:szCs w:val="18"/>
        </w:rPr>
        <w:t xml:space="preserve">costs of meetings of the </w:t>
      </w:r>
      <w:r w:rsidR="00342857" w:rsidRPr="007E304A">
        <w:rPr>
          <w:sz w:val="18"/>
          <w:szCs w:val="18"/>
        </w:rPr>
        <w:t>Conference of the Parties</w:t>
      </w:r>
      <w:r w:rsidRPr="007E304A">
        <w:rPr>
          <w:sz w:val="18"/>
          <w:szCs w:val="18"/>
        </w:rPr>
        <w:t xml:space="preserve"> refer to costs at the specific location and may include venue rental costs, related venue non-rent costs, venue security costs, U</w:t>
      </w:r>
      <w:r w:rsidR="009D3675" w:rsidRPr="007E304A">
        <w:rPr>
          <w:sz w:val="18"/>
          <w:szCs w:val="18"/>
        </w:rPr>
        <w:t xml:space="preserve">nited </w:t>
      </w:r>
      <w:r w:rsidRPr="007E304A">
        <w:rPr>
          <w:sz w:val="18"/>
          <w:szCs w:val="18"/>
        </w:rPr>
        <w:t>N</w:t>
      </w:r>
      <w:r w:rsidR="009D3675" w:rsidRPr="007E304A">
        <w:rPr>
          <w:sz w:val="18"/>
          <w:szCs w:val="18"/>
        </w:rPr>
        <w:t>ations o</w:t>
      </w:r>
      <w:r w:rsidRPr="007E304A">
        <w:rPr>
          <w:sz w:val="18"/>
          <w:szCs w:val="18"/>
        </w:rPr>
        <w:t>ffice charges</w:t>
      </w:r>
      <w:r w:rsidR="009D3675" w:rsidRPr="007E304A">
        <w:rPr>
          <w:sz w:val="18"/>
          <w:szCs w:val="18"/>
        </w:rPr>
        <w:t xml:space="preserve"> </w:t>
      </w:r>
      <w:r w:rsidRPr="007E304A">
        <w:rPr>
          <w:sz w:val="18"/>
          <w:szCs w:val="18"/>
        </w:rPr>
        <w:t>and conference services charges. For Osaka and Washington</w:t>
      </w:r>
      <w:r w:rsidR="009E64B2" w:rsidRPr="007E304A">
        <w:rPr>
          <w:sz w:val="18"/>
          <w:szCs w:val="18"/>
        </w:rPr>
        <w:t>, D.C.</w:t>
      </w:r>
      <w:r w:rsidR="009D3675" w:rsidRPr="007E304A">
        <w:rPr>
          <w:sz w:val="18"/>
          <w:szCs w:val="18"/>
        </w:rPr>
        <w:t>,</w:t>
      </w:r>
      <w:r w:rsidRPr="007E304A">
        <w:rPr>
          <w:sz w:val="18"/>
          <w:szCs w:val="18"/>
        </w:rPr>
        <w:t xml:space="preserve"> the estimate also includes the cost of secretariat travel to Bangkok and Montreal as proposed conference venues. The meeting costs exclude funded delegate travel to the location. </w:t>
      </w:r>
    </w:p>
    <w:p w14:paraId="035B1491" w14:textId="61ADE2E1" w:rsidR="0041238C" w:rsidRPr="007E304A" w:rsidRDefault="0041238C" w:rsidP="004B6984">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rPr>
      </w:pPr>
      <w:r w:rsidRPr="007E304A">
        <w:rPr>
          <w:sz w:val="18"/>
          <w:szCs w:val="18"/>
        </w:rPr>
        <w:t xml:space="preserve">3. </w:t>
      </w:r>
      <w:r w:rsidR="006D523F" w:rsidRPr="007E304A">
        <w:rPr>
          <w:sz w:val="18"/>
          <w:szCs w:val="18"/>
        </w:rPr>
        <w:tab/>
      </w:r>
      <w:r w:rsidR="004B6984" w:rsidRPr="007E304A">
        <w:rPr>
          <w:sz w:val="18"/>
          <w:szCs w:val="18"/>
        </w:rPr>
        <w:t xml:space="preserve">This estimate is calculated on the basis of the current daily subsistence rates for the locations, an estimate of flight costs to the location and terminal expenses as per the United Nations Financial </w:t>
      </w:r>
      <w:r w:rsidR="001A2884" w:rsidRPr="007E304A">
        <w:rPr>
          <w:sz w:val="18"/>
          <w:szCs w:val="18"/>
        </w:rPr>
        <w:t xml:space="preserve">Regulations and </w:t>
      </w:r>
      <w:r w:rsidR="004B6984" w:rsidRPr="007E304A">
        <w:rPr>
          <w:sz w:val="18"/>
          <w:szCs w:val="18"/>
        </w:rPr>
        <w:t>Rules</w:t>
      </w:r>
    </w:p>
    <w:p w14:paraId="7D762CC8" w14:textId="306B328A" w:rsidR="004B6984" w:rsidRPr="007E304A" w:rsidRDefault="0041238C" w:rsidP="004B6984">
      <w:pPr>
        <w:pStyle w:val="Normal-pool"/>
        <w:tabs>
          <w:tab w:val="clear" w:pos="1247"/>
          <w:tab w:val="clear" w:pos="1814"/>
          <w:tab w:val="clear" w:pos="2381"/>
          <w:tab w:val="clear" w:pos="2948"/>
          <w:tab w:val="clear" w:pos="3515"/>
          <w:tab w:val="clear" w:pos="4082"/>
          <w:tab w:val="left" w:pos="624"/>
        </w:tabs>
        <w:spacing w:after="40"/>
        <w:ind w:left="1247"/>
        <w:rPr>
          <w:sz w:val="18"/>
          <w:szCs w:val="18"/>
        </w:rPr>
      </w:pPr>
      <w:r w:rsidRPr="007E304A">
        <w:rPr>
          <w:sz w:val="18"/>
          <w:szCs w:val="18"/>
        </w:rPr>
        <w:t xml:space="preserve">4. </w:t>
      </w:r>
      <w:r w:rsidR="006D523F" w:rsidRPr="007E304A">
        <w:rPr>
          <w:sz w:val="18"/>
          <w:szCs w:val="18"/>
        </w:rPr>
        <w:tab/>
      </w:r>
      <w:r w:rsidR="004B6984" w:rsidRPr="007E304A">
        <w:rPr>
          <w:sz w:val="18"/>
          <w:szCs w:val="18"/>
        </w:rPr>
        <w:t>This amount is to be added to the $200,000 currently set in the programme of work and budget for staff travel. The travel covers estimated secretariat staff travel costs to attend one meeting of the conferences of the parties to the Basel, Rotterdam and Stockholm conventions, the World Health Assembly of the World Health Organization and two meetings related to the Inter-Organization Programme for the Sound Management of Chemicals in Geneva. Those missions to Geneva will also serve as an opportunity for interaction with colleagues from UNEP and other chemicals-and-waste-related organizations based in Geneva.</w:t>
      </w:r>
    </w:p>
    <w:p w14:paraId="617119D8" w14:textId="3B3FC93E" w:rsidR="0041238C" w:rsidRPr="007E304A" w:rsidRDefault="0041238C" w:rsidP="006D523F">
      <w:pPr>
        <w:pStyle w:val="Normal-pool"/>
        <w:tabs>
          <w:tab w:val="clear" w:pos="1247"/>
          <w:tab w:val="clear" w:pos="1814"/>
          <w:tab w:val="clear" w:pos="2381"/>
          <w:tab w:val="clear" w:pos="2948"/>
          <w:tab w:val="clear" w:pos="3515"/>
          <w:tab w:val="clear" w:pos="4082"/>
          <w:tab w:val="left" w:pos="624"/>
        </w:tabs>
        <w:spacing w:after="40"/>
        <w:ind w:left="1247"/>
        <w:rPr>
          <w:sz w:val="18"/>
          <w:szCs w:val="18"/>
        </w:rPr>
      </w:pPr>
      <w:r w:rsidRPr="007E304A">
        <w:rPr>
          <w:sz w:val="18"/>
          <w:szCs w:val="18"/>
        </w:rPr>
        <w:t xml:space="preserve">5. </w:t>
      </w:r>
      <w:r w:rsidR="006D523F" w:rsidRPr="007E304A">
        <w:rPr>
          <w:sz w:val="18"/>
          <w:szCs w:val="18"/>
        </w:rPr>
        <w:tab/>
      </w:r>
      <w:r w:rsidRPr="007E304A">
        <w:rPr>
          <w:sz w:val="18"/>
          <w:szCs w:val="18"/>
        </w:rPr>
        <w:t>As there is no U</w:t>
      </w:r>
      <w:r w:rsidR="001F3FEA" w:rsidRPr="007E304A">
        <w:rPr>
          <w:sz w:val="18"/>
          <w:szCs w:val="18"/>
        </w:rPr>
        <w:t xml:space="preserve">nited </w:t>
      </w:r>
      <w:r w:rsidRPr="007E304A">
        <w:rPr>
          <w:sz w:val="18"/>
          <w:szCs w:val="18"/>
        </w:rPr>
        <w:t>N</w:t>
      </w:r>
      <w:r w:rsidR="001F3FEA" w:rsidRPr="007E304A">
        <w:rPr>
          <w:sz w:val="18"/>
          <w:szCs w:val="18"/>
        </w:rPr>
        <w:t>ations</w:t>
      </w:r>
      <w:r w:rsidRPr="007E304A">
        <w:rPr>
          <w:sz w:val="18"/>
          <w:szCs w:val="18"/>
        </w:rPr>
        <w:t xml:space="preserve"> conference venue in Osaka or Washington</w:t>
      </w:r>
      <w:r w:rsidR="009E64B2" w:rsidRPr="007E304A">
        <w:rPr>
          <w:sz w:val="18"/>
          <w:szCs w:val="18"/>
        </w:rPr>
        <w:t>,</w:t>
      </w:r>
      <w:r w:rsidR="00686033" w:rsidRPr="007E304A">
        <w:rPr>
          <w:sz w:val="18"/>
          <w:szCs w:val="18"/>
        </w:rPr>
        <w:t xml:space="preserve"> D.C.</w:t>
      </w:r>
      <w:r w:rsidRPr="007E304A">
        <w:rPr>
          <w:sz w:val="18"/>
          <w:szCs w:val="18"/>
        </w:rPr>
        <w:t>, and reliance on commercial venues may not necessarily be feasible for budgetary reasons without additional allocations, the costs for meetings for a secretariat based in Osaka and Washington</w:t>
      </w:r>
      <w:r w:rsidR="009E64B2" w:rsidRPr="007E304A">
        <w:rPr>
          <w:sz w:val="18"/>
          <w:szCs w:val="18"/>
        </w:rPr>
        <w:t>, D.C.</w:t>
      </w:r>
      <w:r w:rsidR="0059201E" w:rsidRPr="007E304A">
        <w:rPr>
          <w:sz w:val="18"/>
          <w:szCs w:val="18"/>
        </w:rPr>
        <w:t>,</w:t>
      </w:r>
      <w:r w:rsidRPr="007E304A">
        <w:rPr>
          <w:sz w:val="18"/>
          <w:szCs w:val="18"/>
        </w:rPr>
        <w:t xml:space="preserve"> </w:t>
      </w:r>
      <w:r w:rsidR="001F3FEA" w:rsidRPr="007E304A">
        <w:rPr>
          <w:sz w:val="18"/>
          <w:szCs w:val="18"/>
        </w:rPr>
        <w:t>are</w:t>
      </w:r>
      <w:r w:rsidRPr="007E304A">
        <w:rPr>
          <w:sz w:val="18"/>
          <w:szCs w:val="18"/>
        </w:rPr>
        <w:t xml:space="preserve"> based on cost estimates of holding a</w:t>
      </w:r>
      <w:r w:rsidR="001F3FEA" w:rsidRPr="007E304A">
        <w:rPr>
          <w:sz w:val="18"/>
          <w:szCs w:val="18"/>
        </w:rPr>
        <w:t xml:space="preserve"> meeting of the</w:t>
      </w:r>
      <w:r w:rsidRPr="007E304A">
        <w:rPr>
          <w:sz w:val="18"/>
          <w:szCs w:val="18"/>
        </w:rPr>
        <w:t xml:space="preserve"> </w:t>
      </w:r>
      <w:r w:rsidR="00342857" w:rsidRPr="007E304A">
        <w:rPr>
          <w:sz w:val="18"/>
          <w:szCs w:val="18"/>
        </w:rPr>
        <w:t>Conference of the Parties</w:t>
      </w:r>
      <w:r w:rsidRPr="007E304A">
        <w:rPr>
          <w:sz w:val="18"/>
          <w:szCs w:val="18"/>
        </w:rPr>
        <w:t xml:space="preserve"> in Bangkok and Montreal respectively, as th</w:t>
      </w:r>
      <w:r w:rsidR="001F3FEA" w:rsidRPr="007E304A">
        <w:rPr>
          <w:sz w:val="18"/>
          <w:szCs w:val="18"/>
        </w:rPr>
        <w:t>o</w:t>
      </w:r>
      <w:r w:rsidRPr="007E304A">
        <w:rPr>
          <w:sz w:val="18"/>
          <w:szCs w:val="18"/>
        </w:rPr>
        <w:t xml:space="preserve">se cities present </w:t>
      </w:r>
      <w:r w:rsidR="001F3FEA" w:rsidRPr="007E304A">
        <w:rPr>
          <w:sz w:val="18"/>
          <w:szCs w:val="18"/>
        </w:rPr>
        <w:t xml:space="preserve">the closest </w:t>
      </w:r>
      <w:r w:rsidRPr="007E304A">
        <w:rPr>
          <w:sz w:val="18"/>
          <w:szCs w:val="18"/>
        </w:rPr>
        <w:t>viable U</w:t>
      </w:r>
      <w:r w:rsidR="001F3FEA" w:rsidRPr="007E304A">
        <w:rPr>
          <w:sz w:val="18"/>
          <w:szCs w:val="18"/>
        </w:rPr>
        <w:t xml:space="preserve">nited </w:t>
      </w:r>
      <w:r w:rsidRPr="007E304A">
        <w:rPr>
          <w:sz w:val="18"/>
          <w:szCs w:val="18"/>
        </w:rPr>
        <w:t>N</w:t>
      </w:r>
      <w:r w:rsidR="001F3FEA" w:rsidRPr="007E304A">
        <w:rPr>
          <w:sz w:val="18"/>
          <w:szCs w:val="18"/>
        </w:rPr>
        <w:t>ations</w:t>
      </w:r>
      <w:r w:rsidRPr="007E304A">
        <w:rPr>
          <w:sz w:val="18"/>
          <w:szCs w:val="18"/>
        </w:rPr>
        <w:t xml:space="preserve"> conference venues.</w:t>
      </w:r>
    </w:p>
    <w:p w14:paraId="4AF95C85" w14:textId="28DE223C" w:rsidR="0041238C" w:rsidRPr="007E304A" w:rsidRDefault="0041238C" w:rsidP="006D523F">
      <w:pPr>
        <w:pStyle w:val="Normal-pool"/>
        <w:tabs>
          <w:tab w:val="clear" w:pos="1247"/>
          <w:tab w:val="clear" w:pos="1814"/>
          <w:tab w:val="clear" w:pos="2381"/>
          <w:tab w:val="clear" w:pos="2948"/>
          <w:tab w:val="clear" w:pos="3515"/>
          <w:tab w:val="clear" w:pos="4082"/>
          <w:tab w:val="left" w:pos="624"/>
        </w:tabs>
        <w:spacing w:after="40"/>
        <w:ind w:left="1247"/>
        <w:rPr>
          <w:sz w:val="18"/>
          <w:szCs w:val="18"/>
        </w:rPr>
      </w:pPr>
      <w:r w:rsidRPr="007E304A">
        <w:rPr>
          <w:sz w:val="18"/>
          <w:szCs w:val="18"/>
        </w:rPr>
        <w:t xml:space="preserve">6. </w:t>
      </w:r>
      <w:r w:rsidR="006D523F" w:rsidRPr="007E304A">
        <w:rPr>
          <w:sz w:val="18"/>
          <w:szCs w:val="18"/>
        </w:rPr>
        <w:tab/>
      </w:r>
      <w:r w:rsidRPr="007E304A">
        <w:rPr>
          <w:sz w:val="18"/>
          <w:szCs w:val="18"/>
        </w:rPr>
        <w:t xml:space="preserve">Office operation costs for Osaka are given for calculation purposes only and are </w:t>
      </w:r>
      <w:r w:rsidR="00044ECA" w:rsidRPr="007E304A">
        <w:rPr>
          <w:sz w:val="18"/>
          <w:szCs w:val="18"/>
        </w:rPr>
        <w:t>on the basis of</w:t>
      </w:r>
      <w:r w:rsidRPr="007E304A">
        <w:rPr>
          <w:sz w:val="18"/>
          <w:szCs w:val="18"/>
        </w:rPr>
        <w:t xml:space="preserve"> the current conditions for the I</w:t>
      </w:r>
      <w:r w:rsidR="001F3FEA" w:rsidRPr="007E304A">
        <w:rPr>
          <w:sz w:val="18"/>
          <w:szCs w:val="18"/>
        </w:rPr>
        <w:t xml:space="preserve">nternational </w:t>
      </w:r>
      <w:r w:rsidRPr="007E304A">
        <w:rPr>
          <w:sz w:val="18"/>
          <w:szCs w:val="18"/>
        </w:rPr>
        <w:t>E</w:t>
      </w:r>
      <w:r w:rsidR="001F3FEA" w:rsidRPr="007E304A">
        <w:rPr>
          <w:sz w:val="18"/>
          <w:szCs w:val="18"/>
        </w:rPr>
        <w:t xml:space="preserve">nvironmental </w:t>
      </w:r>
      <w:r w:rsidRPr="007E304A">
        <w:rPr>
          <w:sz w:val="18"/>
          <w:szCs w:val="18"/>
        </w:rPr>
        <w:t>T</w:t>
      </w:r>
      <w:r w:rsidR="001F3FEA" w:rsidRPr="007E304A">
        <w:rPr>
          <w:sz w:val="18"/>
          <w:szCs w:val="18"/>
        </w:rPr>
        <w:t xml:space="preserve">echnology </w:t>
      </w:r>
      <w:r w:rsidRPr="007E304A">
        <w:rPr>
          <w:sz w:val="18"/>
          <w:szCs w:val="18"/>
        </w:rPr>
        <w:t>C</w:t>
      </w:r>
      <w:r w:rsidR="001F3FEA" w:rsidRPr="007E304A">
        <w:rPr>
          <w:sz w:val="18"/>
          <w:szCs w:val="18"/>
        </w:rPr>
        <w:t>entre</w:t>
      </w:r>
      <w:r w:rsidRPr="007E304A">
        <w:rPr>
          <w:sz w:val="18"/>
          <w:szCs w:val="18"/>
        </w:rPr>
        <w:t xml:space="preserve"> based in Osaka. The </w:t>
      </w:r>
      <w:r w:rsidR="001F3FEA" w:rsidRPr="007E304A">
        <w:rPr>
          <w:sz w:val="18"/>
          <w:szCs w:val="18"/>
        </w:rPr>
        <w:t>Centre</w:t>
      </w:r>
      <w:r w:rsidRPr="007E304A">
        <w:rPr>
          <w:sz w:val="18"/>
          <w:szCs w:val="18"/>
        </w:rPr>
        <w:t xml:space="preserve"> is supported by a host country contribution and arrangements.</w:t>
      </w:r>
    </w:p>
    <w:p w14:paraId="1B120F4F" w14:textId="1256EF16" w:rsidR="0041238C" w:rsidRPr="000F6D31" w:rsidRDefault="0041238C" w:rsidP="0041238C">
      <w:pPr>
        <w:tabs>
          <w:tab w:val="clear" w:pos="1247"/>
          <w:tab w:val="clear" w:pos="1814"/>
          <w:tab w:val="clear" w:pos="2381"/>
          <w:tab w:val="clear" w:pos="2948"/>
          <w:tab w:val="clear" w:pos="3515"/>
        </w:tabs>
        <w:rPr>
          <w:b/>
          <w:bCs/>
          <w:sz w:val="28"/>
          <w:szCs w:val="26"/>
        </w:rPr>
      </w:pPr>
      <w:r w:rsidRPr="001664EC">
        <w:rPr>
          <w:b/>
        </w:rPr>
        <w:br w:type="page"/>
      </w:r>
    </w:p>
    <w:p w14:paraId="1EE1FD2D" w14:textId="77777777" w:rsidR="0041238C" w:rsidRPr="007E304A" w:rsidRDefault="0041238C" w:rsidP="00161024">
      <w:pPr>
        <w:pStyle w:val="ZZAnxheader"/>
        <w:outlineLvl w:val="0"/>
      </w:pPr>
      <w:r w:rsidRPr="007E304A">
        <w:t>Appendix III</w:t>
      </w:r>
    </w:p>
    <w:p w14:paraId="5EBA7905" w14:textId="6105F9D4" w:rsidR="0041238C" w:rsidRPr="007E304A" w:rsidRDefault="0041238C" w:rsidP="0041238C">
      <w:pPr>
        <w:pStyle w:val="ZZAnxtitle"/>
      </w:pPr>
      <w:r w:rsidRPr="007E304A">
        <w:t xml:space="preserve">Merging </w:t>
      </w:r>
      <w:r w:rsidR="000F61F1">
        <w:t>into</w:t>
      </w:r>
      <w:r w:rsidR="000F61F1" w:rsidRPr="007E304A">
        <w:t xml:space="preserve"> </w:t>
      </w:r>
      <w:r w:rsidRPr="007E304A">
        <w:t>the secretariat of the Basel, Rotterdam and Stockholm conventions</w:t>
      </w:r>
      <w:r w:rsidR="000F61F1">
        <w:t xml:space="preserve"> </w:t>
      </w:r>
    </w:p>
    <w:p w14:paraId="4679557B" w14:textId="04A12B8B" w:rsidR="0041238C" w:rsidRPr="007E304A" w:rsidRDefault="001F3FEA"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pPr>
      <w:r w:rsidRPr="007E304A">
        <w:t xml:space="preserve">An </w:t>
      </w:r>
      <w:r w:rsidR="0041238C" w:rsidRPr="007E304A">
        <w:t xml:space="preserve">overview of the structure of the secretariat of the Basel, Rotterdam and Stockholm conventions </w:t>
      </w:r>
      <w:r w:rsidR="001B4DAA" w:rsidRPr="007E304A">
        <w:t xml:space="preserve">is provided </w:t>
      </w:r>
      <w:r w:rsidR="0041238C" w:rsidRPr="007E304A">
        <w:t xml:space="preserve">as context for considering: </w:t>
      </w:r>
    </w:p>
    <w:p w14:paraId="37D11B70" w14:textId="10698009" w:rsidR="0041238C" w:rsidRPr="007E304A" w:rsidRDefault="0041238C" w:rsidP="006D523F">
      <w:pPr>
        <w:pStyle w:val="Normal-pool"/>
        <w:numPr>
          <w:ilvl w:val="0"/>
          <w:numId w:val="140"/>
        </w:numPr>
        <w:tabs>
          <w:tab w:val="clear" w:pos="1247"/>
          <w:tab w:val="clear" w:pos="1814"/>
          <w:tab w:val="clear" w:pos="2381"/>
          <w:tab w:val="clear" w:pos="2948"/>
          <w:tab w:val="clear" w:pos="3515"/>
          <w:tab w:val="clear" w:pos="4082"/>
          <w:tab w:val="left" w:pos="624"/>
        </w:tabs>
        <w:spacing w:after="120"/>
        <w:ind w:left="1247" w:firstLine="624"/>
      </w:pPr>
      <w:r w:rsidRPr="007E304A">
        <w:t>Option 1 (a)</w:t>
      </w:r>
      <w:r w:rsidR="003E3369" w:rsidRPr="007E304A">
        <w:t xml:space="preserve"> </w:t>
      </w:r>
      <w:r w:rsidR="001A2884" w:rsidRPr="007E304A">
        <w:t>(merger)</w:t>
      </w:r>
      <w:r w:rsidRPr="007E304A">
        <w:t>: Merging the secretariat functions of the Minamata Convention into the secretariat of the Basel, Rotterdam and Stockholm conventions</w:t>
      </w:r>
      <w:r w:rsidR="00D13460" w:rsidRPr="007E304A">
        <w:t>,</w:t>
      </w:r>
      <w:r w:rsidRPr="007E304A">
        <w:t xml:space="preserve"> utilizing its current structure (</w:t>
      </w:r>
      <w:r w:rsidR="001B4DAA" w:rsidRPr="007E304A">
        <w:t>l</w:t>
      </w:r>
      <w:r w:rsidRPr="007E304A">
        <w:t>ocation: Geneva)</w:t>
      </w:r>
      <w:r w:rsidR="001B4DAA" w:rsidRPr="007E304A">
        <w:t>;</w:t>
      </w:r>
    </w:p>
    <w:p w14:paraId="6C1663AA" w14:textId="3D4E2D08" w:rsidR="0041238C" w:rsidRPr="007E304A" w:rsidRDefault="0041238C" w:rsidP="006D523F">
      <w:pPr>
        <w:pStyle w:val="Normal-pool"/>
        <w:numPr>
          <w:ilvl w:val="0"/>
          <w:numId w:val="140"/>
        </w:numPr>
        <w:tabs>
          <w:tab w:val="clear" w:pos="1247"/>
          <w:tab w:val="clear" w:pos="1814"/>
          <w:tab w:val="clear" w:pos="2381"/>
          <w:tab w:val="clear" w:pos="2948"/>
          <w:tab w:val="clear" w:pos="3515"/>
          <w:tab w:val="clear" w:pos="4082"/>
          <w:tab w:val="left" w:pos="624"/>
        </w:tabs>
        <w:spacing w:after="120"/>
        <w:ind w:left="1247" w:firstLine="624"/>
      </w:pPr>
      <w:r w:rsidRPr="007E304A">
        <w:t>Option 1 (b)</w:t>
      </w:r>
      <w:r w:rsidR="003E3369" w:rsidRPr="007E304A">
        <w:t xml:space="preserve"> </w:t>
      </w:r>
      <w:r w:rsidR="001A2884" w:rsidRPr="007E304A">
        <w:t>(branch)</w:t>
      </w:r>
      <w:r w:rsidRPr="007E304A">
        <w:t xml:space="preserve">: Merging the secretariat of the Minamata Convention </w:t>
      </w:r>
      <w:r w:rsidR="000F61F1">
        <w:t>into</w:t>
      </w:r>
      <w:r w:rsidR="000F61F1" w:rsidRPr="007E304A">
        <w:t xml:space="preserve"> </w:t>
      </w:r>
      <w:r w:rsidRPr="007E304A">
        <w:t xml:space="preserve">the secretariat of the Basel, Rotterdam and Stockholm conventions by creating, in the interim, a Minamata Convention </w:t>
      </w:r>
      <w:r w:rsidR="00FC7A16" w:rsidRPr="007E304A">
        <w:t>b</w:t>
      </w:r>
      <w:r w:rsidRPr="007E304A">
        <w:t>ranch (</w:t>
      </w:r>
      <w:r w:rsidR="00BF67D1" w:rsidRPr="007E304A">
        <w:t>l</w:t>
      </w:r>
      <w:r w:rsidRPr="007E304A">
        <w:t>ocation: Geneva).</w:t>
      </w:r>
      <w:r w:rsidR="00E67A13" w:rsidRPr="007E304A">
        <w:t xml:space="preserve"> </w:t>
      </w:r>
    </w:p>
    <w:p w14:paraId="31FA51A4" w14:textId="65551595" w:rsidR="0041238C" w:rsidRPr="007E304A" w:rsidRDefault="006D523F" w:rsidP="00161024">
      <w:pPr>
        <w:pStyle w:val="CH3"/>
        <w:outlineLvl w:val="0"/>
      </w:pPr>
      <w:r w:rsidRPr="007E304A">
        <w:tab/>
      </w:r>
      <w:r w:rsidRPr="007E304A">
        <w:tab/>
      </w:r>
      <w:r w:rsidR="0041238C" w:rsidRPr="007E304A">
        <w:t>Overview: Structure of the secretariat of the Basel, Rotterdam and Stockholm conventions</w:t>
      </w:r>
    </w:p>
    <w:p w14:paraId="6B1AD52B" w14:textId="3078FC3C" w:rsidR="0041238C" w:rsidRPr="007E304A" w:rsidRDefault="0041238C"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secretariat of the Basel, Rotterdam and Stockholm conventions is headed by an Executive Secretary </w:t>
      </w:r>
      <w:r w:rsidRPr="007E304A">
        <w:t>who</w:t>
      </w:r>
      <w:r w:rsidRPr="007E304A">
        <w:rPr>
          <w:rFonts w:eastAsia="MS Mincho"/>
        </w:rPr>
        <w:t xml:space="preserve"> is supported by an Executive Office and three branches</w:t>
      </w:r>
      <w:r w:rsidR="00BF67D1" w:rsidRPr="007E304A">
        <w:rPr>
          <w:rFonts w:eastAsia="MS Mincho"/>
        </w:rPr>
        <w:t xml:space="preserve">: </w:t>
      </w:r>
      <w:r w:rsidRPr="007E304A">
        <w:rPr>
          <w:rFonts w:eastAsia="MS Mincho"/>
        </w:rPr>
        <w:t xml:space="preserve">the Convention Operations Branch, the </w:t>
      </w:r>
      <w:r w:rsidRPr="007E304A">
        <w:t>Technical</w:t>
      </w:r>
      <w:r w:rsidRPr="007E304A">
        <w:rPr>
          <w:rFonts w:eastAsia="MS Mincho"/>
        </w:rPr>
        <w:t xml:space="preserve"> Assistance Branch and the Scientific Support Branch.</w:t>
      </w:r>
    </w:p>
    <w:p w14:paraId="7F70D598" w14:textId="77777777" w:rsidR="0041238C" w:rsidRPr="007E304A" w:rsidRDefault="0041238C"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rPr>
          <w:rFonts w:eastAsia="MS Mincho"/>
        </w:rPr>
        <w:t xml:space="preserve">The </w:t>
      </w:r>
      <w:r w:rsidRPr="007E304A">
        <w:t>Executive</w:t>
      </w:r>
      <w:r w:rsidRPr="007E304A">
        <w:rPr>
          <w:rFonts w:eastAsia="MS Mincho"/>
        </w:rPr>
        <w:t xml:space="preserve"> </w:t>
      </w:r>
      <w:r w:rsidRPr="007E304A">
        <w:t>Office</w:t>
      </w:r>
      <w:r w:rsidRPr="007E304A">
        <w:rPr>
          <w:rFonts w:eastAsia="MS Mincho"/>
        </w:rPr>
        <w:t xml:space="preserve"> covers the following corporate activities:</w:t>
      </w:r>
    </w:p>
    <w:p w14:paraId="26BF158A" w14:textId="77777777" w:rsidR="0041238C" w:rsidRPr="007E304A" w:rsidRDefault="0041238C" w:rsidP="006D523F">
      <w:pPr>
        <w:pStyle w:val="Normal-pool"/>
        <w:numPr>
          <w:ilvl w:val="0"/>
          <w:numId w:val="141"/>
        </w:numPr>
        <w:tabs>
          <w:tab w:val="clear" w:pos="1247"/>
          <w:tab w:val="clear" w:pos="1814"/>
          <w:tab w:val="clear" w:pos="2381"/>
          <w:tab w:val="clear" w:pos="2948"/>
          <w:tab w:val="clear" w:pos="3515"/>
          <w:tab w:val="clear" w:pos="4082"/>
          <w:tab w:val="left" w:pos="624"/>
        </w:tabs>
        <w:spacing w:after="120"/>
        <w:ind w:left="1247" w:firstLine="624"/>
      </w:pPr>
      <w:r w:rsidRPr="007E304A">
        <w:t>Leadership and executive direction;</w:t>
      </w:r>
    </w:p>
    <w:p w14:paraId="0BAA2993" w14:textId="77777777" w:rsidR="0041238C" w:rsidRPr="007E304A" w:rsidRDefault="0041238C" w:rsidP="006D523F">
      <w:pPr>
        <w:pStyle w:val="Normal-pool"/>
        <w:numPr>
          <w:ilvl w:val="0"/>
          <w:numId w:val="141"/>
        </w:numPr>
        <w:tabs>
          <w:tab w:val="clear" w:pos="1247"/>
          <w:tab w:val="clear" w:pos="1814"/>
          <w:tab w:val="clear" w:pos="2381"/>
          <w:tab w:val="clear" w:pos="2948"/>
          <w:tab w:val="clear" w:pos="3515"/>
          <w:tab w:val="clear" w:pos="4082"/>
          <w:tab w:val="left" w:pos="624"/>
        </w:tabs>
        <w:spacing w:after="120"/>
        <w:ind w:left="1247" w:firstLine="624"/>
      </w:pPr>
      <w:r w:rsidRPr="007E304A">
        <w:t xml:space="preserve">Management, oversight and monitoring; </w:t>
      </w:r>
    </w:p>
    <w:p w14:paraId="1A09A919" w14:textId="77777777" w:rsidR="0041238C" w:rsidRPr="007E304A" w:rsidRDefault="0041238C" w:rsidP="006D523F">
      <w:pPr>
        <w:pStyle w:val="Normal-pool"/>
        <w:numPr>
          <w:ilvl w:val="0"/>
          <w:numId w:val="141"/>
        </w:numPr>
        <w:tabs>
          <w:tab w:val="clear" w:pos="1247"/>
          <w:tab w:val="clear" w:pos="1814"/>
          <w:tab w:val="clear" w:pos="2381"/>
          <w:tab w:val="clear" w:pos="2948"/>
          <w:tab w:val="clear" w:pos="3515"/>
          <w:tab w:val="clear" w:pos="4082"/>
          <w:tab w:val="left" w:pos="624"/>
        </w:tabs>
        <w:spacing w:after="120"/>
        <w:ind w:left="1247" w:firstLine="624"/>
      </w:pPr>
      <w:r w:rsidRPr="007E304A">
        <w:t xml:space="preserve">Synergies coordination; </w:t>
      </w:r>
    </w:p>
    <w:p w14:paraId="7FA8DC80" w14:textId="77777777" w:rsidR="0041238C" w:rsidRPr="007E304A" w:rsidRDefault="0041238C" w:rsidP="006D523F">
      <w:pPr>
        <w:pStyle w:val="Normal-pool"/>
        <w:numPr>
          <w:ilvl w:val="0"/>
          <w:numId w:val="141"/>
        </w:numPr>
        <w:tabs>
          <w:tab w:val="clear" w:pos="1247"/>
          <w:tab w:val="clear" w:pos="1814"/>
          <w:tab w:val="clear" w:pos="2381"/>
          <w:tab w:val="clear" w:pos="2948"/>
          <w:tab w:val="clear" w:pos="3515"/>
          <w:tab w:val="clear" w:pos="4082"/>
          <w:tab w:val="left" w:pos="624"/>
        </w:tabs>
        <w:spacing w:after="120"/>
        <w:ind w:left="1247" w:firstLine="624"/>
      </w:pPr>
      <w:r w:rsidRPr="007E304A">
        <w:t xml:space="preserve">Administration (finance, budget, human resources); </w:t>
      </w:r>
    </w:p>
    <w:p w14:paraId="0C201217" w14:textId="77777777" w:rsidR="0041238C" w:rsidRPr="007E304A" w:rsidRDefault="0041238C" w:rsidP="006D523F">
      <w:pPr>
        <w:pStyle w:val="Normal-pool"/>
        <w:numPr>
          <w:ilvl w:val="0"/>
          <w:numId w:val="141"/>
        </w:numPr>
        <w:tabs>
          <w:tab w:val="clear" w:pos="1247"/>
          <w:tab w:val="clear" w:pos="1814"/>
          <w:tab w:val="clear" w:pos="2381"/>
          <w:tab w:val="clear" w:pos="2948"/>
          <w:tab w:val="clear" w:pos="3515"/>
          <w:tab w:val="clear" w:pos="4082"/>
          <w:tab w:val="left" w:pos="624"/>
        </w:tabs>
        <w:spacing w:after="120"/>
        <w:ind w:left="1247" w:firstLine="624"/>
      </w:pPr>
      <w:r w:rsidRPr="007E304A">
        <w:t xml:space="preserve">Resource mobilization; </w:t>
      </w:r>
    </w:p>
    <w:p w14:paraId="4562ABEF" w14:textId="77777777" w:rsidR="0041238C" w:rsidRPr="007E304A" w:rsidRDefault="0041238C" w:rsidP="006D523F">
      <w:pPr>
        <w:pStyle w:val="Normal-pool"/>
        <w:numPr>
          <w:ilvl w:val="0"/>
          <w:numId w:val="141"/>
        </w:numPr>
        <w:tabs>
          <w:tab w:val="clear" w:pos="1247"/>
          <w:tab w:val="clear" w:pos="1814"/>
          <w:tab w:val="clear" w:pos="2381"/>
          <w:tab w:val="clear" w:pos="2948"/>
          <w:tab w:val="clear" w:pos="3515"/>
          <w:tab w:val="clear" w:pos="4082"/>
          <w:tab w:val="left" w:pos="624"/>
        </w:tabs>
        <w:spacing w:after="120"/>
        <w:ind w:left="1247" w:firstLine="624"/>
      </w:pPr>
      <w:r w:rsidRPr="007E304A">
        <w:t xml:space="preserve">Coordination with the financial mechanism under the Stockholm Convention. </w:t>
      </w:r>
    </w:p>
    <w:p w14:paraId="756AD6C6" w14:textId="77777777" w:rsidR="0041238C" w:rsidRPr="007E304A" w:rsidRDefault="0041238C"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The</w:t>
      </w:r>
      <w:r w:rsidRPr="007E304A">
        <w:rPr>
          <w:rFonts w:eastAsia="MS Mincho"/>
        </w:rPr>
        <w:t xml:space="preserve"> </w:t>
      </w:r>
      <w:r w:rsidRPr="007E304A">
        <w:t>Conventions</w:t>
      </w:r>
      <w:r w:rsidRPr="007E304A">
        <w:rPr>
          <w:rFonts w:eastAsia="MS Mincho"/>
        </w:rPr>
        <w:t xml:space="preserve"> Operations Branch is responsible for the following:</w:t>
      </w:r>
    </w:p>
    <w:p w14:paraId="1EBE59CD" w14:textId="6FE57F68"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7E304A">
        <w:t>Management of meetings of the conferences of the parties and subsidiary bodies;</w:t>
      </w:r>
    </w:p>
    <w:p w14:paraId="0787C84C" w14:textId="77777777"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7E304A">
        <w:t>Legal and governance;</w:t>
      </w:r>
    </w:p>
    <w:p w14:paraId="7F1BAF46" w14:textId="77777777"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7E304A">
        <w:t>Compliance;</w:t>
      </w:r>
    </w:p>
    <w:p w14:paraId="641FFBF3" w14:textId="77777777"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7E304A">
        <w:t>International cooperation with multilateral environmental agreements, intergovernmental organizations and non-governmental organizations;</w:t>
      </w:r>
    </w:p>
    <w:p w14:paraId="3A118C4B" w14:textId="77777777"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187D94">
        <w:t>Cooperation on the Rotterdam</w:t>
      </w:r>
      <w:r w:rsidRPr="007E304A">
        <w:t xml:space="preserve"> Convention between UNEP and the Food and Agriculture Organization of the United Nations;</w:t>
      </w:r>
    </w:p>
    <w:p w14:paraId="4E3FEC1E" w14:textId="77777777"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7E304A">
        <w:t>Conference services;</w:t>
      </w:r>
    </w:p>
    <w:p w14:paraId="055210B2" w14:textId="77777777"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7E304A">
        <w:t>Knowledge/information management and public awareness;</w:t>
      </w:r>
    </w:p>
    <w:p w14:paraId="38572F51" w14:textId="77777777" w:rsidR="0041238C" w:rsidRPr="007E304A" w:rsidRDefault="0041238C" w:rsidP="00911861">
      <w:pPr>
        <w:pStyle w:val="Normal-pool"/>
        <w:numPr>
          <w:ilvl w:val="0"/>
          <w:numId w:val="142"/>
        </w:numPr>
        <w:tabs>
          <w:tab w:val="clear" w:pos="1247"/>
          <w:tab w:val="clear" w:pos="1814"/>
          <w:tab w:val="clear" w:pos="2381"/>
          <w:tab w:val="clear" w:pos="2948"/>
          <w:tab w:val="clear" w:pos="3515"/>
          <w:tab w:val="clear" w:pos="4082"/>
          <w:tab w:val="left" w:pos="624"/>
        </w:tabs>
        <w:spacing w:after="120"/>
        <w:ind w:left="1247" w:firstLine="624"/>
      </w:pPr>
      <w:r w:rsidRPr="007E304A">
        <w:t xml:space="preserve">Information technology. </w:t>
      </w:r>
    </w:p>
    <w:p w14:paraId="03BF082D" w14:textId="77777777" w:rsidR="0041238C" w:rsidRPr="007E304A" w:rsidRDefault="0041238C"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rPr>
          <w:rFonts w:eastAsia="MS Mincho"/>
        </w:rPr>
      </w:pPr>
      <w:r w:rsidRPr="007E304A">
        <w:t>The</w:t>
      </w:r>
      <w:r w:rsidRPr="007E304A">
        <w:rPr>
          <w:rFonts w:eastAsia="MS Mincho"/>
        </w:rPr>
        <w:t xml:space="preserve"> Technical </w:t>
      </w:r>
      <w:r w:rsidRPr="007E304A">
        <w:t>Assistance</w:t>
      </w:r>
      <w:r w:rsidRPr="007E304A">
        <w:rPr>
          <w:rFonts w:eastAsia="MS Mincho"/>
        </w:rPr>
        <w:t xml:space="preserve"> Branch is responsible for the following:</w:t>
      </w:r>
    </w:p>
    <w:p w14:paraId="52A96057" w14:textId="77777777" w:rsidR="0041238C" w:rsidRPr="007E304A" w:rsidRDefault="0041238C" w:rsidP="0041238C">
      <w:pPr>
        <w:pStyle w:val="Normalnumber"/>
        <w:numPr>
          <w:ilvl w:val="1"/>
          <w:numId w:val="82"/>
        </w:numPr>
        <w:tabs>
          <w:tab w:val="left" w:pos="1247"/>
          <w:tab w:val="left" w:pos="1871"/>
        </w:tabs>
        <w:spacing w:after="100"/>
      </w:pPr>
      <w:r w:rsidRPr="007E304A">
        <w:t>Development and management of the technical assistance programme for the conventions;</w:t>
      </w:r>
    </w:p>
    <w:p w14:paraId="46E1DA13" w14:textId="77777777" w:rsidR="0041238C" w:rsidRPr="007E304A" w:rsidRDefault="0041238C" w:rsidP="0041238C">
      <w:pPr>
        <w:pStyle w:val="Normalnumber"/>
        <w:numPr>
          <w:ilvl w:val="1"/>
          <w:numId w:val="80"/>
        </w:numPr>
        <w:tabs>
          <w:tab w:val="left" w:pos="1247"/>
          <w:tab w:val="left" w:pos="1871"/>
        </w:tabs>
        <w:spacing w:after="100"/>
        <w:ind w:left="1248"/>
      </w:pPr>
      <w:r w:rsidRPr="007E304A">
        <w:t>Needs assessments (including national implementation plans, national action plans, etc.);</w:t>
      </w:r>
    </w:p>
    <w:p w14:paraId="6177D707" w14:textId="77777777" w:rsidR="0041238C" w:rsidRPr="007E304A" w:rsidRDefault="0041238C" w:rsidP="0041238C">
      <w:pPr>
        <w:pStyle w:val="Normalnumber"/>
        <w:numPr>
          <w:ilvl w:val="1"/>
          <w:numId w:val="80"/>
        </w:numPr>
        <w:tabs>
          <w:tab w:val="left" w:pos="1247"/>
          <w:tab w:val="left" w:pos="1871"/>
        </w:tabs>
        <w:spacing w:after="100"/>
        <w:ind w:left="1248"/>
      </w:pPr>
      <w:r w:rsidRPr="007E304A">
        <w:t>Capacity-building and training activities (including projects, workshops, webinars, online training, etc.);</w:t>
      </w:r>
    </w:p>
    <w:p w14:paraId="4D81165D" w14:textId="77777777" w:rsidR="0041238C" w:rsidRPr="007E304A" w:rsidRDefault="0041238C" w:rsidP="0041238C">
      <w:pPr>
        <w:pStyle w:val="Normalnumber"/>
        <w:numPr>
          <w:ilvl w:val="1"/>
          <w:numId w:val="80"/>
        </w:numPr>
        <w:tabs>
          <w:tab w:val="left" w:pos="1247"/>
          <w:tab w:val="left" w:pos="1871"/>
        </w:tabs>
        <w:spacing w:after="100"/>
        <w:ind w:left="1248"/>
      </w:pPr>
      <w:r w:rsidRPr="007E304A">
        <w:t>Partnerships;</w:t>
      </w:r>
    </w:p>
    <w:p w14:paraId="6C43BA0F" w14:textId="77777777" w:rsidR="0041238C" w:rsidRPr="007E304A" w:rsidRDefault="0041238C" w:rsidP="0041238C">
      <w:pPr>
        <w:pStyle w:val="Normalnumber"/>
        <w:numPr>
          <w:ilvl w:val="1"/>
          <w:numId w:val="80"/>
        </w:numPr>
        <w:tabs>
          <w:tab w:val="left" w:pos="1247"/>
          <w:tab w:val="left" w:pos="1871"/>
        </w:tabs>
        <w:spacing w:after="100"/>
        <w:ind w:left="1248"/>
      </w:pPr>
      <w:r w:rsidRPr="007E304A">
        <w:t xml:space="preserve">Regional centres. </w:t>
      </w:r>
    </w:p>
    <w:p w14:paraId="7D45CE34" w14:textId="77777777" w:rsidR="0041238C" w:rsidRPr="007E304A" w:rsidRDefault="0041238C" w:rsidP="00911861">
      <w:pPr>
        <w:pStyle w:val="Normal-pool"/>
        <w:keepNext/>
        <w:keepLines/>
        <w:numPr>
          <w:ilvl w:val="0"/>
          <w:numId w:val="139"/>
        </w:numPr>
        <w:tabs>
          <w:tab w:val="clear" w:pos="1247"/>
          <w:tab w:val="clear" w:pos="1814"/>
          <w:tab w:val="clear" w:pos="2381"/>
          <w:tab w:val="clear" w:pos="2948"/>
          <w:tab w:val="clear" w:pos="3515"/>
          <w:tab w:val="clear" w:pos="4082"/>
          <w:tab w:val="left" w:pos="624"/>
        </w:tabs>
        <w:spacing w:after="120"/>
        <w:ind w:left="1247" w:firstLine="0"/>
      </w:pPr>
      <w:r w:rsidRPr="007E304A">
        <w:t>The Scientific Support Branch is responsible for the following:</w:t>
      </w:r>
    </w:p>
    <w:p w14:paraId="7A048B5C" w14:textId="77777777" w:rsidR="0041238C" w:rsidRPr="007E304A" w:rsidRDefault="0041238C" w:rsidP="00911861">
      <w:pPr>
        <w:pStyle w:val="Normalnumber"/>
        <w:keepNext/>
        <w:keepLines/>
        <w:numPr>
          <w:ilvl w:val="1"/>
          <w:numId w:val="83"/>
        </w:numPr>
        <w:tabs>
          <w:tab w:val="left" w:pos="1247"/>
          <w:tab w:val="left" w:pos="1871"/>
        </w:tabs>
        <w:spacing w:after="100"/>
      </w:pPr>
      <w:r w:rsidRPr="007E304A">
        <w:t>Providing technical and scientific input;</w:t>
      </w:r>
    </w:p>
    <w:p w14:paraId="1B634CF9" w14:textId="2C716968" w:rsidR="0041238C" w:rsidRPr="007E304A" w:rsidRDefault="0041238C" w:rsidP="00911861">
      <w:pPr>
        <w:pStyle w:val="Normalnumber"/>
        <w:keepNext/>
        <w:keepLines/>
        <w:numPr>
          <w:ilvl w:val="1"/>
          <w:numId w:val="80"/>
        </w:numPr>
        <w:tabs>
          <w:tab w:val="left" w:pos="1247"/>
          <w:tab w:val="left" w:pos="1871"/>
        </w:tabs>
        <w:spacing w:after="100"/>
        <w:ind w:left="1248"/>
      </w:pPr>
      <w:r w:rsidRPr="007E304A">
        <w:t xml:space="preserve">Supporting the scientific work of the conferences of the </w:t>
      </w:r>
      <w:r w:rsidR="00D71A18" w:rsidRPr="007E304A">
        <w:t>p</w:t>
      </w:r>
      <w:r w:rsidRPr="007E304A">
        <w:t>arties and their subsidiary bodies, including intersessional work;</w:t>
      </w:r>
    </w:p>
    <w:p w14:paraId="4B8CAC5F" w14:textId="77777777" w:rsidR="0041238C" w:rsidRPr="007E304A" w:rsidRDefault="0041238C" w:rsidP="0041238C">
      <w:pPr>
        <w:pStyle w:val="Normalnumber"/>
        <w:numPr>
          <w:ilvl w:val="1"/>
          <w:numId w:val="80"/>
        </w:numPr>
        <w:tabs>
          <w:tab w:val="left" w:pos="1247"/>
          <w:tab w:val="left" w:pos="1871"/>
        </w:tabs>
        <w:spacing w:after="100"/>
        <w:ind w:left="1248"/>
      </w:pPr>
      <w:r w:rsidRPr="007E304A">
        <w:t>Developing technical documents, including guidelines and guidance;</w:t>
      </w:r>
    </w:p>
    <w:p w14:paraId="6EBD9007" w14:textId="77777777" w:rsidR="0041238C" w:rsidRPr="007E304A" w:rsidRDefault="0041238C" w:rsidP="0041238C">
      <w:pPr>
        <w:pStyle w:val="Normalnumber"/>
        <w:numPr>
          <w:ilvl w:val="1"/>
          <w:numId w:val="80"/>
        </w:numPr>
        <w:tabs>
          <w:tab w:val="left" w:pos="1247"/>
          <w:tab w:val="left" w:pos="1871"/>
        </w:tabs>
        <w:spacing w:after="100"/>
        <w:ind w:left="1248"/>
      </w:pPr>
      <w:r w:rsidRPr="007E304A">
        <w:t>Managing the collection, review, assessment and evaluation of scientific and technical information;</w:t>
      </w:r>
    </w:p>
    <w:p w14:paraId="794B3C60" w14:textId="77777777" w:rsidR="0041238C" w:rsidRPr="007E304A" w:rsidRDefault="0041238C" w:rsidP="0041238C">
      <w:pPr>
        <w:pStyle w:val="Normalnumber"/>
        <w:numPr>
          <w:ilvl w:val="1"/>
          <w:numId w:val="80"/>
        </w:numPr>
        <w:tabs>
          <w:tab w:val="left" w:pos="1247"/>
          <w:tab w:val="left" w:pos="1871"/>
        </w:tabs>
        <w:spacing w:after="100"/>
        <w:ind w:left="1248"/>
      </w:pPr>
      <w:r w:rsidRPr="007E304A">
        <w:t>Drawing up national reports, notifications and exemptions.</w:t>
      </w:r>
    </w:p>
    <w:p w14:paraId="0C2A9105" w14:textId="735DE579" w:rsidR="0041238C" w:rsidRPr="007E304A" w:rsidRDefault="0041238C" w:rsidP="006432A8">
      <w:pPr>
        <w:pStyle w:val="Normal-pool"/>
        <w:spacing w:before="240" w:after="120"/>
        <w:ind w:left="1247"/>
        <w:rPr>
          <w:b/>
        </w:rPr>
      </w:pPr>
      <w:r w:rsidRPr="006432A8">
        <w:t xml:space="preserve">Table </w:t>
      </w:r>
      <w:r w:rsidR="00CE19FB" w:rsidRPr="006432A8">
        <w:t>1</w:t>
      </w:r>
    </w:p>
    <w:tbl>
      <w:tblPr>
        <w:tblW w:w="8222" w:type="dxa"/>
        <w:tblInd w:w="1384" w:type="dxa"/>
        <w:tblCellMar>
          <w:left w:w="0" w:type="dxa"/>
          <w:right w:w="0" w:type="dxa"/>
        </w:tblCellMar>
        <w:tblLook w:val="0600" w:firstRow="0" w:lastRow="0" w:firstColumn="0" w:lastColumn="0" w:noHBand="1" w:noVBand="1"/>
      </w:tblPr>
      <w:tblGrid>
        <w:gridCol w:w="3190"/>
        <w:gridCol w:w="2481"/>
        <w:gridCol w:w="2551"/>
      </w:tblGrid>
      <w:tr w:rsidR="0041238C" w:rsidRPr="00B10477" w14:paraId="1AB32A52" w14:textId="77777777" w:rsidTr="006432A8">
        <w:trPr>
          <w:trHeight w:val="515"/>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80A357F" w14:textId="1559A7E5" w:rsidR="0041238C" w:rsidRPr="00B10477" w:rsidRDefault="003E3369" w:rsidP="006432A8">
            <w:pPr>
              <w:spacing w:before="80" w:after="80"/>
              <w:rPr>
                <w:rFonts w:eastAsia="SimSun"/>
                <w:b/>
                <w:bCs/>
                <w:color w:val="000000" w:themeColor="text1"/>
                <w:kern w:val="24"/>
                <w:sz w:val="18"/>
                <w:szCs w:val="18"/>
              </w:rPr>
            </w:pPr>
            <w:r w:rsidRPr="00B10477">
              <w:rPr>
                <w:b/>
                <w:bCs/>
                <w:sz w:val="18"/>
                <w:szCs w:val="18"/>
              </w:rPr>
              <w:t xml:space="preserve">Option 1 (a) </w:t>
            </w:r>
            <w:r w:rsidR="001A2884" w:rsidRPr="00B10477">
              <w:rPr>
                <w:b/>
                <w:bCs/>
                <w:sz w:val="18"/>
                <w:szCs w:val="18"/>
              </w:rPr>
              <w:t>(merger)</w:t>
            </w:r>
            <w:r w:rsidRPr="00B10477">
              <w:rPr>
                <w:b/>
                <w:bCs/>
                <w:sz w:val="18"/>
                <w:szCs w:val="18"/>
              </w:rPr>
              <w:t xml:space="preserve"> Merging the secretariat functions of the Minamata Convention into the secretariat of the Basel, Rotterdam and Stockholm conventions, utilizing its current structure (location: Geneva)</w:t>
            </w:r>
          </w:p>
        </w:tc>
      </w:tr>
      <w:tr w:rsidR="0041238C" w:rsidRPr="00B10477" w14:paraId="3EC81E73" w14:textId="77777777" w:rsidTr="006432A8">
        <w:trPr>
          <w:trHeight w:val="268"/>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66B55D1" w14:textId="2B8AA91D"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b/>
                <w:bCs/>
                <w:color w:val="000000" w:themeColor="text1"/>
                <w:kern w:val="24"/>
                <w:sz w:val="18"/>
                <w:szCs w:val="18"/>
              </w:rPr>
              <w:t xml:space="preserve">Executive </w:t>
            </w:r>
            <w:r w:rsidR="005C73B2" w:rsidRPr="00B10477">
              <w:rPr>
                <w:rFonts w:eastAsia="SimSun"/>
                <w:b/>
                <w:bCs/>
                <w:color w:val="000000" w:themeColor="text1"/>
                <w:kern w:val="24"/>
                <w:sz w:val="18"/>
                <w:szCs w:val="18"/>
              </w:rPr>
              <w:t>s</w:t>
            </w:r>
            <w:r w:rsidRPr="00B10477">
              <w:rPr>
                <w:rFonts w:eastAsia="SimSun"/>
                <w:b/>
                <w:bCs/>
                <w:color w:val="000000" w:themeColor="text1"/>
                <w:kern w:val="24"/>
                <w:sz w:val="18"/>
                <w:szCs w:val="18"/>
              </w:rPr>
              <w:t>ervices</w:t>
            </w:r>
          </w:p>
        </w:tc>
      </w:tr>
      <w:tr w:rsidR="0041238C" w:rsidRPr="00B10477" w14:paraId="19F48B49" w14:textId="77777777" w:rsidTr="006432A8">
        <w:trPr>
          <w:trHeight w:val="303"/>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1E44EE5B"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Executive Secretary</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5578E4F6" w14:textId="77777777" w:rsidR="0041238C" w:rsidRPr="00B10477" w:rsidRDefault="0041238C" w:rsidP="0041238C">
            <w:pPr>
              <w:tabs>
                <w:tab w:val="clear" w:pos="1247"/>
                <w:tab w:val="clear" w:pos="1814"/>
                <w:tab w:val="clear" w:pos="2381"/>
                <w:tab w:val="clear" w:pos="2948"/>
                <w:tab w:val="clear" w:pos="3515"/>
              </w:tabs>
              <w:spacing w:line="256" w:lineRule="auto"/>
              <w:jc w:val="center"/>
              <w:textAlignment w:val="baseline"/>
              <w:rPr>
                <w:sz w:val="18"/>
                <w:szCs w:val="18"/>
              </w:rPr>
            </w:pPr>
            <w:r w:rsidRPr="00B10477">
              <w:rPr>
                <w:rFonts w:eastAsia="SimSun"/>
                <w:color w:val="000000" w:themeColor="text1"/>
                <w:kern w:val="24"/>
                <w:sz w:val="18"/>
                <w:szCs w:val="18"/>
              </w:rPr>
              <w:t>20% of D-2</w:t>
            </w:r>
          </w:p>
        </w:tc>
      </w:tr>
      <w:tr w:rsidR="0041238C" w:rsidRPr="00B10477" w14:paraId="20B0ABD7" w14:textId="77777777" w:rsidTr="006432A8">
        <w:trPr>
          <w:trHeight w:val="210"/>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559021CC"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Deputy Executive Secretary</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156D6461" w14:textId="77777777" w:rsidR="0041238C" w:rsidRPr="00B10477" w:rsidRDefault="0041238C" w:rsidP="0041238C">
            <w:pPr>
              <w:tabs>
                <w:tab w:val="clear" w:pos="1247"/>
                <w:tab w:val="clear" w:pos="1814"/>
                <w:tab w:val="clear" w:pos="2381"/>
                <w:tab w:val="clear" w:pos="2948"/>
                <w:tab w:val="clear" w:pos="3515"/>
              </w:tabs>
              <w:spacing w:line="256" w:lineRule="auto"/>
              <w:jc w:val="center"/>
              <w:textAlignment w:val="baseline"/>
              <w:rPr>
                <w:sz w:val="18"/>
                <w:szCs w:val="18"/>
              </w:rPr>
            </w:pPr>
            <w:r w:rsidRPr="00B10477">
              <w:rPr>
                <w:rFonts w:eastAsia="SimSun"/>
                <w:color w:val="000000" w:themeColor="text1"/>
                <w:kern w:val="24"/>
                <w:sz w:val="18"/>
                <w:szCs w:val="18"/>
              </w:rPr>
              <w:t>20% of D-1</w:t>
            </w:r>
          </w:p>
        </w:tc>
      </w:tr>
      <w:tr w:rsidR="0041238C" w:rsidRPr="00B10477" w14:paraId="6F6D7093" w14:textId="77777777" w:rsidTr="006432A8">
        <w:trPr>
          <w:trHeight w:val="284"/>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34BD1F56"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Other staff</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566803FA" w14:textId="77777777" w:rsidR="0041238C" w:rsidRPr="00B10477" w:rsidRDefault="0041238C" w:rsidP="0041238C">
            <w:pPr>
              <w:tabs>
                <w:tab w:val="clear" w:pos="1247"/>
                <w:tab w:val="clear" w:pos="1814"/>
                <w:tab w:val="clear" w:pos="2381"/>
                <w:tab w:val="clear" w:pos="2948"/>
                <w:tab w:val="clear" w:pos="3515"/>
              </w:tabs>
              <w:spacing w:line="256" w:lineRule="auto"/>
              <w:jc w:val="center"/>
              <w:textAlignment w:val="baseline"/>
              <w:rPr>
                <w:sz w:val="18"/>
                <w:szCs w:val="18"/>
              </w:rPr>
            </w:pPr>
            <w:r w:rsidRPr="00B10477">
              <w:rPr>
                <w:rFonts w:eastAsia="SimSun"/>
                <w:color w:val="000000" w:themeColor="text1"/>
                <w:kern w:val="24"/>
                <w:sz w:val="18"/>
                <w:szCs w:val="18"/>
              </w:rPr>
              <w:t xml:space="preserve">2xP-5, P-4, 2xGS </w:t>
            </w:r>
          </w:p>
        </w:tc>
      </w:tr>
      <w:tr w:rsidR="0041238C" w:rsidRPr="00B10477" w14:paraId="35CEA180" w14:textId="77777777" w:rsidTr="006432A8">
        <w:trPr>
          <w:trHeight w:val="33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5484A0AD"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eastAsia="SimSun"/>
                <w:b/>
                <w:color w:val="000000" w:themeColor="text1"/>
                <w:kern w:val="24"/>
                <w:sz w:val="18"/>
                <w:szCs w:val="18"/>
              </w:rPr>
            </w:pPr>
            <w:r w:rsidRPr="00B10477">
              <w:rPr>
                <w:rFonts w:eastAsia="SimSun"/>
                <w:b/>
                <w:color w:val="000000" w:themeColor="text1"/>
                <w:kern w:val="24"/>
                <w:sz w:val="18"/>
                <w:szCs w:val="18"/>
              </w:rPr>
              <w:t>Posts</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7F14EEA0" w14:textId="0186801D" w:rsidR="0041238C" w:rsidRPr="00B10477" w:rsidRDefault="0041238C" w:rsidP="0041238C">
            <w:pPr>
              <w:tabs>
                <w:tab w:val="clear" w:pos="1247"/>
                <w:tab w:val="clear" w:pos="1814"/>
                <w:tab w:val="clear" w:pos="2381"/>
                <w:tab w:val="clear" w:pos="2948"/>
                <w:tab w:val="clear" w:pos="3515"/>
              </w:tabs>
              <w:jc w:val="center"/>
              <w:textAlignment w:val="baseline"/>
              <w:rPr>
                <w:sz w:val="18"/>
                <w:szCs w:val="18"/>
              </w:rPr>
            </w:pPr>
            <w:r w:rsidRPr="00B10477">
              <w:rPr>
                <w:rFonts w:eastAsia="SimSun"/>
                <w:b/>
                <w:bCs/>
                <w:color w:val="000000" w:themeColor="text1"/>
                <w:kern w:val="24"/>
                <w:sz w:val="18"/>
                <w:szCs w:val="18"/>
              </w:rPr>
              <w:t xml:space="preserve">Current </w:t>
            </w:r>
            <w:r w:rsidR="00B25EB5" w:rsidRPr="00B10477">
              <w:rPr>
                <w:rFonts w:eastAsia="SimSun"/>
                <w:b/>
                <w:bCs/>
                <w:color w:val="000000" w:themeColor="text1"/>
                <w:kern w:val="24"/>
                <w:sz w:val="18"/>
                <w:szCs w:val="18"/>
              </w:rPr>
              <w:t>Basel, Rotterdam and Stockholm</w:t>
            </w:r>
            <w:r w:rsidRPr="00B10477">
              <w:rPr>
                <w:rFonts w:eastAsia="SimSun"/>
                <w:b/>
                <w:bCs/>
                <w:color w:val="000000" w:themeColor="text1"/>
                <w:kern w:val="24"/>
                <w:sz w:val="18"/>
                <w:szCs w:val="18"/>
              </w:rPr>
              <w:t xml:space="preserve"> </w:t>
            </w:r>
            <w:r w:rsidR="001A2884" w:rsidRPr="00B10477">
              <w:rPr>
                <w:rFonts w:eastAsia="SimSun"/>
                <w:b/>
                <w:bCs/>
                <w:color w:val="000000" w:themeColor="text1"/>
                <w:kern w:val="24"/>
                <w:sz w:val="18"/>
                <w:szCs w:val="18"/>
              </w:rPr>
              <w:t xml:space="preserve">convention </w:t>
            </w:r>
            <w:r w:rsidRPr="00B10477">
              <w:rPr>
                <w:rFonts w:eastAsia="SimSun"/>
                <w:b/>
                <w:bCs/>
                <w:color w:val="000000" w:themeColor="text1"/>
                <w:kern w:val="24"/>
                <w:sz w:val="18"/>
                <w:szCs w:val="18"/>
              </w:rPr>
              <w:t>staff</w:t>
            </w:r>
          </w:p>
          <w:p w14:paraId="611371E6" w14:textId="77777777" w:rsidR="0041238C" w:rsidRPr="00B10477" w:rsidRDefault="0041238C" w:rsidP="0041238C">
            <w:pPr>
              <w:tabs>
                <w:tab w:val="clear" w:pos="1247"/>
                <w:tab w:val="clear" w:pos="1814"/>
                <w:tab w:val="clear" w:pos="2381"/>
                <w:tab w:val="clear" w:pos="2948"/>
                <w:tab w:val="clear" w:pos="3515"/>
              </w:tabs>
              <w:spacing w:line="256" w:lineRule="auto"/>
              <w:jc w:val="center"/>
              <w:textAlignment w:val="baseline"/>
              <w:rPr>
                <w:sz w:val="18"/>
                <w:szCs w:val="18"/>
              </w:rPr>
            </w:pPr>
            <w:r w:rsidRPr="00B10477">
              <w:rPr>
                <w:rFonts w:eastAsia="SimSun"/>
                <w:b/>
                <w:bCs/>
                <w:color w:val="000000" w:themeColor="text1"/>
                <w:kern w:val="24"/>
                <w:sz w:val="18"/>
                <w:szCs w:val="18"/>
              </w:rPr>
              <w:t>(approximate average of</w:t>
            </w:r>
          </w:p>
          <w:p w14:paraId="42057579" w14:textId="60D73850" w:rsidR="0041238C" w:rsidRPr="00B10477" w:rsidRDefault="0041238C" w:rsidP="0041238C">
            <w:pPr>
              <w:tabs>
                <w:tab w:val="clear" w:pos="1247"/>
                <w:tab w:val="clear" w:pos="1814"/>
                <w:tab w:val="clear" w:pos="2381"/>
                <w:tab w:val="clear" w:pos="2948"/>
                <w:tab w:val="clear" w:pos="3515"/>
              </w:tabs>
              <w:spacing w:line="256" w:lineRule="auto"/>
              <w:jc w:val="center"/>
              <w:textAlignment w:val="baseline"/>
              <w:rPr>
                <w:rFonts w:eastAsia="SimSun"/>
                <w:color w:val="000000" w:themeColor="text1"/>
                <w:kern w:val="24"/>
                <w:sz w:val="18"/>
                <w:szCs w:val="18"/>
              </w:rPr>
            </w:pPr>
            <w:r w:rsidRPr="00B10477">
              <w:rPr>
                <w:rFonts w:eastAsia="SimSun"/>
                <w:b/>
                <w:bCs/>
                <w:color w:val="000000" w:themeColor="text1"/>
                <w:kern w:val="24"/>
                <w:sz w:val="18"/>
                <w:szCs w:val="18"/>
              </w:rPr>
              <w:t>20% time for M</w:t>
            </w:r>
            <w:r w:rsidR="005C73B2" w:rsidRPr="00B10477">
              <w:rPr>
                <w:rFonts w:eastAsia="SimSun"/>
                <w:b/>
                <w:bCs/>
                <w:color w:val="000000" w:themeColor="text1"/>
                <w:kern w:val="24"/>
                <w:sz w:val="18"/>
                <w:szCs w:val="18"/>
              </w:rPr>
              <w:t xml:space="preserve">inamata </w:t>
            </w:r>
            <w:r w:rsidRPr="00B10477">
              <w:rPr>
                <w:rFonts w:eastAsia="SimSun"/>
                <w:b/>
                <w:bCs/>
                <w:color w:val="000000" w:themeColor="text1"/>
                <w:kern w:val="24"/>
                <w:sz w:val="18"/>
                <w:szCs w:val="18"/>
              </w:rPr>
              <w:t>C</w:t>
            </w:r>
            <w:r w:rsidR="005C73B2" w:rsidRPr="00B10477">
              <w:rPr>
                <w:rFonts w:eastAsia="SimSun"/>
                <w:b/>
                <w:bCs/>
                <w:color w:val="000000" w:themeColor="text1"/>
                <w:kern w:val="24"/>
                <w:sz w:val="18"/>
                <w:szCs w:val="18"/>
              </w:rPr>
              <w:t>onvention</w:t>
            </w:r>
            <w:r w:rsidRPr="00B10477">
              <w:rPr>
                <w:rFonts w:eastAsia="SimSun"/>
                <w:b/>
                <w:bCs/>
                <w:color w:val="000000" w:themeColor="text1"/>
                <w:kern w:val="24"/>
                <w:sz w:val="18"/>
                <w:szCs w:val="18"/>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66787287" w14:textId="77777777" w:rsidR="0041238C" w:rsidRPr="00B10477" w:rsidRDefault="0041238C" w:rsidP="0041238C">
            <w:pPr>
              <w:tabs>
                <w:tab w:val="clear" w:pos="1247"/>
                <w:tab w:val="clear" w:pos="1814"/>
                <w:tab w:val="clear" w:pos="2381"/>
                <w:tab w:val="clear" w:pos="2948"/>
                <w:tab w:val="clear" w:pos="3515"/>
              </w:tabs>
              <w:jc w:val="center"/>
              <w:rPr>
                <w:rFonts w:eastAsia="SimSun"/>
                <w:color w:val="000000" w:themeColor="text1"/>
                <w:kern w:val="24"/>
                <w:sz w:val="18"/>
                <w:szCs w:val="18"/>
              </w:rPr>
            </w:pPr>
            <w:r w:rsidRPr="00B10477">
              <w:rPr>
                <w:rFonts w:eastAsia="SimSun"/>
                <w:b/>
                <w:bCs/>
                <w:color w:val="000000" w:themeColor="text1"/>
                <w:kern w:val="24"/>
                <w:sz w:val="18"/>
                <w:szCs w:val="18"/>
              </w:rPr>
              <w:t>Additional staff</w:t>
            </w:r>
          </w:p>
        </w:tc>
      </w:tr>
      <w:tr w:rsidR="0041238C" w:rsidRPr="00B10477" w14:paraId="167B7FAF" w14:textId="77777777" w:rsidTr="006432A8">
        <w:trPr>
          <w:trHeight w:val="33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53167A06" w14:textId="1FED87B4"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eastAsia="SimSun"/>
                <w:color w:val="000000" w:themeColor="text1"/>
                <w:kern w:val="24"/>
                <w:sz w:val="18"/>
                <w:szCs w:val="18"/>
              </w:rPr>
              <w:t xml:space="preserve">Scientific </w:t>
            </w:r>
            <w:r w:rsidR="005C73B2" w:rsidRPr="00B10477">
              <w:rPr>
                <w:rFonts w:eastAsia="SimSun"/>
                <w:color w:val="000000" w:themeColor="text1"/>
                <w:kern w:val="24"/>
                <w:sz w:val="18"/>
                <w:szCs w:val="18"/>
              </w:rPr>
              <w:t>s</w:t>
            </w:r>
            <w:r w:rsidRPr="00B10477">
              <w:rPr>
                <w:rFonts w:eastAsia="SimSun"/>
                <w:color w:val="000000" w:themeColor="text1"/>
                <w:kern w:val="24"/>
                <w:sz w:val="18"/>
                <w:szCs w:val="18"/>
              </w:rPr>
              <w:t>upport</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20541FCF"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eastAsia="SimSun"/>
                <w:color w:val="000000" w:themeColor="text1"/>
                <w:kern w:val="24"/>
                <w:sz w:val="18"/>
                <w:szCs w:val="18"/>
              </w:rPr>
              <w:t xml:space="preserve">P-5, 2.5xP-4, 4xP-3, P2,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565503B1" w14:textId="77777777" w:rsidR="0041238C" w:rsidRPr="00B10477" w:rsidRDefault="0041238C" w:rsidP="0041238C">
            <w:pPr>
              <w:tabs>
                <w:tab w:val="clear" w:pos="1247"/>
                <w:tab w:val="clear" w:pos="1814"/>
                <w:tab w:val="clear" w:pos="2381"/>
                <w:tab w:val="clear" w:pos="2948"/>
                <w:tab w:val="clear" w:pos="3515"/>
              </w:tabs>
              <w:rPr>
                <w:color w:val="000000" w:themeColor="text1"/>
                <w:kern w:val="24"/>
                <w:sz w:val="18"/>
                <w:szCs w:val="18"/>
              </w:rPr>
            </w:pPr>
            <w:r w:rsidRPr="00B10477">
              <w:rPr>
                <w:rFonts w:eastAsia="SimSun"/>
                <w:color w:val="000000" w:themeColor="text1"/>
                <w:kern w:val="24"/>
                <w:sz w:val="18"/>
                <w:szCs w:val="18"/>
              </w:rPr>
              <w:t>P-4, P-3</w:t>
            </w:r>
          </w:p>
        </w:tc>
      </w:tr>
      <w:tr w:rsidR="0041238C" w:rsidRPr="00B10477" w14:paraId="722FF727" w14:textId="77777777" w:rsidTr="006432A8">
        <w:trPr>
          <w:trHeight w:val="48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1ADE2302" w14:textId="0821F505" w:rsidR="0041238C" w:rsidRPr="00B10477" w:rsidDel="005315C2"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eastAsia="SimSun"/>
                <w:color w:val="000000" w:themeColor="text1"/>
                <w:kern w:val="24"/>
                <w:sz w:val="18"/>
                <w:szCs w:val="18"/>
              </w:rPr>
              <w:t>Capacity</w:t>
            </w:r>
            <w:r w:rsidR="005C73B2" w:rsidRPr="00B10477">
              <w:rPr>
                <w:rFonts w:eastAsia="SimSun"/>
                <w:color w:val="000000" w:themeColor="text1"/>
                <w:kern w:val="24"/>
                <w:sz w:val="18"/>
                <w:szCs w:val="18"/>
              </w:rPr>
              <w:t>-b</w:t>
            </w:r>
            <w:r w:rsidRPr="00B10477">
              <w:rPr>
                <w:rFonts w:eastAsia="SimSun"/>
                <w:color w:val="000000" w:themeColor="text1"/>
                <w:kern w:val="24"/>
                <w:sz w:val="18"/>
                <w:szCs w:val="18"/>
              </w:rPr>
              <w:t xml:space="preserve">uilding and </w:t>
            </w:r>
            <w:r w:rsidR="005C73B2" w:rsidRPr="00B10477">
              <w:rPr>
                <w:rFonts w:eastAsia="SimSun"/>
                <w:color w:val="000000" w:themeColor="text1"/>
                <w:kern w:val="24"/>
                <w:sz w:val="18"/>
                <w:szCs w:val="18"/>
              </w:rPr>
              <w:t>t</w:t>
            </w:r>
            <w:r w:rsidRPr="00B10477">
              <w:rPr>
                <w:rFonts w:eastAsia="SimSun"/>
                <w:color w:val="000000" w:themeColor="text1"/>
                <w:kern w:val="24"/>
                <w:sz w:val="18"/>
                <w:szCs w:val="18"/>
              </w:rPr>
              <w:t xml:space="preserve">echnical assistance </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56F1D3AD"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eastAsia="SimSun"/>
                <w:color w:val="000000" w:themeColor="text1"/>
                <w:kern w:val="24"/>
                <w:sz w:val="18"/>
                <w:szCs w:val="18"/>
              </w:rPr>
              <w:t>2xP-5, 2xP-4, 3xP-3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1652666C" w14:textId="77777777" w:rsidR="0041238C" w:rsidRPr="00B10477" w:rsidDel="00600D0B" w:rsidRDefault="0041238C" w:rsidP="0041238C">
            <w:pPr>
              <w:tabs>
                <w:tab w:val="clear" w:pos="1247"/>
                <w:tab w:val="clear" w:pos="1814"/>
                <w:tab w:val="clear" w:pos="2381"/>
                <w:tab w:val="clear" w:pos="2948"/>
                <w:tab w:val="clear" w:pos="3515"/>
              </w:tabs>
              <w:rPr>
                <w:color w:val="000000" w:themeColor="text1"/>
                <w:kern w:val="24"/>
                <w:sz w:val="18"/>
                <w:szCs w:val="18"/>
              </w:rPr>
            </w:pPr>
            <w:r w:rsidRPr="00B10477">
              <w:rPr>
                <w:color w:val="000000" w:themeColor="text1"/>
                <w:kern w:val="24"/>
                <w:sz w:val="18"/>
                <w:szCs w:val="18"/>
              </w:rPr>
              <w:t xml:space="preserve">P-4, </w:t>
            </w:r>
            <w:r w:rsidRPr="00B10477">
              <w:rPr>
                <w:rFonts w:eastAsia="SimSun"/>
                <w:color w:val="000000" w:themeColor="text1"/>
                <w:kern w:val="24"/>
                <w:sz w:val="18"/>
                <w:szCs w:val="18"/>
              </w:rPr>
              <w:t>P-3</w:t>
            </w:r>
          </w:p>
        </w:tc>
      </w:tr>
      <w:tr w:rsidR="0041238C" w:rsidRPr="00B10477" w14:paraId="5F196704" w14:textId="77777777" w:rsidTr="006432A8">
        <w:trPr>
          <w:trHeight w:val="332"/>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35297CAB"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 xml:space="preserve">Conference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13A07C5F" w14:textId="252E5410"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P-5, 0.5xP-4, 5xP</w:t>
            </w:r>
            <w:r w:rsidR="00385F0A" w:rsidRPr="00B10477">
              <w:rPr>
                <w:rFonts w:eastAsia="SimSun"/>
                <w:color w:val="000000" w:themeColor="text1"/>
                <w:kern w:val="24"/>
                <w:sz w:val="18"/>
                <w:szCs w:val="18"/>
              </w:rPr>
              <w:t>-</w:t>
            </w:r>
            <w:r w:rsidRPr="00B10477">
              <w:rPr>
                <w:rFonts w:eastAsia="SimSun"/>
                <w:color w:val="000000" w:themeColor="text1"/>
                <w:kern w:val="24"/>
                <w:sz w:val="18"/>
                <w:szCs w:val="18"/>
              </w:rPr>
              <w:t>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0ED01099" w14:textId="77777777" w:rsidR="0041238C" w:rsidRPr="00B10477" w:rsidRDefault="0041238C" w:rsidP="0041238C">
            <w:pPr>
              <w:tabs>
                <w:tab w:val="clear" w:pos="1247"/>
                <w:tab w:val="clear" w:pos="1814"/>
                <w:tab w:val="clear" w:pos="2381"/>
                <w:tab w:val="clear" w:pos="2948"/>
                <w:tab w:val="clear" w:pos="3515"/>
              </w:tabs>
              <w:rPr>
                <w:sz w:val="18"/>
                <w:szCs w:val="18"/>
              </w:rPr>
            </w:pPr>
            <w:r w:rsidRPr="00B10477">
              <w:rPr>
                <w:color w:val="000000" w:themeColor="text1"/>
                <w:kern w:val="24"/>
                <w:sz w:val="18"/>
                <w:szCs w:val="18"/>
              </w:rPr>
              <w:t>P-3</w:t>
            </w:r>
          </w:p>
        </w:tc>
      </w:tr>
      <w:tr w:rsidR="0041238C" w:rsidRPr="00B10477" w14:paraId="19C8C95F" w14:textId="77777777" w:rsidTr="006432A8">
        <w:trPr>
          <w:trHeight w:val="210"/>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6C91EF73" w14:textId="19C1883A"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 xml:space="preserve">Legal </w:t>
            </w:r>
            <w:r w:rsidR="005C73B2" w:rsidRPr="00B10477">
              <w:rPr>
                <w:rFonts w:eastAsia="SimSun"/>
                <w:color w:val="000000" w:themeColor="text1"/>
                <w:kern w:val="24"/>
                <w:sz w:val="18"/>
                <w:szCs w:val="18"/>
              </w:rPr>
              <w:t>s</w:t>
            </w:r>
            <w:r w:rsidRPr="00B10477">
              <w:rPr>
                <w:rFonts w:eastAsia="SimSun"/>
                <w:color w:val="000000" w:themeColor="text1"/>
                <w:kern w:val="24"/>
                <w:sz w:val="18"/>
                <w:szCs w:val="18"/>
              </w:rPr>
              <w:t>upport</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359BF74E"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P-4, 2xP-3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3B6B2DCC" w14:textId="7B225EC6"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0.5xP-3</w:t>
            </w:r>
          </w:p>
        </w:tc>
      </w:tr>
      <w:tr w:rsidR="0041238C" w:rsidRPr="00B10477" w14:paraId="5B6C80DB" w14:textId="77777777" w:rsidTr="006432A8">
        <w:trPr>
          <w:trHeight w:val="504"/>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46E20852" w14:textId="170E3515"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asciiTheme="majorBidi" w:hAnsiTheme="majorBidi" w:cstheme="majorBidi"/>
                <w:sz w:val="18"/>
                <w:szCs w:val="18"/>
              </w:rPr>
              <w:t xml:space="preserve">Knowledge </w:t>
            </w:r>
            <w:r w:rsidR="005C73B2" w:rsidRPr="00B10477">
              <w:rPr>
                <w:rFonts w:asciiTheme="majorBidi" w:hAnsiTheme="majorBidi" w:cstheme="majorBidi"/>
                <w:sz w:val="18"/>
                <w:szCs w:val="18"/>
              </w:rPr>
              <w:t>m</w:t>
            </w:r>
            <w:r w:rsidRPr="00B10477">
              <w:rPr>
                <w:rFonts w:asciiTheme="majorBidi" w:hAnsiTheme="majorBidi" w:cstheme="majorBidi"/>
                <w:sz w:val="18"/>
                <w:szCs w:val="18"/>
              </w:rPr>
              <w:t xml:space="preserve">anagement, </w:t>
            </w:r>
            <w:r w:rsidR="005C73B2" w:rsidRPr="00B10477">
              <w:rPr>
                <w:rFonts w:asciiTheme="majorBidi" w:hAnsiTheme="majorBidi" w:cstheme="majorBidi"/>
                <w:sz w:val="18"/>
                <w:szCs w:val="18"/>
              </w:rPr>
              <w:t>o</w:t>
            </w:r>
            <w:r w:rsidRPr="00B10477">
              <w:rPr>
                <w:rFonts w:asciiTheme="majorBidi" w:hAnsiTheme="majorBidi" w:cstheme="majorBidi"/>
                <w:sz w:val="18"/>
                <w:szCs w:val="18"/>
              </w:rPr>
              <w:t xml:space="preserve">utreach and </w:t>
            </w:r>
            <w:r w:rsidR="005C73B2" w:rsidRPr="00B10477">
              <w:rPr>
                <w:rFonts w:asciiTheme="majorBidi" w:hAnsiTheme="majorBidi" w:cstheme="majorBidi"/>
                <w:sz w:val="18"/>
                <w:szCs w:val="18"/>
              </w:rPr>
              <w:t>i</w:t>
            </w:r>
            <w:r w:rsidRPr="00B10477">
              <w:rPr>
                <w:rFonts w:asciiTheme="majorBidi" w:hAnsiTheme="majorBidi" w:cstheme="majorBidi"/>
                <w:sz w:val="18"/>
                <w:szCs w:val="18"/>
              </w:rPr>
              <w:t xml:space="preserve">nformation </w:t>
            </w:r>
            <w:r w:rsidR="005C73B2" w:rsidRPr="00B10477">
              <w:rPr>
                <w:rFonts w:asciiTheme="majorBidi" w:hAnsiTheme="majorBidi" w:cstheme="majorBidi"/>
                <w:sz w:val="18"/>
                <w:szCs w:val="18"/>
              </w:rPr>
              <w:t>t</w:t>
            </w:r>
            <w:r w:rsidRPr="00B10477">
              <w:rPr>
                <w:rFonts w:asciiTheme="majorBidi" w:hAnsiTheme="majorBidi" w:cstheme="majorBidi"/>
                <w:sz w:val="18"/>
                <w:szCs w:val="18"/>
              </w:rPr>
              <w:t xml:space="preserve">echnology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6865FE37"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P-5, 2xP-3, P-2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2BD66850"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sz w:val="18"/>
                <w:szCs w:val="18"/>
              </w:rPr>
            </w:pPr>
            <w:r w:rsidRPr="00B10477">
              <w:rPr>
                <w:rFonts w:eastAsia="SimSun"/>
                <w:color w:val="000000" w:themeColor="text1"/>
                <w:kern w:val="24"/>
                <w:sz w:val="18"/>
                <w:szCs w:val="18"/>
              </w:rPr>
              <w:t>P-3</w:t>
            </w:r>
          </w:p>
        </w:tc>
      </w:tr>
      <w:tr w:rsidR="0041238C" w:rsidRPr="00B10477" w14:paraId="0E5F9F53" w14:textId="77777777" w:rsidTr="006432A8">
        <w:trPr>
          <w:trHeight w:val="166"/>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6C982972"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asciiTheme="majorBidi" w:hAnsiTheme="majorBidi" w:cstheme="majorBidi"/>
                <w:sz w:val="18"/>
                <w:szCs w:val="18"/>
              </w:rPr>
            </w:pPr>
            <w:r w:rsidRPr="00B10477">
              <w:rPr>
                <w:rFonts w:asciiTheme="majorBidi" w:hAnsiTheme="majorBidi" w:cstheme="majorBidi"/>
                <w:sz w:val="18"/>
                <w:szCs w:val="18"/>
              </w:rPr>
              <w:t>Other staff</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247AFD17"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eastAsia="SimSun"/>
                <w:color w:val="000000" w:themeColor="text1"/>
                <w:kern w:val="24"/>
                <w:sz w:val="18"/>
                <w:szCs w:val="18"/>
              </w:rPr>
              <w:t>10xGS</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1D4C2CCE" w14:textId="709ACE15"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eastAsia="SimSun"/>
                <w:color w:val="000000" w:themeColor="text1"/>
                <w:kern w:val="24"/>
                <w:sz w:val="18"/>
                <w:szCs w:val="18"/>
              </w:rPr>
              <w:t>4xGS</w:t>
            </w:r>
          </w:p>
        </w:tc>
      </w:tr>
      <w:tr w:rsidR="0041238C" w:rsidRPr="00B10477" w14:paraId="0B97DF84" w14:textId="77777777" w:rsidTr="006432A8">
        <w:trPr>
          <w:trHeight w:val="166"/>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056FE762" w14:textId="77777777" w:rsidR="0041238C" w:rsidRPr="00B10477" w:rsidRDefault="0041238C" w:rsidP="0041238C">
            <w:pPr>
              <w:rPr>
                <w:rFonts w:asciiTheme="majorBidi" w:hAnsiTheme="majorBidi" w:cstheme="majorBidi"/>
                <w:b/>
                <w:bCs/>
                <w:sz w:val="18"/>
                <w:szCs w:val="18"/>
              </w:rPr>
            </w:pPr>
            <w:r w:rsidRPr="00B10477">
              <w:rPr>
                <w:rFonts w:asciiTheme="majorBidi" w:hAnsiTheme="majorBidi" w:cstheme="majorBidi"/>
                <w:b/>
                <w:bCs/>
                <w:sz w:val="18"/>
                <w:szCs w:val="18"/>
              </w:rPr>
              <w:t>Administrative support through programme support costs:</w:t>
            </w:r>
          </w:p>
          <w:p w14:paraId="310C3EDE" w14:textId="0F22401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 xml:space="preserve">Administrative and Fund Management Officer </w:t>
            </w:r>
          </w:p>
          <w:p w14:paraId="3DD4A131" w14:textId="1717378E" w:rsidR="0041238C" w:rsidRPr="00B10477" w:rsidRDefault="0041238C" w:rsidP="006D523F">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asciiTheme="majorBidi" w:hAnsiTheme="majorBidi" w:cstheme="majorBidi"/>
                <w:sz w:val="18"/>
                <w:szCs w:val="18"/>
              </w:rPr>
              <w:t>1x General S</w:t>
            </w:r>
            <w:r w:rsidR="00541C22" w:rsidRPr="00B10477">
              <w:rPr>
                <w:rFonts w:asciiTheme="majorBidi" w:hAnsiTheme="majorBidi" w:cstheme="majorBidi"/>
                <w:sz w:val="18"/>
                <w:szCs w:val="18"/>
              </w:rPr>
              <w:t>ervice s</w:t>
            </w:r>
            <w:r w:rsidRPr="00B10477">
              <w:rPr>
                <w:rFonts w:asciiTheme="majorBidi" w:hAnsiTheme="majorBidi" w:cstheme="majorBidi"/>
                <w:sz w:val="18"/>
                <w:szCs w:val="18"/>
              </w:rPr>
              <w:t>taff</w:t>
            </w:r>
            <w:r w:rsidR="00E67A13" w:rsidRPr="00B10477">
              <w:rPr>
                <w:rFonts w:asciiTheme="majorBidi" w:hAnsiTheme="majorBidi" w:cstheme="majorBidi"/>
                <w:sz w:val="18"/>
                <w:szCs w:val="18"/>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2138A6C6" w14:textId="77777777" w:rsidR="0041238C" w:rsidRPr="00B10477" w:rsidRDefault="0041238C" w:rsidP="0041238C">
            <w:pPr>
              <w:rPr>
                <w:rFonts w:asciiTheme="majorBidi" w:hAnsiTheme="majorBidi" w:cstheme="majorBidi"/>
                <w:sz w:val="18"/>
                <w:szCs w:val="18"/>
              </w:rPr>
            </w:pPr>
          </w:p>
          <w:p w14:paraId="1562C8D5"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P-3</w:t>
            </w:r>
          </w:p>
          <w:p w14:paraId="09BF5120" w14:textId="77777777" w:rsidR="0041238C" w:rsidRPr="00B10477"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10477">
              <w:rPr>
                <w:rFonts w:asciiTheme="majorBidi" w:hAnsiTheme="majorBidi" w:cstheme="majorBidi"/>
                <w:sz w:val="18"/>
                <w:szCs w:val="18"/>
              </w:rPr>
              <w:t>1xGS</w:t>
            </w:r>
          </w:p>
        </w:tc>
      </w:tr>
    </w:tbl>
    <w:p w14:paraId="46A62EDC" w14:textId="58A2E977" w:rsidR="0041238C" w:rsidRPr="007E304A" w:rsidRDefault="0041238C" w:rsidP="006432A8">
      <w:pPr>
        <w:pStyle w:val="Normal-pool"/>
        <w:keepNext/>
        <w:keepLines/>
        <w:spacing w:before="240" w:after="120"/>
        <w:ind w:left="1247"/>
        <w:rPr>
          <w:b/>
        </w:rPr>
      </w:pPr>
      <w:r w:rsidRPr="006432A8">
        <w:t xml:space="preserve">Table </w:t>
      </w:r>
      <w:r w:rsidR="00F01920" w:rsidRPr="006432A8">
        <w:t>2</w:t>
      </w:r>
    </w:p>
    <w:tbl>
      <w:tblPr>
        <w:tblStyle w:val="TableGrid"/>
        <w:tblW w:w="0" w:type="auto"/>
        <w:tblInd w:w="1385" w:type="dxa"/>
        <w:tblLook w:val="04A0" w:firstRow="1" w:lastRow="0" w:firstColumn="1" w:lastColumn="0" w:noHBand="0" w:noVBand="1"/>
      </w:tblPr>
      <w:tblGrid>
        <w:gridCol w:w="5670"/>
        <w:gridCol w:w="2551"/>
      </w:tblGrid>
      <w:tr w:rsidR="0041238C" w:rsidRPr="00B10477" w14:paraId="264A0D8B" w14:textId="77777777" w:rsidTr="00BE71F1">
        <w:tc>
          <w:tcPr>
            <w:tcW w:w="8221" w:type="dxa"/>
            <w:gridSpan w:val="2"/>
            <w:shd w:val="clear" w:color="auto" w:fill="auto"/>
          </w:tcPr>
          <w:p w14:paraId="2AD41C2F" w14:textId="7DE0FB14" w:rsidR="0041238C" w:rsidRPr="00B10477" w:rsidRDefault="003E3369" w:rsidP="006432A8">
            <w:pPr>
              <w:keepNext/>
              <w:keepLines/>
              <w:spacing w:before="80" w:after="80"/>
              <w:rPr>
                <w:rFonts w:asciiTheme="majorBidi" w:hAnsiTheme="majorBidi" w:cstheme="majorBidi"/>
                <w:sz w:val="18"/>
                <w:szCs w:val="18"/>
              </w:rPr>
            </w:pPr>
            <w:r w:rsidRPr="00B10477">
              <w:rPr>
                <w:b/>
                <w:sz w:val="18"/>
                <w:szCs w:val="18"/>
              </w:rPr>
              <w:t xml:space="preserve">Option 1 (b) </w:t>
            </w:r>
            <w:r w:rsidR="001A2884" w:rsidRPr="00B10477">
              <w:rPr>
                <w:b/>
                <w:sz w:val="18"/>
                <w:szCs w:val="18"/>
              </w:rPr>
              <w:t>(branch)</w:t>
            </w:r>
            <w:r w:rsidRPr="00B10477">
              <w:rPr>
                <w:b/>
                <w:sz w:val="18"/>
                <w:szCs w:val="18"/>
              </w:rPr>
              <w:t xml:space="preserve">: Merging the secretariat of the Minamata Convention </w:t>
            </w:r>
            <w:r w:rsidR="000F61F1" w:rsidRPr="00B10477">
              <w:rPr>
                <w:b/>
                <w:sz w:val="18"/>
                <w:szCs w:val="18"/>
              </w:rPr>
              <w:t xml:space="preserve">into </w:t>
            </w:r>
            <w:r w:rsidRPr="00B10477">
              <w:rPr>
                <w:b/>
                <w:sz w:val="18"/>
                <w:szCs w:val="18"/>
              </w:rPr>
              <w:t>the secretariat of the Basel, Rotterdam and Stockholm conventions by creating, in the interim, a Minamata Convention branch (location: Geneva).</w:t>
            </w:r>
          </w:p>
        </w:tc>
      </w:tr>
      <w:tr w:rsidR="0041238C" w:rsidRPr="00B10477" w14:paraId="62ADF985" w14:textId="77777777" w:rsidTr="00BE71F1">
        <w:tc>
          <w:tcPr>
            <w:tcW w:w="8221" w:type="dxa"/>
            <w:gridSpan w:val="2"/>
          </w:tcPr>
          <w:p w14:paraId="01F65881" w14:textId="0A317CD3" w:rsidR="0041238C" w:rsidRPr="00B10477" w:rsidRDefault="0041238C" w:rsidP="00884409">
            <w:pPr>
              <w:keepNext/>
              <w:keepLines/>
              <w:spacing w:before="40"/>
              <w:rPr>
                <w:rFonts w:asciiTheme="majorBidi" w:hAnsiTheme="majorBidi" w:cstheme="majorBidi"/>
                <w:b/>
                <w:bCs/>
                <w:sz w:val="18"/>
                <w:szCs w:val="18"/>
                <w:lang w:eastAsia="zh-TW"/>
              </w:rPr>
            </w:pPr>
            <w:r w:rsidRPr="00B10477">
              <w:rPr>
                <w:rFonts w:asciiTheme="majorBidi" w:hAnsiTheme="majorBidi" w:cstheme="majorBidi"/>
                <w:b/>
                <w:bCs/>
                <w:sz w:val="18"/>
                <w:szCs w:val="18"/>
                <w:lang w:eastAsia="zh-TW"/>
              </w:rPr>
              <w:t xml:space="preserve">Executive </w:t>
            </w:r>
            <w:r w:rsidR="005C73B2" w:rsidRPr="00B10477">
              <w:rPr>
                <w:rFonts w:asciiTheme="majorBidi" w:hAnsiTheme="majorBidi" w:cstheme="majorBidi"/>
                <w:b/>
                <w:bCs/>
                <w:sz w:val="18"/>
                <w:szCs w:val="18"/>
                <w:lang w:eastAsia="zh-TW"/>
              </w:rPr>
              <w:t>s</w:t>
            </w:r>
            <w:r w:rsidRPr="00B10477">
              <w:rPr>
                <w:rFonts w:asciiTheme="majorBidi" w:hAnsiTheme="majorBidi" w:cstheme="majorBidi"/>
                <w:b/>
                <w:bCs/>
                <w:sz w:val="18"/>
                <w:szCs w:val="18"/>
                <w:lang w:eastAsia="zh-TW"/>
              </w:rPr>
              <w:t>ervices</w:t>
            </w:r>
          </w:p>
        </w:tc>
      </w:tr>
      <w:tr w:rsidR="0041238C" w:rsidRPr="00B10477" w14:paraId="66DE2B24" w14:textId="77777777" w:rsidTr="00BE71F1">
        <w:tc>
          <w:tcPr>
            <w:tcW w:w="5670" w:type="dxa"/>
            <w:tcBorders>
              <w:right w:val="single" w:sz="4" w:space="0" w:color="auto"/>
            </w:tcBorders>
          </w:tcPr>
          <w:p w14:paraId="474A470C" w14:textId="77777777"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 xml:space="preserve">Executive Secretary </w:t>
            </w:r>
          </w:p>
        </w:tc>
        <w:tc>
          <w:tcPr>
            <w:tcW w:w="2551" w:type="dxa"/>
            <w:tcBorders>
              <w:top w:val="nil"/>
              <w:left w:val="single" w:sz="4" w:space="0" w:color="auto"/>
              <w:bottom w:val="nil"/>
              <w:right w:val="single" w:sz="4" w:space="0" w:color="auto"/>
            </w:tcBorders>
            <w:shd w:val="clear" w:color="auto" w:fill="auto"/>
          </w:tcPr>
          <w:p w14:paraId="07947F24"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40% of D-2</w:t>
            </w:r>
          </w:p>
        </w:tc>
      </w:tr>
      <w:tr w:rsidR="0041238C" w:rsidRPr="00B10477" w14:paraId="62CCB91E" w14:textId="77777777" w:rsidTr="00BE71F1">
        <w:tc>
          <w:tcPr>
            <w:tcW w:w="5670" w:type="dxa"/>
          </w:tcPr>
          <w:p w14:paraId="742A0494" w14:textId="77777777"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Deputy Executive Secretary</w:t>
            </w:r>
          </w:p>
        </w:tc>
        <w:tc>
          <w:tcPr>
            <w:tcW w:w="2551" w:type="dxa"/>
          </w:tcPr>
          <w:p w14:paraId="0AFE8F50"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20% of D-1</w:t>
            </w:r>
          </w:p>
        </w:tc>
      </w:tr>
      <w:tr w:rsidR="0041238C" w:rsidRPr="00B10477" w14:paraId="3A64A2A2" w14:textId="77777777" w:rsidTr="00BE71F1">
        <w:tc>
          <w:tcPr>
            <w:tcW w:w="8221" w:type="dxa"/>
            <w:gridSpan w:val="2"/>
            <w:shd w:val="clear" w:color="auto" w:fill="auto"/>
          </w:tcPr>
          <w:p w14:paraId="1C8877B2" w14:textId="278E659F" w:rsidR="0041238C" w:rsidRPr="00B10477" w:rsidRDefault="00BA0C83" w:rsidP="00884409">
            <w:pPr>
              <w:keepNext/>
              <w:keepLines/>
              <w:spacing w:before="80" w:after="80"/>
              <w:jc w:val="center"/>
              <w:rPr>
                <w:rFonts w:asciiTheme="majorBidi" w:hAnsiTheme="majorBidi" w:cstheme="majorBidi"/>
                <w:b/>
                <w:bCs/>
                <w:sz w:val="18"/>
                <w:szCs w:val="18"/>
              </w:rPr>
            </w:pPr>
            <w:r w:rsidRPr="00B10477">
              <w:rPr>
                <w:rFonts w:eastAsia="SimSun"/>
                <w:b/>
                <w:bCs/>
                <w:color w:val="000000" w:themeColor="text1"/>
                <w:kern w:val="24"/>
                <w:sz w:val="18"/>
                <w:szCs w:val="18"/>
              </w:rPr>
              <w:t>Minamata Convention branch</w:t>
            </w:r>
            <w:r w:rsidR="0041238C" w:rsidRPr="00B10477">
              <w:rPr>
                <w:rFonts w:eastAsia="SimSun"/>
                <w:b/>
                <w:bCs/>
                <w:color w:val="000000" w:themeColor="text1"/>
                <w:kern w:val="24"/>
                <w:sz w:val="18"/>
                <w:szCs w:val="18"/>
              </w:rPr>
              <w:t xml:space="preserve"> </w:t>
            </w:r>
          </w:p>
        </w:tc>
      </w:tr>
      <w:tr w:rsidR="0041238C" w:rsidRPr="00B10477" w14:paraId="6BD3B794" w14:textId="77777777" w:rsidTr="00BE71F1">
        <w:tc>
          <w:tcPr>
            <w:tcW w:w="5670" w:type="dxa"/>
          </w:tcPr>
          <w:p w14:paraId="41BFF8D1" w14:textId="77777777"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Minamata Branch Chief</w:t>
            </w:r>
          </w:p>
        </w:tc>
        <w:tc>
          <w:tcPr>
            <w:tcW w:w="2551" w:type="dxa"/>
          </w:tcPr>
          <w:p w14:paraId="7CB94D34"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D-1</w:t>
            </w:r>
          </w:p>
        </w:tc>
      </w:tr>
      <w:tr w:rsidR="0041238C" w:rsidRPr="00B10477" w14:paraId="7B855E13" w14:textId="77777777" w:rsidTr="00BE71F1">
        <w:tc>
          <w:tcPr>
            <w:tcW w:w="5670" w:type="dxa"/>
          </w:tcPr>
          <w:p w14:paraId="343693FD" w14:textId="77777777"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 xml:space="preserve">Science </w:t>
            </w:r>
          </w:p>
        </w:tc>
        <w:tc>
          <w:tcPr>
            <w:tcW w:w="2551" w:type="dxa"/>
          </w:tcPr>
          <w:p w14:paraId="2CD8280E"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P-4</w:t>
            </w:r>
          </w:p>
        </w:tc>
      </w:tr>
      <w:tr w:rsidR="0041238C" w:rsidRPr="00B10477" w14:paraId="7F670C08" w14:textId="77777777" w:rsidTr="00BE71F1">
        <w:tc>
          <w:tcPr>
            <w:tcW w:w="5670" w:type="dxa"/>
          </w:tcPr>
          <w:p w14:paraId="4676F98F" w14:textId="77777777"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 xml:space="preserve">Technical and science </w:t>
            </w:r>
          </w:p>
        </w:tc>
        <w:tc>
          <w:tcPr>
            <w:tcW w:w="2551" w:type="dxa"/>
          </w:tcPr>
          <w:p w14:paraId="5D50CA20"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P-3</w:t>
            </w:r>
          </w:p>
        </w:tc>
      </w:tr>
      <w:tr w:rsidR="0041238C" w:rsidRPr="00B10477" w14:paraId="554C552A" w14:textId="77777777" w:rsidTr="00BE71F1">
        <w:tc>
          <w:tcPr>
            <w:tcW w:w="5670" w:type="dxa"/>
          </w:tcPr>
          <w:p w14:paraId="2F458A04" w14:textId="1CDD5CBB"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Technical assistance and capacity-building</w:t>
            </w:r>
            <w:r w:rsidR="00E67A13" w:rsidRPr="00B10477">
              <w:rPr>
                <w:rFonts w:asciiTheme="majorBidi" w:hAnsiTheme="majorBidi" w:cstheme="majorBidi"/>
                <w:sz w:val="18"/>
                <w:szCs w:val="18"/>
              </w:rPr>
              <w:t xml:space="preserve"> </w:t>
            </w:r>
          </w:p>
        </w:tc>
        <w:tc>
          <w:tcPr>
            <w:tcW w:w="2551" w:type="dxa"/>
          </w:tcPr>
          <w:p w14:paraId="19CC7FB7"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P-3</w:t>
            </w:r>
          </w:p>
        </w:tc>
      </w:tr>
      <w:tr w:rsidR="0041238C" w:rsidRPr="00B10477" w14:paraId="625913A8" w14:textId="77777777" w:rsidTr="00BE71F1">
        <w:tc>
          <w:tcPr>
            <w:tcW w:w="5670" w:type="dxa"/>
          </w:tcPr>
          <w:p w14:paraId="6C6C033F" w14:textId="77777777"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 xml:space="preserve">Knowledge management and reporting </w:t>
            </w:r>
          </w:p>
        </w:tc>
        <w:tc>
          <w:tcPr>
            <w:tcW w:w="2551" w:type="dxa"/>
          </w:tcPr>
          <w:p w14:paraId="06C583AC"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P-3</w:t>
            </w:r>
          </w:p>
        </w:tc>
      </w:tr>
      <w:tr w:rsidR="0041238C" w:rsidRPr="00B10477" w14:paraId="50A807B4" w14:textId="77777777" w:rsidTr="00BE71F1">
        <w:tc>
          <w:tcPr>
            <w:tcW w:w="5670" w:type="dxa"/>
          </w:tcPr>
          <w:p w14:paraId="0E53FA63" w14:textId="733B2ED9"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 xml:space="preserve">Other </w:t>
            </w:r>
            <w:r w:rsidR="00A366A1" w:rsidRPr="00B10477">
              <w:rPr>
                <w:rFonts w:asciiTheme="majorBidi" w:hAnsiTheme="majorBidi" w:cstheme="majorBidi"/>
                <w:sz w:val="18"/>
                <w:szCs w:val="18"/>
              </w:rPr>
              <w:t>s</w:t>
            </w:r>
            <w:r w:rsidRPr="00B10477">
              <w:rPr>
                <w:rFonts w:asciiTheme="majorBidi" w:hAnsiTheme="majorBidi" w:cstheme="majorBidi"/>
                <w:sz w:val="18"/>
                <w:szCs w:val="18"/>
              </w:rPr>
              <w:t>taff</w:t>
            </w:r>
          </w:p>
        </w:tc>
        <w:tc>
          <w:tcPr>
            <w:tcW w:w="2551" w:type="dxa"/>
          </w:tcPr>
          <w:p w14:paraId="46B96016"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4xGs</w:t>
            </w:r>
          </w:p>
        </w:tc>
      </w:tr>
      <w:tr w:rsidR="0041238C" w:rsidRPr="00B10477" w14:paraId="47EED7CC" w14:textId="77777777" w:rsidTr="00BE71F1">
        <w:tc>
          <w:tcPr>
            <w:tcW w:w="5670" w:type="dxa"/>
          </w:tcPr>
          <w:p w14:paraId="593C6AD1" w14:textId="77777777" w:rsidR="0041238C" w:rsidRPr="00B10477" w:rsidRDefault="0041238C" w:rsidP="00884409">
            <w:pPr>
              <w:keepNext/>
              <w:keepLines/>
              <w:spacing w:before="40"/>
              <w:rPr>
                <w:rFonts w:asciiTheme="majorBidi" w:hAnsiTheme="majorBidi" w:cstheme="majorBidi"/>
                <w:b/>
                <w:bCs/>
                <w:sz w:val="18"/>
                <w:szCs w:val="18"/>
              </w:rPr>
            </w:pPr>
            <w:r w:rsidRPr="00B10477">
              <w:rPr>
                <w:rFonts w:asciiTheme="majorBidi" w:hAnsiTheme="majorBidi" w:cstheme="majorBidi"/>
                <w:b/>
                <w:bCs/>
                <w:sz w:val="18"/>
                <w:szCs w:val="18"/>
              </w:rPr>
              <w:t>Further new posts:</w:t>
            </w:r>
          </w:p>
          <w:p w14:paraId="7DDAB960" w14:textId="7C7518E9" w:rsidR="0041238C" w:rsidRPr="00B10477" w:rsidRDefault="0041238C">
            <w:pPr>
              <w:keepNext/>
              <w:keepLines/>
              <w:spacing w:before="40"/>
              <w:rPr>
                <w:rFonts w:asciiTheme="majorBidi" w:hAnsiTheme="majorBidi" w:cstheme="majorBidi"/>
                <w:sz w:val="18"/>
                <w:szCs w:val="18"/>
              </w:rPr>
            </w:pPr>
            <w:r w:rsidRPr="00B10477">
              <w:rPr>
                <w:rFonts w:asciiTheme="majorBidi" w:hAnsiTheme="majorBidi" w:cstheme="majorBidi"/>
                <w:sz w:val="18"/>
                <w:szCs w:val="18"/>
              </w:rPr>
              <w:t xml:space="preserve">Outreach </w:t>
            </w:r>
            <w:r w:rsidR="00A366A1" w:rsidRPr="00B10477">
              <w:rPr>
                <w:rFonts w:asciiTheme="majorBidi" w:hAnsiTheme="majorBidi" w:cstheme="majorBidi"/>
                <w:sz w:val="18"/>
                <w:szCs w:val="18"/>
              </w:rPr>
              <w:t>and</w:t>
            </w:r>
            <w:r w:rsidRPr="00B10477">
              <w:rPr>
                <w:rFonts w:asciiTheme="majorBidi" w:hAnsiTheme="majorBidi" w:cstheme="majorBidi"/>
                <w:sz w:val="18"/>
                <w:szCs w:val="18"/>
              </w:rPr>
              <w:t xml:space="preserve"> public awareness, info</w:t>
            </w:r>
            <w:r w:rsidR="00A366A1" w:rsidRPr="00B10477">
              <w:rPr>
                <w:rFonts w:asciiTheme="majorBidi" w:hAnsiTheme="majorBidi" w:cstheme="majorBidi"/>
                <w:sz w:val="18"/>
                <w:szCs w:val="18"/>
              </w:rPr>
              <w:t>rmation</w:t>
            </w:r>
            <w:r w:rsidRPr="00B10477">
              <w:rPr>
                <w:rFonts w:asciiTheme="majorBidi" w:hAnsiTheme="majorBidi" w:cstheme="majorBidi"/>
                <w:sz w:val="18"/>
                <w:szCs w:val="18"/>
              </w:rPr>
              <w:t xml:space="preserve"> technology </w:t>
            </w:r>
            <w:r w:rsidR="00A366A1" w:rsidRPr="00B10477">
              <w:rPr>
                <w:rFonts w:asciiTheme="majorBidi" w:hAnsiTheme="majorBidi" w:cstheme="majorBidi"/>
                <w:sz w:val="18"/>
                <w:szCs w:val="18"/>
              </w:rPr>
              <w:t xml:space="preserve">and </w:t>
            </w:r>
            <w:r w:rsidRPr="00B10477">
              <w:rPr>
                <w:rFonts w:asciiTheme="majorBidi" w:hAnsiTheme="majorBidi" w:cstheme="majorBidi"/>
                <w:sz w:val="18"/>
                <w:szCs w:val="18"/>
              </w:rPr>
              <w:t>info</w:t>
            </w:r>
            <w:r w:rsidR="00A366A1" w:rsidRPr="00B10477">
              <w:rPr>
                <w:rFonts w:asciiTheme="majorBidi" w:hAnsiTheme="majorBidi" w:cstheme="majorBidi"/>
                <w:sz w:val="18"/>
                <w:szCs w:val="18"/>
              </w:rPr>
              <w:t xml:space="preserve">rmation </w:t>
            </w:r>
            <w:r w:rsidRPr="00B10477">
              <w:rPr>
                <w:rFonts w:asciiTheme="majorBidi" w:hAnsiTheme="majorBidi" w:cstheme="majorBidi"/>
                <w:sz w:val="18"/>
                <w:szCs w:val="18"/>
              </w:rPr>
              <w:t>management</w:t>
            </w:r>
            <w:r w:rsidR="006D523F" w:rsidRPr="00B10477">
              <w:rPr>
                <w:rFonts w:asciiTheme="majorBidi" w:hAnsiTheme="majorBidi" w:cstheme="majorBidi"/>
                <w:sz w:val="18"/>
                <w:szCs w:val="18"/>
              </w:rPr>
              <w:br/>
            </w:r>
            <w:r w:rsidRPr="00B10477">
              <w:rPr>
                <w:rFonts w:asciiTheme="majorBidi" w:hAnsiTheme="majorBidi" w:cstheme="majorBidi"/>
                <w:sz w:val="18"/>
                <w:szCs w:val="18"/>
              </w:rPr>
              <w:t>Legal Officer</w:t>
            </w:r>
            <w:r w:rsidR="00E67A13" w:rsidRPr="00B10477">
              <w:rPr>
                <w:rFonts w:asciiTheme="majorBidi" w:hAnsiTheme="majorBidi" w:cstheme="majorBidi"/>
                <w:sz w:val="18"/>
                <w:szCs w:val="18"/>
              </w:rPr>
              <w:t xml:space="preserve"> </w:t>
            </w:r>
            <w:r w:rsidRPr="00B10477">
              <w:rPr>
                <w:rFonts w:asciiTheme="majorBidi" w:hAnsiTheme="majorBidi" w:cstheme="majorBidi"/>
                <w:sz w:val="18"/>
                <w:szCs w:val="18"/>
              </w:rPr>
              <w:t xml:space="preserve"> </w:t>
            </w:r>
          </w:p>
        </w:tc>
        <w:tc>
          <w:tcPr>
            <w:tcW w:w="2551" w:type="dxa"/>
          </w:tcPr>
          <w:p w14:paraId="4B0695D4" w14:textId="77777777" w:rsidR="0041238C" w:rsidRPr="00B10477" w:rsidRDefault="0041238C" w:rsidP="00884409">
            <w:pPr>
              <w:keepNext/>
              <w:keepLines/>
              <w:spacing w:before="40"/>
              <w:jc w:val="right"/>
              <w:rPr>
                <w:rFonts w:asciiTheme="majorBidi" w:hAnsiTheme="majorBidi" w:cstheme="majorBidi"/>
                <w:sz w:val="18"/>
                <w:szCs w:val="18"/>
              </w:rPr>
            </w:pPr>
          </w:p>
          <w:p w14:paraId="56AECCE4"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 xml:space="preserve"> 2x50% of P-3</w:t>
            </w:r>
          </w:p>
          <w:p w14:paraId="0AF72FBB"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50% of P-3</w:t>
            </w:r>
          </w:p>
        </w:tc>
      </w:tr>
      <w:tr w:rsidR="0041238C" w:rsidRPr="00B10477" w14:paraId="68A207FD" w14:textId="77777777" w:rsidTr="00BE71F1">
        <w:tc>
          <w:tcPr>
            <w:tcW w:w="5670" w:type="dxa"/>
          </w:tcPr>
          <w:p w14:paraId="30D99629" w14:textId="77777777" w:rsidR="0041238C" w:rsidRPr="00B10477" w:rsidRDefault="0041238C" w:rsidP="00884409">
            <w:pPr>
              <w:keepNext/>
              <w:keepLines/>
              <w:spacing w:before="40"/>
              <w:rPr>
                <w:rFonts w:asciiTheme="majorBidi" w:hAnsiTheme="majorBidi" w:cstheme="majorBidi"/>
                <w:b/>
                <w:bCs/>
                <w:sz w:val="18"/>
                <w:szCs w:val="18"/>
              </w:rPr>
            </w:pPr>
            <w:r w:rsidRPr="00B10477">
              <w:rPr>
                <w:rFonts w:asciiTheme="majorBidi" w:hAnsiTheme="majorBidi" w:cstheme="majorBidi"/>
                <w:b/>
                <w:bCs/>
                <w:sz w:val="18"/>
                <w:szCs w:val="18"/>
              </w:rPr>
              <w:t>Further cost-shared post:</w:t>
            </w:r>
          </w:p>
          <w:p w14:paraId="26626FB3" w14:textId="77777777"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Branch Chief: Operations</w:t>
            </w:r>
          </w:p>
        </w:tc>
        <w:tc>
          <w:tcPr>
            <w:tcW w:w="2551" w:type="dxa"/>
          </w:tcPr>
          <w:p w14:paraId="2963E079" w14:textId="77777777" w:rsidR="0041238C" w:rsidRPr="00B10477" w:rsidRDefault="0041238C" w:rsidP="00884409">
            <w:pPr>
              <w:keepNext/>
              <w:keepLines/>
              <w:spacing w:before="40"/>
              <w:jc w:val="right"/>
              <w:rPr>
                <w:rFonts w:asciiTheme="majorBidi" w:hAnsiTheme="majorBidi" w:cstheme="majorBidi"/>
                <w:sz w:val="18"/>
                <w:szCs w:val="18"/>
              </w:rPr>
            </w:pPr>
          </w:p>
          <w:p w14:paraId="77A74F81"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40% of P-5</w:t>
            </w:r>
          </w:p>
        </w:tc>
      </w:tr>
      <w:tr w:rsidR="0041238C" w:rsidRPr="00B10477" w14:paraId="5C51E92F" w14:textId="77777777" w:rsidTr="00BE71F1">
        <w:tc>
          <w:tcPr>
            <w:tcW w:w="5670" w:type="dxa"/>
          </w:tcPr>
          <w:p w14:paraId="2B196621" w14:textId="77777777" w:rsidR="0041238C" w:rsidRPr="00B10477" w:rsidRDefault="0041238C" w:rsidP="00884409">
            <w:pPr>
              <w:keepNext/>
              <w:keepLines/>
              <w:spacing w:before="40"/>
              <w:rPr>
                <w:rFonts w:asciiTheme="majorBidi" w:hAnsiTheme="majorBidi" w:cstheme="majorBidi"/>
                <w:b/>
                <w:bCs/>
                <w:sz w:val="18"/>
                <w:szCs w:val="18"/>
              </w:rPr>
            </w:pPr>
            <w:r w:rsidRPr="00B10477">
              <w:rPr>
                <w:rFonts w:asciiTheme="majorBidi" w:hAnsiTheme="majorBidi" w:cstheme="majorBidi"/>
                <w:b/>
                <w:bCs/>
                <w:sz w:val="18"/>
                <w:szCs w:val="18"/>
              </w:rPr>
              <w:t>Administrative support through programme support costs:</w:t>
            </w:r>
          </w:p>
          <w:p w14:paraId="086FC513" w14:textId="3349A16D" w:rsidR="0041238C" w:rsidRPr="00B10477" w:rsidRDefault="0041238C" w:rsidP="00884409">
            <w:pPr>
              <w:keepNext/>
              <w:keepLines/>
              <w:spacing w:before="40"/>
              <w:rPr>
                <w:rFonts w:asciiTheme="majorBidi" w:hAnsiTheme="majorBidi" w:cstheme="majorBidi"/>
                <w:sz w:val="18"/>
                <w:szCs w:val="18"/>
              </w:rPr>
            </w:pPr>
            <w:r w:rsidRPr="00B10477">
              <w:rPr>
                <w:rFonts w:asciiTheme="majorBidi" w:hAnsiTheme="majorBidi" w:cstheme="majorBidi"/>
                <w:sz w:val="18"/>
                <w:szCs w:val="18"/>
              </w:rPr>
              <w:t>Administrative and Fund Management Officer</w:t>
            </w:r>
            <w:r w:rsidR="00E67A13" w:rsidRPr="00B10477">
              <w:rPr>
                <w:rFonts w:asciiTheme="majorBidi" w:hAnsiTheme="majorBidi" w:cstheme="majorBidi"/>
                <w:sz w:val="18"/>
                <w:szCs w:val="18"/>
              </w:rPr>
              <w:t xml:space="preserve"> </w:t>
            </w:r>
          </w:p>
          <w:p w14:paraId="42E82F83" w14:textId="2AC292F6" w:rsidR="0041238C" w:rsidRPr="00B10477" w:rsidRDefault="0041238C" w:rsidP="00884409">
            <w:pPr>
              <w:keepNext/>
              <w:keepLines/>
              <w:spacing w:before="40"/>
              <w:rPr>
                <w:rFonts w:asciiTheme="majorBidi" w:hAnsiTheme="majorBidi" w:cstheme="majorBidi"/>
                <w:b/>
                <w:bCs/>
                <w:sz w:val="18"/>
                <w:szCs w:val="18"/>
              </w:rPr>
            </w:pPr>
            <w:r w:rsidRPr="00B10477">
              <w:rPr>
                <w:rFonts w:asciiTheme="majorBidi" w:hAnsiTheme="majorBidi" w:cstheme="majorBidi"/>
                <w:sz w:val="18"/>
                <w:szCs w:val="18"/>
              </w:rPr>
              <w:t>1x General S</w:t>
            </w:r>
            <w:r w:rsidR="002A5F21" w:rsidRPr="00B10477">
              <w:rPr>
                <w:rFonts w:asciiTheme="majorBidi" w:hAnsiTheme="majorBidi" w:cstheme="majorBidi"/>
                <w:sz w:val="18"/>
                <w:szCs w:val="18"/>
              </w:rPr>
              <w:t>ervice s</w:t>
            </w:r>
            <w:r w:rsidRPr="00B10477">
              <w:rPr>
                <w:rFonts w:asciiTheme="majorBidi" w:hAnsiTheme="majorBidi" w:cstheme="majorBidi"/>
                <w:sz w:val="18"/>
                <w:szCs w:val="18"/>
              </w:rPr>
              <w:t>taff</w:t>
            </w:r>
            <w:r w:rsidR="00E67A13" w:rsidRPr="00B10477">
              <w:rPr>
                <w:rFonts w:asciiTheme="majorBidi" w:hAnsiTheme="majorBidi" w:cstheme="majorBidi"/>
                <w:sz w:val="18"/>
                <w:szCs w:val="18"/>
              </w:rPr>
              <w:t xml:space="preserve"> </w:t>
            </w:r>
          </w:p>
        </w:tc>
        <w:tc>
          <w:tcPr>
            <w:tcW w:w="2551" w:type="dxa"/>
          </w:tcPr>
          <w:p w14:paraId="6073849D" w14:textId="77777777" w:rsidR="0041238C" w:rsidRPr="00B10477" w:rsidRDefault="0041238C" w:rsidP="00884409">
            <w:pPr>
              <w:keepNext/>
              <w:keepLines/>
              <w:spacing w:before="40"/>
              <w:jc w:val="right"/>
              <w:rPr>
                <w:rFonts w:asciiTheme="majorBidi" w:hAnsiTheme="majorBidi" w:cstheme="majorBidi"/>
                <w:sz w:val="18"/>
                <w:szCs w:val="18"/>
              </w:rPr>
            </w:pPr>
          </w:p>
          <w:p w14:paraId="4AB35493"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P-3</w:t>
            </w:r>
          </w:p>
          <w:p w14:paraId="5CC06790" w14:textId="77777777" w:rsidR="0041238C" w:rsidRPr="00B10477" w:rsidRDefault="0041238C" w:rsidP="00884409">
            <w:pPr>
              <w:keepNext/>
              <w:keepLines/>
              <w:spacing w:before="40"/>
              <w:jc w:val="right"/>
              <w:rPr>
                <w:rFonts w:asciiTheme="majorBidi" w:hAnsiTheme="majorBidi" w:cstheme="majorBidi"/>
                <w:sz w:val="18"/>
                <w:szCs w:val="18"/>
              </w:rPr>
            </w:pPr>
            <w:r w:rsidRPr="00B10477">
              <w:rPr>
                <w:rFonts w:asciiTheme="majorBidi" w:hAnsiTheme="majorBidi" w:cstheme="majorBidi"/>
                <w:sz w:val="18"/>
                <w:szCs w:val="18"/>
              </w:rPr>
              <w:t>1xGS</w:t>
            </w:r>
          </w:p>
        </w:tc>
      </w:tr>
    </w:tbl>
    <w:p w14:paraId="0BBB157E" w14:textId="233448D5" w:rsidR="00911861" w:rsidRPr="007E304A" w:rsidRDefault="00911861">
      <w:pPr>
        <w:tabs>
          <w:tab w:val="clear" w:pos="1247"/>
          <w:tab w:val="clear" w:pos="1814"/>
          <w:tab w:val="clear" w:pos="2381"/>
          <w:tab w:val="clear" w:pos="2948"/>
          <w:tab w:val="clear" w:pos="3515"/>
        </w:tabs>
      </w:pPr>
      <w:r w:rsidRPr="007E304A">
        <w:br w:type="page"/>
      </w:r>
    </w:p>
    <w:p w14:paraId="265CFCC1" w14:textId="77777777" w:rsidR="0041238C" w:rsidRPr="007E304A" w:rsidRDefault="0041238C" w:rsidP="00161024">
      <w:pPr>
        <w:pStyle w:val="ZZAnxheader"/>
        <w:outlineLvl w:val="0"/>
      </w:pPr>
      <w:r w:rsidRPr="007E304A">
        <w:t>Appendix IV</w:t>
      </w:r>
    </w:p>
    <w:p w14:paraId="7F1D4C73" w14:textId="38C93A45" w:rsidR="0041238C" w:rsidRPr="00B959C3" w:rsidRDefault="0041238C" w:rsidP="006432A8">
      <w:pPr>
        <w:pStyle w:val="ZZAnxtitle"/>
      </w:pPr>
      <w:r w:rsidRPr="00B959C3">
        <w:t xml:space="preserve">Establishing </w:t>
      </w:r>
      <w:r w:rsidR="007610B9" w:rsidRPr="007E304A">
        <w:t xml:space="preserve">a </w:t>
      </w:r>
      <w:r w:rsidR="007610B9">
        <w:t>standalone</w:t>
      </w:r>
      <w:r w:rsidR="007610B9" w:rsidRPr="007E304A">
        <w:t xml:space="preserve"> </w:t>
      </w:r>
      <w:r w:rsidRPr="00B959C3">
        <w:t>secretariat for the Minamata Convention</w:t>
      </w:r>
    </w:p>
    <w:tbl>
      <w:tblPr>
        <w:tblStyle w:val="TableGrid"/>
        <w:tblW w:w="0" w:type="auto"/>
        <w:tblInd w:w="1385" w:type="dxa"/>
        <w:tblLook w:val="04A0" w:firstRow="1" w:lastRow="0" w:firstColumn="1" w:lastColumn="0" w:noHBand="0" w:noVBand="1"/>
      </w:tblPr>
      <w:tblGrid>
        <w:gridCol w:w="2529"/>
        <w:gridCol w:w="942"/>
        <w:gridCol w:w="3332"/>
        <w:gridCol w:w="1418"/>
      </w:tblGrid>
      <w:tr w:rsidR="0041238C" w:rsidRPr="00B10477" w14:paraId="28831C53" w14:textId="77777777" w:rsidTr="006432A8">
        <w:tc>
          <w:tcPr>
            <w:tcW w:w="8221" w:type="dxa"/>
            <w:gridSpan w:val="4"/>
          </w:tcPr>
          <w:p w14:paraId="51E3BAD3" w14:textId="4F5BB227" w:rsidR="0041238C" w:rsidRPr="00B10477" w:rsidRDefault="003E3369">
            <w:pPr>
              <w:pStyle w:val="Normal-pool"/>
              <w:spacing w:before="80" w:after="80"/>
              <w:rPr>
                <w:rFonts w:asciiTheme="majorBidi" w:hAnsiTheme="majorBidi" w:cstheme="majorBidi"/>
                <w:sz w:val="18"/>
                <w:szCs w:val="18"/>
              </w:rPr>
            </w:pPr>
            <w:r w:rsidRPr="00B10477">
              <w:rPr>
                <w:b/>
                <w:sz w:val="18"/>
                <w:szCs w:val="18"/>
              </w:rPr>
              <w:t xml:space="preserve">Option 2 </w:t>
            </w:r>
            <w:r w:rsidR="001A2884" w:rsidRPr="00B10477">
              <w:rPr>
                <w:b/>
                <w:sz w:val="18"/>
                <w:szCs w:val="18"/>
              </w:rPr>
              <w:t>(standalone)</w:t>
            </w:r>
            <w:r w:rsidRPr="00B10477">
              <w:rPr>
                <w:b/>
                <w:sz w:val="18"/>
                <w:szCs w:val="18"/>
              </w:rPr>
              <w:t xml:space="preserve">: </w:t>
            </w:r>
            <w:r w:rsidRPr="007610B9">
              <w:rPr>
                <w:b/>
                <w:sz w:val="18"/>
                <w:szCs w:val="18"/>
              </w:rPr>
              <w:t xml:space="preserve">Establishing </w:t>
            </w:r>
            <w:r w:rsidR="007610B9" w:rsidRPr="000577E9">
              <w:rPr>
                <w:b/>
                <w:sz w:val="18"/>
                <w:szCs w:val="18"/>
              </w:rPr>
              <w:t xml:space="preserve">a standalone </w:t>
            </w:r>
            <w:r w:rsidRPr="00B10477">
              <w:rPr>
                <w:b/>
                <w:sz w:val="18"/>
                <w:szCs w:val="18"/>
              </w:rPr>
              <w:t>secretariat for the Minamata Convention</w:t>
            </w:r>
          </w:p>
        </w:tc>
      </w:tr>
      <w:tr w:rsidR="0041238C" w:rsidRPr="00B10477" w14:paraId="74D0CB62" w14:textId="77777777" w:rsidTr="006432A8">
        <w:tc>
          <w:tcPr>
            <w:tcW w:w="8221" w:type="dxa"/>
            <w:gridSpan w:val="4"/>
          </w:tcPr>
          <w:p w14:paraId="1FBB7052" w14:textId="23FB5D25" w:rsidR="0041238C" w:rsidRPr="00B10477" w:rsidRDefault="0041238C" w:rsidP="00BE71F1">
            <w:pPr>
              <w:spacing w:before="80" w:after="80"/>
              <w:jc w:val="center"/>
              <w:rPr>
                <w:rFonts w:asciiTheme="majorBidi" w:hAnsiTheme="majorBidi" w:cstheme="majorBidi"/>
                <w:sz w:val="18"/>
                <w:szCs w:val="18"/>
              </w:rPr>
            </w:pPr>
            <w:r w:rsidRPr="00B10477">
              <w:rPr>
                <w:rFonts w:asciiTheme="majorBidi" w:hAnsiTheme="majorBidi" w:cstheme="majorBidi"/>
                <w:b/>
                <w:bCs/>
                <w:sz w:val="18"/>
                <w:szCs w:val="18"/>
                <w:lang w:eastAsia="zh-TW"/>
              </w:rPr>
              <w:t xml:space="preserve">Executive </w:t>
            </w:r>
            <w:r w:rsidR="001D7067" w:rsidRPr="00B10477">
              <w:rPr>
                <w:rFonts w:asciiTheme="majorBidi" w:hAnsiTheme="majorBidi" w:cstheme="majorBidi"/>
                <w:b/>
                <w:bCs/>
                <w:sz w:val="18"/>
                <w:szCs w:val="18"/>
                <w:lang w:eastAsia="zh-TW"/>
              </w:rPr>
              <w:t>s</w:t>
            </w:r>
            <w:r w:rsidRPr="00B10477">
              <w:rPr>
                <w:rFonts w:asciiTheme="majorBidi" w:hAnsiTheme="majorBidi" w:cstheme="majorBidi"/>
                <w:b/>
                <w:bCs/>
                <w:sz w:val="18"/>
                <w:szCs w:val="18"/>
                <w:lang w:eastAsia="zh-TW"/>
              </w:rPr>
              <w:t>ervices</w:t>
            </w:r>
          </w:p>
        </w:tc>
      </w:tr>
      <w:tr w:rsidR="0041238C" w:rsidRPr="00B10477" w14:paraId="527FAF71" w14:textId="77777777" w:rsidTr="006432A8">
        <w:tc>
          <w:tcPr>
            <w:tcW w:w="6803" w:type="dxa"/>
            <w:gridSpan w:val="3"/>
            <w:tcBorders>
              <w:right w:val="single" w:sz="4" w:space="0" w:color="auto"/>
            </w:tcBorders>
          </w:tcPr>
          <w:p w14:paraId="09176764"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Executive Secretary</w:t>
            </w:r>
          </w:p>
        </w:tc>
        <w:tc>
          <w:tcPr>
            <w:tcW w:w="1418" w:type="dxa"/>
            <w:tcBorders>
              <w:top w:val="nil"/>
              <w:left w:val="single" w:sz="4" w:space="0" w:color="auto"/>
              <w:bottom w:val="nil"/>
              <w:right w:val="single" w:sz="4" w:space="0" w:color="auto"/>
            </w:tcBorders>
            <w:shd w:val="clear" w:color="auto" w:fill="auto"/>
          </w:tcPr>
          <w:p w14:paraId="61E6134F"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D-1</w:t>
            </w:r>
          </w:p>
        </w:tc>
      </w:tr>
      <w:tr w:rsidR="0041238C" w:rsidRPr="00B10477" w14:paraId="1BE4F1FB" w14:textId="77777777" w:rsidTr="006432A8">
        <w:tc>
          <w:tcPr>
            <w:tcW w:w="6803" w:type="dxa"/>
            <w:gridSpan w:val="3"/>
          </w:tcPr>
          <w:p w14:paraId="077A518E" w14:textId="7D31169A"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 xml:space="preserve">Other </w:t>
            </w:r>
            <w:r w:rsidR="001D7067" w:rsidRPr="00B10477">
              <w:rPr>
                <w:rFonts w:asciiTheme="majorBidi" w:hAnsiTheme="majorBidi" w:cstheme="majorBidi"/>
                <w:sz w:val="18"/>
                <w:szCs w:val="18"/>
              </w:rPr>
              <w:t>s</w:t>
            </w:r>
            <w:r w:rsidRPr="00B10477">
              <w:rPr>
                <w:rFonts w:asciiTheme="majorBidi" w:hAnsiTheme="majorBidi" w:cstheme="majorBidi"/>
                <w:sz w:val="18"/>
                <w:szCs w:val="18"/>
              </w:rPr>
              <w:t>taff</w:t>
            </w:r>
          </w:p>
        </w:tc>
        <w:tc>
          <w:tcPr>
            <w:tcW w:w="1418" w:type="dxa"/>
          </w:tcPr>
          <w:p w14:paraId="7A975D58" w14:textId="3B0D2D6B"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1xGS</w:t>
            </w:r>
          </w:p>
        </w:tc>
      </w:tr>
      <w:tr w:rsidR="0041238C" w:rsidRPr="00B10477" w14:paraId="141D51A0" w14:textId="77777777" w:rsidTr="006432A8">
        <w:tc>
          <w:tcPr>
            <w:tcW w:w="3471" w:type="dxa"/>
            <w:gridSpan w:val="2"/>
          </w:tcPr>
          <w:p w14:paraId="653CCFE2" w14:textId="3E636E48" w:rsidR="0041238C" w:rsidRPr="00B10477" w:rsidRDefault="0041238C" w:rsidP="00BE71F1">
            <w:pPr>
              <w:spacing w:before="80" w:after="80"/>
              <w:jc w:val="center"/>
              <w:rPr>
                <w:rFonts w:asciiTheme="majorBidi" w:hAnsiTheme="majorBidi" w:cstheme="majorBidi"/>
                <w:b/>
                <w:bCs/>
                <w:sz w:val="18"/>
                <w:szCs w:val="18"/>
              </w:rPr>
            </w:pPr>
            <w:r w:rsidRPr="00B10477">
              <w:rPr>
                <w:rFonts w:asciiTheme="majorBidi" w:hAnsiTheme="majorBidi" w:cstheme="majorBidi"/>
                <w:b/>
                <w:bCs/>
                <w:sz w:val="18"/>
                <w:szCs w:val="18"/>
              </w:rPr>
              <w:t>Policy Services Branch</w:t>
            </w:r>
          </w:p>
        </w:tc>
        <w:tc>
          <w:tcPr>
            <w:tcW w:w="4750" w:type="dxa"/>
            <w:gridSpan w:val="2"/>
          </w:tcPr>
          <w:p w14:paraId="3F82B317" w14:textId="77777777" w:rsidR="0041238C" w:rsidRPr="00B10477" w:rsidRDefault="0041238C" w:rsidP="00BE71F1">
            <w:pPr>
              <w:spacing w:before="80" w:after="80"/>
              <w:jc w:val="center"/>
              <w:rPr>
                <w:rFonts w:asciiTheme="majorBidi" w:hAnsiTheme="majorBidi" w:cstheme="majorBidi"/>
                <w:b/>
                <w:bCs/>
                <w:sz w:val="18"/>
                <w:szCs w:val="18"/>
              </w:rPr>
            </w:pPr>
            <w:r w:rsidRPr="00B10477">
              <w:rPr>
                <w:rFonts w:asciiTheme="majorBidi" w:hAnsiTheme="majorBidi" w:cstheme="majorBidi"/>
                <w:b/>
                <w:bCs/>
                <w:sz w:val="18"/>
                <w:szCs w:val="18"/>
              </w:rPr>
              <w:t>Technical Services Branch</w:t>
            </w:r>
          </w:p>
        </w:tc>
      </w:tr>
      <w:tr w:rsidR="0041238C" w:rsidRPr="00B10477" w14:paraId="53333542" w14:textId="77777777" w:rsidTr="006432A8">
        <w:tc>
          <w:tcPr>
            <w:tcW w:w="2529" w:type="dxa"/>
          </w:tcPr>
          <w:p w14:paraId="43D1198D"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Branch Chief: Policy</w:t>
            </w:r>
          </w:p>
        </w:tc>
        <w:tc>
          <w:tcPr>
            <w:tcW w:w="942" w:type="dxa"/>
          </w:tcPr>
          <w:p w14:paraId="47CE196D"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P-5</w:t>
            </w:r>
          </w:p>
        </w:tc>
        <w:tc>
          <w:tcPr>
            <w:tcW w:w="3332" w:type="dxa"/>
          </w:tcPr>
          <w:p w14:paraId="48B25752"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Branch Chief: Technical</w:t>
            </w:r>
          </w:p>
        </w:tc>
        <w:tc>
          <w:tcPr>
            <w:tcW w:w="1418" w:type="dxa"/>
          </w:tcPr>
          <w:p w14:paraId="7CCCADC4"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P-5</w:t>
            </w:r>
          </w:p>
        </w:tc>
      </w:tr>
      <w:tr w:rsidR="0041238C" w:rsidRPr="00B10477" w14:paraId="65C04A74" w14:textId="77777777" w:rsidTr="006432A8">
        <w:tc>
          <w:tcPr>
            <w:tcW w:w="2529" w:type="dxa"/>
          </w:tcPr>
          <w:p w14:paraId="6E8F04F5" w14:textId="5F3CFAB2"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 xml:space="preserve">Science and </w:t>
            </w:r>
            <w:r w:rsidR="001D7067" w:rsidRPr="00B10477">
              <w:rPr>
                <w:rFonts w:asciiTheme="majorBidi" w:hAnsiTheme="majorBidi" w:cstheme="majorBidi"/>
                <w:sz w:val="18"/>
                <w:szCs w:val="18"/>
              </w:rPr>
              <w:t>p</w:t>
            </w:r>
            <w:r w:rsidRPr="00B10477">
              <w:rPr>
                <w:rFonts w:asciiTheme="majorBidi" w:hAnsiTheme="majorBidi" w:cstheme="majorBidi"/>
                <w:sz w:val="18"/>
                <w:szCs w:val="18"/>
              </w:rPr>
              <w:t xml:space="preserve">olicy </w:t>
            </w:r>
          </w:p>
        </w:tc>
        <w:tc>
          <w:tcPr>
            <w:tcW w:w="942" w:type="dxa"/>
          </w:tcPr>
          <w:p w14:paraId="7FBE1EFD"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P-4</w:t>
            </w:r>
          </w:p>
        </w:tc>
        <w:tc>
          <w:tcPr>
            <w:tcW w:w="3332" w:type="dxa"/>
          </w:tcPr>
          <w:p w14:paraId="3BB7D702" w14:textId="7A1D0AA8"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Capacity</w:t>
            </w:r>
            <w:r w:rsidR="001D7067" w:rsidRPr="00B10477">
              <w:rPr>
                <w:rFonts w:asciiTheme="majorBidi" w:hAnsiTheme="majorBidi" w:cstheme="majorBidi"/>
                <w:sz w:val="18"/>
                <w:szCs w:val="18"/>
              </w:rPr>
              <w:t>-b</w:t>
            </w:r>
            <w:r w:rsidRPr="00B10477">
              <w:rPr>
                <w:rFonts w:asciiTheme="majorBidi" w:hAnsiTheme="majorBidi" w:cstheme="majorBidi"/>
                <w:sz w:val="18"/>
                <w:szCs w:val="18"/>
              </w:rPr>
              <w:t xml:space="preserve">uilding and </w:t>
            </w:r>
            <w:r w:rsidR="001D7067" w:rsidRPr="00B10477">
              <w:rPr>
                <w:rFonts w:asciiTheme="majorBidi" w:hAnsiTheme="majorBidi" w:cstheme="majorBidi"/>
                <w:sz w:val="18"/>
                <w:szCs w:val="18"/>
              </w:rPr>
              <w:t>t</w:t>
            </w:r>
            <w:r w:rsidRPr="00B10477">
              <w:rPr>
                <w:rFonts w:asciiTheme="majorBidi" w:hAnsiTheme="majorBidi" w:cstheme="majorBidi"/>
                <w:sz w:val="18"/>
                <w:szCs w:val="18"/>
              </w:rPr>
              <w:t xml:space="preserve">echnical </w:t>
            </w:r>
            <w:r w:rsidR="001D7067" w:rsidRPr="00B10477">
              <w:rPr>
                <w:rFonts w:asciiTheme="majorBidi" w:hAnsiTheme="majorBidi" w:cstheme="majorBidi"/>
                <w:sz w:val="18"/>
                <w:szCs w:val="18"/>
              </w:rPr>
              <w:t>a</w:t>
            </w:r>
            <w:r w:rsidRPr="00B10477">
              <w:rPr>
                <w:rFonts w:asciiTheme="majorBidi" w:hAnsiTheme="majorBidi" w:cstheme="majorBidi"/>
                <w:sz w:val="18"/>
                <w:szCs w:val="18"/>
              </w:rPr>
              <w:t>ssistance</w:t>
            </w:r>
          </w:p>
        </w:tc>
        <w:tc>
          <w:tcPr>
            <w:tcW w:w="1418" w:type="dxa"/>
          </w:tcPr>
          <w:p w14:paraId="16C02E63"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P-4</w:t>
            </w:r>
          </w:p>
        </w:tc>
      </w:tr>
      <w:tr w:rsidR="0041238C" w:rsidRPr="00B10477" w14:paraId="21741804" w14:textId="77777777" w:rsidTr="006432A8">
        <w:tc>
          <w:tcPr>
            <w:tcW w:w="2529" w:type="dxa"/>
          </w:tcPr>
          <w:p w14:paraId="1CF530B7" w14:textId="66478B34"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 xml:space="preserve">Science </w:t>
            </w:r>
            <w:r w:rsidR="001D7067" w:rsidRPr="00B10477">
              <w:rPr>
                <w:rFonts w:asciiTheme="majorBidi" w:hAnsiTheme="majorBidi" w:cstheme="majorBidi"/>
                <w:sz w:val="18"/>
                <w:szCs w:val="18"/>
              </w:rPr>
              <w:t>p</w:t>
            </w:r>
            <w:r w:rsidRPr="00B10477">
              <w:rPr>
                <w:rFonts w:asciiTheme="majorBidi" w:hAnsiTheme="majorBidi" w:cstheme="majorBidi"/>
                <w:sz w:val="18"/>
                <w:szCs w:val="18"/>
              </w:rPr>
              <w:t xml:space="preserve">olicy </w:t>
            </w:r>
            <w:r w:rsidR="001D7067" w:rsidRPr="00B10477">
              <w:rPr>
                <w:rFonts w:asciiTheme="majorBidi" w:hAnsiTheme="majorBidi" w:cstheme="majorBidi"/>
                <w:sz w:val="18"/>
                <w:szCs w:val="18"/>
              </w:rPr>
              <w:t>o</w:t>
            </w:r>
            <w:r w:rsidRPr="00B10477">
              <w:rPr>
                <w:rFonts w:asciiTheme="majorBidi" w:hAnsiTheme="majorBidi" w:cstheme="majorBidi"/>
                <w:sz w:val="18"/>
                <w:szCs w:val="18"/>
              </w:rPr>
              <w:t>utreach</w:t>
            </w:r>
          </w:p>
        </w:tc>
        <w:tc>
          <w:tcPr>
            <w:tcW w:w="942" w:type="dxa"/>
          </w:tcPr>
          <w:p w14:paraId="055A9787"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P-3</w:t>
            </w:r>
          </w:p>
        </w:tc>
        <w:tc>
          <w:tcPr>
            <w:tcW w:w="3332" w:type="dxa"/>
          </w:tcPr>
          <w:p w14:paraId="7F73CE9C" w14:textId="1083A174" w:rsidR="0041238C" w:rsidRPr="00B10477" w:rsidRDefault="0041238C">
            <w:pPr>
              <w:rPr>
                <w:rFonts w:asciiTheme="majorBidi" w:hAnsiTheme="majorBidi" w:cstheme="majorBidi"/>
                <w:sz w:val="18"/>
                <w:szCs w:val="18"/>
              </w:rPr>
            </w:pPr>
            <w:r w:rsidRPr="00B10477">
              <w:rPr>
                <w:rFonts w:asciiTheme="majorBidi" w:hAnsiTheme="majorBidi" w:cstheme="majorBidi"/>
                <w:sz w:val="18"/>
                <w:szCs w:val="18"/>
              </w:rPr>
              <w:t xml:space="preserve">Knowledge </w:t>
            </w:r>
            <w:r w:rsidR="001D7067" w:rsidRPr="00B10477">
              <w:rPr>
                <w:rFonts w:asciiTheme="majorBidi" w:hAnsiTheme="majorBidi" w:cstheme="majorBidi"/>
                <w:sz w:val="18"/>
                <w:szCs w:val="18"/>
              </w:rPr>
              <w:t>m</w:t>
            </w:r>
            <w:r w:rsidRPr="00B10477">
              <w:rPr>
                <w:rFonts w:asciiTheme="majorBidi" w:hAnsiTheme="majorBidi" w:cstheme="majorBidi"/>
                <w:sz w:val="18"/>
                <w:szCs w:val="18"/>
              </w:rPr>
              <w:t xml:space="preserve">anagement, </w:t>
            </w:r>
            <w:r w:rsidR="001D7067" w:rsidRPr="00B10477">
              <w:rPr>
                <w:rFonts w:asciiTheme="majorBidi" w:hAnsiTheme="majorBidi" w:cstheme="majorBidi"/>
                <w:sz w:val="18"/>
                <w:szCs w:val="18"/>
              </w:rPr>
              <w:t>o</w:t>
            </w:r>
            <w:r w:rsidRPr="00B10477">
              <w:rPr>
                <w:rFonts w:asciiTheme="majorBidi" w:hAnsiTheme="majorBidi" w:cstheme="majorBidi"/>
                <w:sz w:val="18"/>
                <w:szCs w:val="18"/>
              </w:rPr>
              <w:t xml:space="preserve">utreach and </w:t>
            </w:r>
            <w:r w:rsidR="001D7067" w:rsidRPr="00B10477">
              <w:rPr>
                <w:rFonts w:asciiTheme="majorBidi" w:hAnsiTheme="majorBidi" w:cstheme="majorBidi"/>
                <w:sz w:val="18"/>
                <w:szCs w:val="18"/>
              </w:rPr>
              <w:t>information technology</w:t>
            </w:r>
          </w:p>
        </w:tc>
        <w:tc>
          <w:tcPr>
            <w:tcW w:w="1418" w:type="dxa"/>
          </w:tcPr>
          <w:p w14:paraId="18CA3C32"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P-3</w:t>
            </w:r>
          </w:p>
        </w:tc>
      </w:tr>
      <w:tr w:rsidR="0041238C" w:rsidRPr="00B10477" w14:paraId="085C9ECB" w14:textId="77777777" w:rsidTr="006432A8">
        <w:tc>
          <w:tcPr>
            <w:tcW w:w="2529" w:type="dxa"/>
          </w:tcPr>
          <w:p w14:paraId="7DCA20B9"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Legal</w:t>
            </w:r>
          </w:p>
        </w:tc>
        <w:tc>
          <w:tcPr>
            <w:tcW w:w="942" w:type="dxa"/>
          </w:tcPr>
          <w:p w14:paraId="4E566027"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P-3</w:t>
            </w:r>
          </w:p>
        </w:tc>
        <w:tc>
          <w:tcPr>
            <w:tcW w:w="3332" w:type="dxa"/>
          </w:tcPr>
          <w:p w14:paraId="62B39740" w14:textId="77777777" w:rsidR="0041238C" w:rsidRPr="00B10477" w:rsidRDefault="0041238C" w:rsidP="0041238C">
            <w:pPr>
              <w:rPr>
                <w:rFonts w:asciiTheme="majorBidi" w:hAnsiTheme="majorBidi" w:cstheme="majorBidi"/>
                <w:sz w:val="18"/>
                <w:szCs w:val="18"/>
              </w:rPr>
            </w:pPr>
          </w:p>
        </w:tc>
        <w:tc>
          <w:tcPr>
            <w:tcW w:w="1418" w:type="dxa"/>
          </w:tcPr>
          <w:p w14:paraId="1EBE5F59" w14:textId="77777777" w:rsidR="0041238C" w:rsidRPr="00B10477" w:rsidRDefault="0041238C" w:rsidP="0041238C">
            <w:pPr>
              <w:rPr>
                <w:rFonts w:asciiTheme="majorBidi" w:hAnsiTheme="majorBidi" w:cstheme="majorBidi"/>
                <w:sz w:val="18"/>
                <w:szCs w:val="18"/>
              </w:rPr>
            </w:pPr>
          </w:p>
        </w:tc>
      </w:tr>
      <w:tr w:rsidR="0041238C" w:rsidRPr="00B10477" w14:paraId="36030E30" w14:textId="77777777" w:rsidTr="006432A8">
        <w:tc>
          <w:tcPr>
            <w:tcW w:w="2529" w:type="dxa"/>
          </w:tcPr>
          <w:p w14:paraId="644493D5"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Conference</w:t>
            </w:r>
          </w:p>
        </w:tc>
        <w:tc>
          <w:tcPr>
            <w:tcW w:w="942" w:type="dxa"/>
          </w:tcPr>
          <w:p w14:paraId="35E83429" w14:textId="77777777"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P-3</w:t>
            </w:r>
          </w:p>
        </w:tc>
        <w:tc>
          <w:tcPr>
            <w:tcW w:w="3332" w:type="dxa"/>
          </w:tcPr>
          <w:p w14:paraId="2825E44F" w14:textId="77777777" w:rsidR="0041238C" w:rsidRPr="00B10477" w:rsidRDefault="0041238C" w:rsidP="0041238C">
            <w:pPr>
              <w:rPr>
                <w:rFonts w:asciiTheme="majorBidi" w:hAnsiTheme="majorBidi" w:cstheme="majorBidi"/>
                <w:sz w:val="18"/>
                <w:szCs w:val="18"/>
              </w:rPr>
            </w:pPr>
          </w:p>
        </w:tc>
        <w:tc>
          <w:tcPr>
            <w:tcW w:w="1418" w:type="dxa"/>
          </w:tcPr>
          <w:p w14:paraId="50B47541" w14:textId="77777777" w:rsidR="0041238C" w:rsidRPr="00B10477" w:rsidRDefault="0041238C" w:rsidP="0041238C">
            <w:pPr>
              <w:rPr>
                <w:rFonts w:asciiTheme="majorBidi" w:hAnsiTheme="majorBidi" w:cstheme="majorBidi"/>
                <w:sz w:val="18"/>
                <w:szCs w:val="18"/>
              </w:rPr>
            </w:pPr>
          </w:p>
        </w:tc>
      </w:tr>
      <w:tr w:rsidR="0041238C" w:rsidRPr="00B10477" w14:paraId="784CFA36" w14:textId="77777777" w:rsidTr="006432A8">
        <w:tc>
          <w:tcPr>
            <w:tcW w:w="2529" w:type="dxa"/>
          </w:tcPr>
          <w:p w14:paraId="2E441D88" w14:textId="24D58C06"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 xml:space="preserve">Other </w:t>
            </w:r>
            <w:r w:rsidR="001D7067" w:rsidRPr="00B10477">
              <w:rPr>
                <w:rFonts w:asciiTheme="majorBidi" w:hAnsiTheme="majorBidi" w:cstheme="majorBidi"/>
                <w:sz w:val="18"/>
                <w:szCs w:val="18"/>
              </w:rPr>
              <w:t>s</w:t>
            </w:r>
            <w:r w:rsidRPr="00B10477">
              <w:rPr>
                <w:rFonts w:asciiTheme="majorBidi" w:hAnsiTheme="majorBidi" w:cstheme="majorBidi"/>
                <w:sz w:val="18"/>
                <w:szCs w:val="18"/>
              </w:rPr>
              <w:t>taff</w:t>
            </w:r>
          </w:p>
        </w:tc>
        <w:tc>
          <w:tcPr>
            <w:tcW w:w="942" w:type="dxa"/>
          </w:tcPr>
          <w:p w14:paraId="062DB8EF" w14:textId="03944528"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2xGS</w:t>
            </w:r>
          </w:p>
        </w:tc>
        <w:tc>
          <w:tcPr>
            <w:tcW w:w="3332" w:type="dxa"/>
          </w:tcPr>
          <w:p w14:paraId="231C6A17" w14:textId="2F699474"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 xml:space="preserve">Other </w:t>
            </w:r>
            <w:r w:rsidR="001D7067" w:rsidRPr="00B10477">
              <w:rPr>
                <w:rFonts w:asciiTheme="majorBidi" w:hAnsiTheme="majorBidi" w:cstheme="majorBidi"/>
                <w:sz w:val="18"/>
                <w:szCs w:val="18"/>
              </w:rPr>
              <w:t>s</w:t>
            </w:r>
            <w:r w:rsidRPr="00B10477">
              <w:rPr>
                <w:rFonts w:asciiTheme="majorBidi" w:hAnsiTheme="majorBidi" w:cstheme="majorBidi"/>
                <w:sz w:val="18"/>
                <w:szCs w:val="18"/>
              </w:rPr>
              <w:t>taff</w:t>
            </w:r>
          </w:p>
        </w:tc>
        <w:tc>
          <w:tcPr>
            <w:tcW w:w="1418" w:type="dxa"/>
          </w:tcPr>
          <w:p w14:paraId="141EAFDA" w14:textId="6A2DB67E"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1xGS</w:t>
            </w:r>
          </w:p>
        </w:tc>
      </w:tr>
      <w:tr w:rsidR="0041238C" w:rsidRPr="00B10477" w14:paraId="5F597074" w14:textId="77777777" w:rsidTr="006432A8">
        <w:tc>
          <w:tcPr>
            <w:tcW w:w="8221" w:type="dxa"/>
            <w:gridSpan w:val="4"/>
          </w:tcPr>
          <w:p w14:paraId="3C27D66A" w14:textId="77777777" w:rsidR="0041238C" w:rsidRPr="00B10477" w:rsidRDefault="0041238C" w:rsidP="0041238C">
            <w:pPr>
              <w:rPr>
                <w:rFonts w:asciiTheme="majorBidi" w:hAnsiTheme="majorBidi" w:cstheme="majorBidi"/>
                <w:sz w:val="18"/>
                <w:szCs w:val="18"/>
              </w:rPr>
            </w:pPr>
          </w:p>
        </w:tc>
      </w:tr>
      <w:tr w:rsidR="0041238C" w:rsidRPr="00B10477" w14:paraId="027383DC" w14:textId="77777777" w:rsidTr="006432A8">
        <w:tc>
          <w:tcPr>
            <w:tcW w:w="6803" w:type="dxa"/>
            <w:gridSpan w:val="3"/>
          </w:tcPr>
          <w:p w14:paraId="053C0B14" w14:textId="77777777" w:rsidR="0041238C" w:rsidRPr="00B10477" w:rsidRDefault="0041238C" w:rsidP="0041238C">
            <w:pPr>
              <w:rPr>
                <w:rFonts w:asciiTheme="majorBidi" w:hAnsiTheme="majorBidi" w:cstheme="majorBidi"/>
                <w:b/>
                <w:bCs/>
                <w:sz w:val="18"/>
                <w:szCs w:val="18"/>
              </w:rPr>
            </w:pPr>
            <w:r w:rsidRPr="00B10477">
              <w:rPr>
                <w:rFonts w:asciiTheme="majorBidi" w:hAnsiTheme="majorBidi" w:cstheme="majorBidi"/>
                <w:b/>
                <w:bCs/>
                <w:sz w:val="18"/>
                <w:szCs w:val="18"/>
              </w:rPr>
              <w:t>Administrative support through programme support costs:</w:t>
            </w:r>
          </w:p>
          <w:p w14:paraId="6B81B82F" w14:textId="778A81E9" w:rsidR="0041238C" w:rsidRPr="00B10477" w:rsidRDefault="0041238C" w:rsidP="0041238C">
            <w:pPr>
              <w:rPr>
                <w:rFonts w:asciiTheme="majorBidi" w:hAnsiTheme="majorBidi" w:cstheme="majorBidi"/>
                <w:sz w:val="18"/>
                <w:szCs w:val="18"/>
              </w:rPr>
            </w:pPr>
            <w:r w:rsidRPr="00B10477">
              <w:rPr>
                <w:rFonts w:asciiTheme="majorBidi" w:hAnsiTheme="majorBidi" w:cstheme="majorBidi"/>
                <w:sz w:val="18"/>
                <w:szCs w:val="18"/>
              </w:rPr>
              <w:t xml:space="preserve">Administrative and Fund Management Officer </w:t>
            </w:r>
          </w:p>
          <w:p w14:paraId="6A83CC92" w14:textId="06E2F6D9" w:rsidR="0041238C" w:rsidRPr="00B10477" w:rsidRDefault="0041238C" w:rsidP="00911861">
            <w:pPr>
              <w:rPr>
                <w:rFonts w:asciiTheme="majorBidi" w:hAnsiTheme="majorBidi" w:cstheme="majorBidi"/>
                <w:sz w:val="18"/>
                <w:szCs w:val="18"/>
              </w:rPr>
            </w:pPr>
            <w:r w:rsidRPr="00B10477">
              <w:rPr>
                <w:rFonts w:asciiTheme="majorBidi" w:hAnsiTheme="majorBidi" w:cstheme="majorBidi"/>
                <w:sz w:val="18"/>
                <w:szCs w:val="18"/>
              </w:rPr>
              <w:t>1x General S</w:t>
            </w:r>
            <w:r w:rsidR="002A5F21" w:rsidRPr="00B10477">
              <w:rPr>
                <w:rFonts w:asciiTheme="majorBidi" w:hAnsiTheme="majorBidi" w:cstheme="majorBidi"/>
                <w:sz w:val="18"/>
                <w:szCs w:val="18"/>
              </w:rPr>
              <w:t>ervice s</w:t>
            </w:r>
            <w:r w:rsidRPr="00B10477">
              <w:rPr>
                <w:rFonts w:asciiTheme="majorBidi" w:hAnsiTheme="majorBidi" w:cstheme="majorBidi"/>
                <w:sz w:val="18"/>
                <w:szCs w:val="18"/>
              </w:rPr>
              <w:t>taff</w:t>
            </w:r>
            <w:r w:rsidR="00E67A13" w:rsidRPr="00B10477">
              <w:rPr>
                <w:rFonts w:asciiTheme="majorBidi" w:hAnsiTheme="majorBidi" w:cstheme="majorBidi"/>
                <w:sz w:val="18"/>
                <w:szCs w:val="18"/>
              </w:rPr>
              <w:t xml:space="preserve">  </w:t>
            </w:r>
          </w:p>
        </w:tc>
        <w:tc>
          <w:tcPr>
            <w:tcW w:w="1418" w:type="dxa"/>
          </w:tcPr>
          <w:p w14:paraId="5D4BF3A6" w14:textId="77777777" w:rsidR="0041238C" w:rsidRPr="00B10477" w:rsidRDefault="0041238C" w:rsidP="0041238C">
            <w:pPr>
              <w:jc w:val="right"/>
              <w:rPr>
                <w:rFonts w:asciiTheme="majorBidi" w:hAnsiTheme="majorBidi" w:cstheme="majorBidi"/>
                <w:sz w:val="18"/>
                <w:szCs w:val="18"/>
              </w:rPr>
            </w:pPr>
          </w:p>
          <w:p w14:paraId="45CF15C0" w14:textId="77777777" w:rsidR="0041238C" w:rsidRPr="00B10477" w:rsidRDefault="0041238C" w:rsidP="0041238C">
            <w:pPr>
              <w:jc w:val="right"/>
              <w:rPr>
                <w:rFonts w:asciiTheme="majorBidi" w:hAnsiTheme="majorBidi" w:cstheme="majorBidi"/>
                <w:sz w:val="18"/>
                <w:szCs w:val="18"/>
              </w:rPr>
            </w:pPr>
            <w:r w:rsidRPr="00B10477">
              <w:rPr>
                <w:rFonts w:asciiTheme="majorBidi" w:hAnsiTheme="majorBidi" w:cstheme="majorBidi"/>
                <w:sz w:val="18"/>
                <w:szCs w:val="18"/>
              </w:rPr>
              <w:t>P-3</w:t>
            </w:r>
          </w:p>
          <w:p w14:paraId="3482368D" w14:textId="77777777" w:rsidR="0041238C" w:rsidRPr="00B10477" w:rsidRDefault="0041238C" w:rsidP="0041238C">
            <w:pPr>
              <w:jc w:val="right"/>
              <w:rPr>
                <w:rFonts w:asciiTheme="majorBidi" w:hAnsiTheme="majorBidi" w:cstheme="majorBidi"/>
                <w:sz w:val="18"/>
                <w:szCs w:val="18"/>
              </w:rPr>
            </w:pPr>
            <w:r w:rsidRPr="00B10477">
              <w:rPr>
                <w:rFonts w:asciiTheme="majorBidi" w:hAnsiTheme="majorBidi" w:cstheme="majorBidi"/>
                <w:sz w:val="18"/>
                <w:szCs w:val="18"/>
              </w:rPr>
              <w:t>1xGS</w:t>
            </w:r>
          </w:p>
        </w:tc>
      </w:tr>
    </w:tbl>
    <w:p w14:paraId="33C6F761" w14:textId="77777777" w:rsidR="000F35D8" w:rsidRPr="00CC5464" w:rsidRDefault="000F35D8" w:rsidP="001176CB">
      <w:pPr>
        <w:pStyle w:val="Normal-pool"/>
      </w:pPr>
    </w:p>
    <w:tbl>
      <w:tblPr>
        <w:tblW w:w="0" w:type="auto"/>
        <w:tblLook w:val="04A0" w:firstRow="1" w:lastRow="0" w:firstColumn="1" w:lastColumn="0" w:noHBand="0" w:noVBand="1"/>
      </w:tblPr>
      <w:tblGrid>
        <w:gridCol w:w="1942"/>
        <w:gridCol w:w="1942"/>
        <w:gridCol w:w="1942"/>
        <w:gridCol w:w="1943"/>
        <w:gridCol w:w="1943"/>
      </w:tblGrid>
      <w:tr w:rsidR="00E976AB" w:rsidRPr="00CC5464" w14:paraId="5226931E" w14:textId="77777777" w:rsidTr="00990918">
        <w:tc>
          <w:tcPr>
            <w:tcW w:w="1942" w:type="dxa"/>
            <w:shd w:val="clear" w:color="auto" w:fill="auto"/>
          </w:tcPr>
          <w:p w14:paraId="730D06B2" w14:textId="77777777" w:rsidR="00E976AB" w:rsidRPr="00CC5464" w:rsidRDefault="00E976AB" w:rsidP="001176CB">
            <w:pPr>
              <w:pStyle w:val="Normal-pool"/>
              <w:spacing w:before="520"/>
            </w:pPr>
          </w:p>
        </w:tc>
        <w:tc>
          <w:tcPr>
            <w:tcW w:w="1942" w:type="dxa"/>
            <w:shd w:val="clear" w:color="auto" w:fill="auto"/>
          </w:tcPr>
          <w:p w14:paraId="55C6DF49" w14:textId="77777777" w:rsidR="00E976AB" w:rsidRPr="00CC5464" w:rsidRDefault="00E976AB" w:rsidP="001176CB">
            <w:pPr>
              <w:pStyle w:val="Normal-pool"/>
              <w:spacing w:before="520"/>
            </w:pPr>
          </w:p>
        </w:tc>
        <w:tc>
          <w:tcPr>
            <w:tcW w:w="1942" w:type="dxa"/>
            <w:tcBorders>
              <w:bottom w:val="single" w:sz="4" w:space="0" w:color="auto"/>
            </w:tcBorders>
            <w:shd w:val="clear" w:color="auto" w:fill="auto"/>
          </w:tcPr>
          <w:p w14:paraId="4970E0D7" w14:textId="77777777" w:rsidR="00E976AB" w:rsidRPr="00CC5464" w:rsidRDefault="00E976AB" w:rsidP="001176CB">
            <w:pPr>
              <w:pStyle w:val="Normal-pool"/>
              <w:spacing w:before="520"/>
            </w:pPr>
          </w:p>
        </w:tc>
        <w:tc>
          <w:tcPr>
            <w:tcW w:w="1943" w:type="dxa"/>
            <w:shd w:val="clear" w:color="auto" w:fill="auto"/>
          </w:tcPr>
          <w:p w14:paraId="0A6E7279" w14:textId="77777777" w:rsidR="00E976AB" w:rsidRPr="00CC5464" w:rsidRDefault="00E976AB" w:rsidP="001176CB">
            <w:pPr>
              <w:pStyle w:val="Normal-pool"/>
              <w:spacing w:before="520"/>
            </w:pPr>
          </w:p>
        </w:tc>
        <w:tc>
          <w:tcPr>
            <w:tcW w:w="1943" w:type="dxa"/>
            <w:shd w:val="clear" w:color="auto" w:fill="auto"/>
          </w:tcPr>
          <w:p w14:paraId="4A2A41AE" w14:textId="77777777" w:rsidR="00E976AB" w:rsidRPr="00CC5464" w:rsidRDefault="00E976AB" w:rsidP="001176CB">
            <w:pPr>
              <w:pStyle w:val="Normal-pool"/>
              <w:spacing w:before="520"/>
            </w:pPr>
          </w:p>
        </w:tc>
      </w:tr>
    </w:tbl>
    <w:p w14:paraId="2CE6B6BF" w14:textId="77777777" w:rsidR="00032E4E" w:rsidRPr="00CC5464" w:rsidRDefault="00032E4E" w:rsidP="001176CB">
      <w:pPr>
        <w:pStyle w:val="Normal-pool"/>
      </w:pPr>
    </w:p>
    <w:sectPr w:rsidR="00032E4E" w:rsidRPr="00CC5464" w:rsidSect="00C771A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C207" w14:textId="77777777" w:rsidR="00D62040" w:rsidRDefault="00D62040">
      <w:r>
        <w:separator/>
      </w:r>
    </w:p>
  </w:endnote>
  <w:endnote w:type="continuationSeparator" w:id="0">
    <w:p w14:paraId="29D89C8C" w14:textId="77777777" w:rsidR="00D62040" w:rsidRDefault="00D6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1ADA" w14:textId="3489D7CE" w:rsidR="00407FCE" w:rsidRDefault="00407FCE">
    <w:pPr>
      <w:pStyle w:val="Footer"/>
    </w:pPr>
    <w:r>
      <w:rPr>
        <w:rStyle w:val="PageNumber"/>
      </w:rPr>
      <w:fldChar w:fldCharType="begin"/>
    </w:r>
    <w:r>
      <w:rPr>
        <w:rStyle w:val="PageNumber"/>
      </w:rPr>
      <w:instrText xml:space="preserve"> PAGE </w:instrText>
    </w:r>
    <w:r>
      <w:rPr>
        <w:rStyle w:val="PageNumber"/>
      </w:rPr>
      <w:fldChar w:fldCharType="separate"/>
    </w:r>
    <w:r w:rsidR="000F411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2625" w14:textId="61C6A29E" w:rsidR="00407FCE" w:rsidRDefault="00407FC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F411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30A2" w14:textId="0BCE54E4" w:rsidR="00407FCE" w:rsidRPr="00D431B9" w:rsidRDefault="00407FCE" w:rsidP="0041238C">
    <w:pPr>
      <w:pStyle w:val="Footer"/>
      <w:tabs>
        <w:tab w:val="clear" w:pos="1247"/>
        <w:tab w:val="clear" w:pos="1814"/>
        <w:tab w:val="clear" w:pos="2381"/>
        <w:tab w:val="clear" w:pos="2948"/>
        <w:tab w:val="clear" w:pos="3515"/>
        <w:tab w:val="clear" w:pos="4320"/>
        <w:tab w:val="clear" w:pos="8640"/>
        <w:tab w:val="left" w:pos="624"/>
      </w:tabs>
      <w:rPr>
        <w:sz w:val="20"/>
      </w:rPr>
    </w:pPr>
    <w:r>
      <w:rPr>
        <w:sz w:val="20"/>
      </w:rPr>
      <w:t>K1707507</w:t>
    </w:r>
    <w:r>
      <w:rPr>
        <w:sz w:val="20"/>
      </w:rPr>
      <w:tab/>
      <w:t>2</w:t>
    </w:r>
    <w:r w:rsidR="000577E9">
      <w:rPr>
        <w:sz w:val="20"/>
      </w:rPr>
      <w:t>1</w:t>
    </w:r>
    <w:r>
      <w:rPr>
        <w:sz w:val="20"/>
      </w:rPr>
      <w:t>0917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E04E" w14:textId="5DBAEEE2" w:rsidR="00407FCE" w:rsidRDefault="00407FCE">
    <w:pPr>
      <w:pStyle w:val="Footer"/>
    </w:pPr>
    <w:r>
      <w:rPr>
        <w:rStyle w:val="PageNumber"/>
      </w:rPr>
      <w:fldChar w:fldCharType="begin"/>
    </w:r>
    <w:r>
      <w:rPr>
        <w:rStyle w:val="PageNumber"/>
      </w:rPr>
      <w:instrText xml:space="preserve"> PAGE </w:instrText>
    </w:r>
    <w:r>
      <w:rPr>
        <w:rStyle w:val="PageNumber"/>
      </w:rPr>
      <w:fldChar w:fldCharType="separate"/>
    </w:r>
    <w:r w:rsidR="000F411D">
      <w:rPr>
        <w:rStyle w:val="PageNumber"/>
        <w:noProof/>
      </w:rPr>
      <w:t>26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CB18" w14:textId="6DF1C9D2" w:rsidR="00407FCE" w:rsidRDefault="00407FC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F411D">
      <w:rPr>
        <w:rStyle w:val="PageNumber"/>
        <w:noProof/>
      </w:rPr>
      <w:t>25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11625133"/>
      <w:docPartObj>
        <w:docPartGallery w:val="Page Numbers (Bottom of Page)"/>
        <w:docPartUnique/>
      </w:docPartObj>
    </w:sdtPr>
    <w:sdtEndPr>
      <w:rPr>
        <w:noProof/>
      </w:rPr>
    </w:sdtEndPr>
    <w:sdtContent>
      <w:p w14:paraId="4C397781" w14:textId="77777777" w:rsidR="00407FCE" w:rsidRPr="00F30C06" w:rsidRDefault="00407FCE" w:rsidP="00F30C06">
        <w:pPr>
          <w:pStyle w:val="Normal-pool"/>
          <w:rPr>
            <w:b/>
            <w:szCs w:val="18"/>
          </w:rPr>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Pr="00911861">
          <w:rPr>
            <w:b/>
            <w:noProof/>
            <w:szCs w:val="18"/>
          </w:rPr>
          <w:t>30</w:t>
        </w:r>
        <w:r w:rsidRPr="00F30C0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F4A9E" w14:textId="77777777" w:rsidR="00D62040" w:rsidRPr="00F30C06" w:rsidRDefault="00D62040" w:rsidP="00F30C06">
      <w:pPr>
        <w:spacing w:before="60"/>
        <w:ind w:left="624"/>
        <w:rPr>
          <w:sz w:val="18"/>
          <w:szCs w:val="18"/>
        </w:rPr>
      </w:pPr>
      <w:r w:rsidRPr="00F30C06">
        <w:rPr>
          <w:sz w:val="18"/>
          <w:szCs w:val="18"/>
        </w:rPr>
        <w:separator/>
      </w:r>
    </w:p>
  </w:footnote>
  <w:footnote w:type="continuationSeparator" w:id="0">
    <w:p w14:paraId="6D912644" w14:textId="77777777" w:rsidR="00D62040" w:rsidRDefault="00D62040">
      <w:r>
        <w:continuationSeparator/>
      </w:r>
    </w:p>
  </w:footnote>
  <w:footnote w:id="1">
    <w:p w14:paraId="35B17B62" w14:textId="77777777" w:rsidR="00407FCE" w:rsidRPr="00067B00" w:rsidRDefault="00407FCE" w:rsidP="0041238C">
      <w:pPr>
        <w:tabs>
          <w:tab w:val="left" w:pos="624"/>
        </w:tabs>
        <w:spacing w:before="20" w:after="40"/>
        <w:ind w:left="1247"/>
        <w:rPr>
          <w:sz w:val="18"/>
          <w:szCs w:val="18"/>
        </w:rPr>
      </w:pPr>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p>
  </w:footnote>
  <w:footnote w:id="2">
    <w:p w14:paraId="74D72688" w14:textId="76BEEAFE" w:rsidR="00407FCE" w:rsidRPr="00F17E65" w:rsidRDefault="00407FCE" w:rsidP="00CA0EA2">
      <w:pPr>
        <w:pStyle w:val="FootnoteText"/>
        <w:tabs>
          <w:tab w:val="clear" w:pos="1247"/>
          <w:tab w:val="clear" w:pos="1814"/>
          <w:tab w:val="clear" w:pos="2381"/>
          <w:tab w:val="clear" w:pos="2948"/>
          <w:tab w:val="clear" w:pos="3515"/>
          <w:tab w:val="clear" w:pos="4082"/>
        </w:tabs>
        <w:rPr>
          <w:szCs w:val="18"/>
          <w:lang w:val="en-US"/>
        </w:rPr>
      </w:pPr>
      <w:r w:rsidRPr="00CA0EA2">
        <w:rPr>
          <w:rStyle w:val="FootnoteReference"/>
          <w:sz w:val="18"/>
        </w:rPr>
        <w:footnoteRef/>
      </w:r>
      <w:r w:rsidRPr="00D158C5">
        <w:rPr>
          <w:szCs w:val="18"/>
          <w:lang w:val="en-US"/>
        </w:rPr>
        <w:t xml:space="preserve"> </w:t>
      </w:r>
      <w:r w:rsidRPr="00CA0EA2">
        <w:rPr>
          <w:szCs w:val="18"/>
          <w:lang w:val="en-US"/>
        </w:rPr>
        <w:t xml:space="preserve">In 2017, the Chemicals and Waste Branch was renamed the Chemicals and Health Branch, and the Division of </w:t>
      </w:r>
      <w:r w:rsidRPr="00FB4979">
        <w:rPr>
          <w:szCs w:val="18"/>
          <w:lang w:val="en-US"/>
        </w:rPr>
        <w:t>Technology, Industry and Economics was renamed the Economy Division</w:t>
      </w:r>
      <w:r w:rsidRPr="00F17E65">
        <w:rPr>
          <w:szCs w:val="18"/>
          <w:lang w:val="en-US"/>
        </w:rPr>
        <w:t>.</w:t>
      </w:r>
    </w:p>
  </w:footnote>
  <w:footnote w:id="3">
    <w:p w14:paraId="7CEE17A1" w14:textId="3687936B" w:rsidR="00407FCE" w:rsidRPr="008173FF" w:rsidRDefault="00407FCE" w:rsidP="00CA0EA2">
      <w:pPr>
        <w:pStyle w:val="FootnoteText"/>
        <w:tabs>
          <w:tab w:val="clear" w:pos="1247"/>
          <w:tab w:val="clear" w:pos="1814"/>
          <w:tab w:val="clear" w:pos="2381"/>
          <w:tab w:val="clear" w:pos="2948"/>
          <w:tab w:val="clear" w:pos="3515"/>
          <w:tab w:val="clear" w:pos="4082"/>
        </w:tabs>
        <w:rPr>
          <w:lang w:val="en-US"/>
        </w:rPr>
      </w:pPr>
      <w:r w:rsidRPr="00F17E65">
        <w:rPr>
          <w:rStyle w:val="FootnoteReference"/>
          <w:sz w:val="18"/>
        </w:rPr>
        <w:footnoteRef/>
      </w:r>
      <w:r w:rsidRPr="00F17E65">
        <w:rPr>
          <w:szCs w:val="18"/>
          <w:lang w:val="en-US"/>
        </w:rPr>
        <w:t xml:space="preserve"> The discussion on the</w:t>
      </w:r>
      <w:r w:rsidRPr="004B6984">
        <w:rPr>
          <w:szCs w:val="18"/>
          <w:lang w:val="en-US"/>
        </w:rPr>
        <w:t xml:space="preserve"> agenda item is reflected in paragraphs 160</w:t>
      </w:r>
      <w:r w:rsidRPr="00FB4979">
        <w:rPr>
          <w:szCs w:val="18"/>
          <w:lang w:val="en-US"/>
        </w:rPr>
        <w:t>–168 of the report of the intergovernmental negotiating committee on the work of its seventh session (UNEP(DTIE)/Hg/INC.7/22/Rev.1).</w:t>
      </w:r>
    </w:p>
  </w:footnote>
  <w:footnote w:id="4">
    <w:p w14:paraId="550D6ECD" w14:textId="059B76B0" w:rsidR="00407FCE" w:rsidRPr="00CB4F3D" w:rsidRDefault="00407FCE" w:rsidP="0041238C">
      <w:pPr>
        <w:pStyle w:val="FootnoteText"/>
        <w:rPr>
          <w:lang w:val="en-GB"/>
        </w:rPr>
      </w:pPr>
      <w:r w:rsidRPr="00CB4F3D">
        <w:rPr>
          <w:rStyle w:val="FootnoteReference"/>
          <w:lang w:val="en-GB"/>
        </w:rPr>
        <w:footnoteRef/>
      </w:r>
      <w:r w:rsidRPr="00CB4F3D">
        <w:rPr>
          <w:lang w:val="en-GB"/>
        </w:rPr>
        <w:t xml:space="preserve"> In </w:t>
      </w:r>
      <w:r>
        <w:rPr>
          <w:lang w:val="en-GB"/>
        </w:rPr>
        <w:t xml:space="preserve">document </w:t>
      </w:r>
      <w:r w:rsidRPr="00CB4F3D">
        <w:rPr>
          <w:lang w:val="en-GB"/>
        </w:rPr>
        <w:t xml:space="preserve">UNEP(DTIE)/Hg/INC.7/15, this option was </w:t>
      </w:r>
      <w:r>
        <w:rPr>
          <w:lang w:val="en-GB"/>
        </w:rPr>
        <w:t>en</w:t>
      </w:r>
      <w:r w:rsidRPr="00CB4F3D">
        <w:rPr>
          <w:lang w:val="en-GB"/>
        </w:rPr>
        <w:t>title</w:t>
      </w:r>
      <w:r>
        <w:rPr>
          <w:lang w:val="en-GB"/>
        </w:rPr>
        <w:t>d</w:t>
      </w:r>
      <w:r w:rsidRPr="00CB4F3D">
        <w:rPr>
          <w:lang w:val="en-GB"/>
        </w:rPr>
        <w:t xml:space="preserve"> </w:t>
      </w:r>
      <w:r>
        <w:rPr>
          <w:lang w:val="en-GB"/>
        </w:rPr>
        <w:t>“u</w:t>
      </w:r>
      <w:r w:rsidRPr="00CB4F3D">
        <w:rPr>
          <w:lang w:val="en-GB"/>
        </w:rPr>
        <w:t>tilizing the interim secretariat</w:t>
      </w:r>
      <w:r>
        <w:rPr>
          <w:lang w:val="en-GB"/>
        </w:rPr>
        <w:t xml:space="preserve">”. As the permanent secretariat will replace the interim secretariat, for narrative clarity this option is entitled “establishing </w:t>
      </w:r>
      <w:r w:rsidRPr="007E304A">
        <w:t xml:space="preserve">a </w:t>
      </w:r>
      <w:proofErr w:type="spellStart"/>
      <w:r>
        <w:t>standalone</w:t>
      </w:r>
      <w:proofErr w:type="spellEnd"/>
      <w:r w:rsidRPr="007E304A">
        <w:t xml:space="preserve"> </w:t>
      </w:r>
      <w:r>
        <w:rPr>
          <w:lang w:val="en-GB"/>
        </w:rPr>
        <w:t>secretariat of the Minamata Convention” in the present note.</w:t>
      </w:r>
    </w:p>
  </w:footnote>
  <w:footnote w:id="5">
    <w:p w14:paraId="7F609D4A" w14:textId="05987429" w:rsidR="00407FCE" w:rsidRPr="008164AD" w:rsidRDefault="00407FCE" w:rsidP="0041238C">
      <w:pPr>
        <w:pStyle w:val="BBTitle"/>
        <w:tabs>
          <w:tab w:val="clear" w:pos="1247"/>
          <w:tab w:val="clear" w:pos="1814"/>
          <w:tab w:val="clear" w:pos="2381"/>
          <w:tab w:val="clear" w:pos="2948"/>
          <w:tab w:val="clear" w:pos="3515"/>
          <w:tab w:val="clear" w:pos="4082"/>
          <w:tab w:val="left" w:pos="624"/>
        </w:tabs>
        <w:spacing w:before="20" w:after="40"/>
        <w:ind w:right="0"/>
        <w:rPr>
          <w:b w:val="0"/>
          <w:sz w:val="18"/>
          <w:szCs w:val="18"/>
        </w:rPr>
      </w:pPr>
      <w:r w:rsidRPr="008164AD">
        <w:rPr>
          <w:rStyle w:val="FootnoteReference"/>
          <w:b w:val="0"/>
          <w:sz w:val="18"/>
        </w:rPr>
        <w:footnoteRef/>
      </w:r>
      <w:r w:rsidRPr="008164AD">
        <w:rPr>
          <w:b w:val="0"/>
          <w:sz w:val="18"/>
          <w:szCs w:val="18"/>
        </w:rPr>
        <w:t xml:space="preserve"> </w:t>
      </w:r>
      <w:r>
        <w:rPr>
          <w:b w:val="0"/>
          <w:sz w:val="18"/>
          <w:szCs w:val="18"/>
        </w:rPr>
        <w:t xml:space="preserve">Information on the activities of the interim secretariat is available in documents </w:t>
      </w:r>
      <w:r w:rsidRPr="0021601B">
        <w:rPr>
          <w:b w:val="0"/>
          <w:bCs/>
          <w:sz w:val="18"/>
          <w:szCs w:val="18"/>
        </w:rPr>
        <w:t>UNEP(DTIE)/Hg/INC.6/22, U</w:t>
      </w:r>
      <w:r w:rsidRPr="0021601B">
        <w:rPr>
          <w:b w:val="0"/>
          <w:bCs/>
          <w:sz w:val="18"/>
          <w:szCs w:val="18"/>
          <w:lang w:val="en-US"/>
        </w:rPr>
        <w:t xml:space="preserve">NEP(DTIE)/Hg/INC.6/22/Corr.1, </w:t>
      </w:r>
      <w:r w:rsidRPr="0021601B">
        <w:rPr>
          <w:b w:val="0"/>
          <w:bCs/>
          <w:sz w:val="18"/>
          <w:szCs w:val="18"/>
        </w:rPr>
        <w:t>UNEP(DTIE)/Hg/INC.6/INF/7, UNEP(DTIE)/Hg/INC.7/21 and UNEP/MC/COP.1/20. The interim secretariat</w:t>
      </w:r>
      <w:r>
        <w:rPr>
          <w:b w:val="0"/>
          <w:bCs/>
          <w:sz w:val="18"/>
          <w:szCs w:val="18"/>
        </w:rPr>
        <w:t xml:space="preserve"> has made arrangements for seven meetings of the intergovernmental negotiating committee and meetings of its bureau; facilitated assistance to countries to support ratification and early implementation; and provided scientific and technical expertise to support and underpin the development of technical guidance, including guidance on best available techniques and best environmental practices that is to be presented for adoption at the first meeting of the Conference of the Parties. </w:t>
      </w:r>
    </w:p>
  </w:footnote>
  <w:footnote w:id="6">
    <w:p w14:paraId="387F1286" w14:textId="27D8BF36" w:rsidR="00407FCE" w:rsidRPr="002F12CF" w:rsidRDefault="00407FCE" w:rsidP="0041238C">
      <w:pPr>
        <w:pStyle w:val="FootnoteText"/>
        <w:rPr>
          <w:szCs w:val="18"/>
          <w:lang w:val="en-GB"/>
        </w:rPr>
      </w:pPr>
      <w:r w:rsidRPr="002D4DBC">
        <w:rPr>
          <w:rStyle w:val="FootnoteReference"/>
          <w:sz w:val="18"/>
        </w:rPr>
        <w:footnoteRef/>
      </w:r>
      <w:r w:rsidRPr="002F12CF">
        <w:rPr>
          <w:szCs w:val="18"/>
          <w:lang w:val="en-GB"/>
        </w:rPr>
        <w:t xml:space="preserve"> The </w:t>
      </w:r>
      <w:r w:rsidRPr="008164AD">
        <w:rPr>
          <w:rFonts w:eastAsia="MS Mincho"/>
          <w:lang w:val="en-GB"/>
        </w:rPr>
        <w:t>secretariat</w:t>
      </w:r>
      <w:r w:rsidRPr="00D431B9">
        <w:rPr>
          <w:rFonts w:eastAsia="MS Mincho"/>
          <w:lang w:val="en-GB"/>
        </w:rPr>
        <w:t xml:space="preserve"> of the </w:t>
      </w:r>
      <w:r w:rsidRPr="002F12CF">
        <w:rPr>
          <w:szCs w:val="18"/>
          <w:lang w:val="en-GB"/>
        </w:rPr>
        <w:t xml:space="preserve">Rotterdam Convention is co-administered by </w:t>
      </w:r>
      <w:r>
        <w:rPr>
          <w:szCs w:val="18"/>
          <w:lang w:val="en-GB"/>
        </w:rPr>
        <w:t xml:space="preserve">UNEP </w:t>
      </w:r>
      <w:r w:rsidRPr="002F12CF">
        <w:rPr>
          <w:szCs w:val="18"/>
          <w:lang w:val="en-GB"/>
        </w:rPr>
        <w:t xml:space="preserve">in Geneva and </w:t>
      </w:r>
      <w:r>
        <w:rPr>
          <w:szCs w:val="18"/>
          <w:lang w:val="en-GB"/>
        </w:rPr>
        <w:t>the Food and Agriculture Organization of the United Nations</w:t>
      </w:r>
      <w:r w:rsidRPr="002F12CF">
        <w:rPr>
          <w:szCs w:val="18"/>
          <w:lang w:val="en-GB"/>
        </w:rPr>
        <w:t xml:space="preserve"> in Rome. </w:t>
      </w:r>
    </w:p>
  </w:footnote>
  <w:footnote w:id="7">
    <w:p w14:paraId="7DF67538" w14:textId="116D3336" w:rsidR="00407FCE" w:rsidRPr="00374CCD" w:rsidRDefault="00407FCE" w:rsidP="0041238C">
      <w:pPr>
        <w:pStyle w:val="FootnoteText"/>
        <w:rPr>
          <w:lang w:val="en-US"/>
        </w:rPr>
      </w:pPr>
      <w:r>
        <w:rPr>
          <w:rStyle w:val="FootnoteReference"/>
        </w:rPr>
        <w:footnoteRef/>
      </w:r>
      <w:r w:rsidRPr="00D158C5">
        <w:rPr>
          <w:lang w:val="en-US"/>
        </w:rPr>
        <w:t xml:space="preserve"> </w:t>
      </w:r>
      <w:r>
        <w:rPr>
          <w:lang w:val="en-US"/>
        </w:rPr>
        <w:t xml:space="preserve">The Executive Secretary of the secretariat of the Basel, Rotterdam and Stockholm conventions is at the D-2 level. The posts of Executive Secretary to the prior respective Basel, Rotterdam and Stockholm convention secretariats were at the D-1 level. </w:t>
      </w:r>
    </w:p>
  </w:footnote>
  <w:footnote w:id="8">
    <w:p w14:paraId="72FBDDAD" w14:textId="48A3D12B" w:rsidR="00407FCE" w:rsidRPr="00026DC9" w:rsidRDefault="00407FCE" w:rsidP="0041238C">
      <w:pPr>
        <w:pStyle w:val="FootnoteText"/>
        <w:rPr>
          <w:lang w:val="en-US"/>
        </w:rPr>
      </w:pPr>
      <w:r>
        <w:rPr>
          <w:rStyle w:val="FootnoteReference"/>
        </w:rPr>
        <w:footnoteRef/>
      </w:r>
      <w:r w:rsidRPr="00D158C5">
        <w:rPr>
          <w:lang w:val="en-US"/>
        </w:rPr>
        <w:t xml:space="preserve"> </w:t>
      </w:r>
      <w:r w:rsidRPr="002C71EB">
        <w:rPr>
          <w:lang w:val="en-GB"/>
        </w:rPr>
        <w:t xml:space="preserve">Decisions BC-13/24, </w:t>
      </w:r>
      <w:r w:rsidRPr="006D62CD">
        <w:rPr>
          <w:lang w:val="en-GB"/>
        </w:rPr>
        <w:t>RC-13/24</w:t>
      </w:r>
      <w:r w:rsidRPr="002C71EB">
        <w:rPr>
          <w:lang w:val="en-GB"/>
        </w:rPr>
        <w:t xml:space="preserve">, SC-8/27 on the programmes of work and budgets of the Basel, Rotterdam and Stockholm conventions </w:t>
      </w:r>
      <w:r>
        <w:rPr>
          <w:lang w:val="en-GB"/>
        </w:rPr>
        <w:t xml:space="preserve">respectively </w:t>
      </w:r>
      <w:r w:rsidRPr="002C71EB">
        <w:rPr>
          <w:lang w:val="en-GB"/>
        </w:rPr>
        <w:t>for the biennium 2018</w:t>
      </w:r>
      <w:r>
        <w:rPr>
          <w:lang w:val="en-GB"/>
        </w:rPr>
        <w:t>–</w:t>
      </w:r>
      <w:r w:rsidRPr="002C71EB">
        <w:rPr>
          <w:lang w:val="en-GB"/>
        </w:rPr>
        <w:t>2019.</w:t>
      </w:r>
    </w:p>
  </w:footnote>
  <w:footnote w:id="9">
    <w:p w14:paraId="1E3F1C3A" w14:textId="777F9272" w:rsidR="00407FCE" w:rsidRPr="006432A8" w:rsidRDefault="00407FCE">
      <w:pPr>
        <w:pStyle w:val="FootnoteText"/>
        <w:rPr>
          <w:lang w:val="en-US"/>
        </w:rPr>
      </w:pPr>
      <w:r>
        <w:rPr>
          <w:rStyle w:val="FootnoteReference"/>
        </w:rPr>
        <w:footnoteRef/>
      </w:r>
      <w:r w:rsidRPr="001664EC">
        <w:rPr>
          <w:lang w:val="en-US"/>
        </w:rPr>
        <w:t xml:space="preserve">   </w:t>
      </w:r>
      <w:r>
        <w:rPr>
          <w:lang w:val="en-GB"/>
        </w:rPr>
        <w:t>UNEP</w:t>
      </w:r>
      <w:r w:rsidRPr="006432A8">
        <w:rPr>
          <w:lang w:val="en-GB"/>
        </w:rPr>
        <w:t xml:space="preserve"> </w:t>
      </w:r>
      <w:r>
        <w:rPr>
          <w:lang w:val="en-GB"/>
        </w:rPr>
        <w:t xml:space="preserve">has </w:t>
      </w:r>
      <w:r w:rsidRPr="006432A8">
        <w:rPr>
          <w:lang w:val="en-GB"/>
        </w:rPr>
        <w:t xml:space="preserve">approved </w:t>
      </w:r>
      <w:r>
        <w:rPr>
          <w:lang w:val="en-GB"/>
        </w:rPr>
        <w:t>successive</w:t>
      </w:r>
      <w:r w:rsidRPr="006432A8">
        <w:rPr>
          <w:lang w:val="en-GB"/>
        </w:rPr>
        <w:t xml:space="preserve"> project</w:t>
      </w:r>
      <w:r>
        <w:rPr>
          <w:lang w:val="en-GB"/>
        </w:rPr>
        <w:t>s</w:t>
      </w:r>
      <w:r w:rsidRPr="006432A8">
        <w:rPr>
          <w:lang w:val="en-GB"/>
        </w:rPr>
        <w:t xml:space="preserve"> covering the work of the interim secretariat</w:t>
      </w:r>
      <w:r>
        <w:rPr>
          <w:lang w:val="en-GB"/>
        </w:rPr>
        <w:t xml:space="preserve"> since 2009</w:t>
      </w:r>
      <w:r w:rsidRPr="006432A8">
        <w:rPr>
          <w:lang w:val="en-GB"/>
        </w:rPr>
        <w:t>. The work include</w:t>
      </w:r>
      <w:r>
        <w:rPr>
          <w:lang w:val="en-GB"/>
        </w:rPr>
        <w:t>d</w:t>
      </w:r>
      <w:r w:rsidRPr="006432A8">
        <w:rPr>
          <w:lang w:val="en-GB"/>
        </w:rPr>
        <w:t xml:space="preserve"> </w:t>
      </w:r>
      <w:r w:rsidRPr="00E17E02">
        <w:rPr>
          <w:lang w:val="en-GB"/>
        </w:rPr>
        <w:t>arranging</w:t>
      </w:r>
      <w:r w:rsidRPr="006432A8">
        <w:rPr>
          <w:lang w:val="en-GB"/>
        </w:rPr>
        <w:t xml:space="preserve"> </w:t>
      </w:r>
      <w:r w:rsidRPr="00E17E02">
        <w:rPr>
          <w:lang w:val="en-GB"/>
        </w:rPr>
        <w:t>and providing support to seven meetings</w:t>
      </w:r>
      <w:r w:rsidRPr="006432A8">
        <w:rPr>
          <w:lang w:val="en-GB"/>
        </w:rPr>
        <w:t xml:space="preserve"> of the intergovernmental negotiating committee and </w:t>
      </w:r>
      <w:r>
        <w:rPr>
          <w:lang w:val="en-GB"/>
        </w:rPr>
        <w:t xml:space="preserve">meetings of </w:t>
      </w:r>
      <w:r w:rsidRPr="006432A8">
        <w:rPr>
          <w:lang w:val="en-GB"/>
        </w:rPr>
        <w:t>its bureau, facilitating and supporting a range of technical assistance and other activities towards ratification and early implementation, and leading outreach and awareness-raising on the Convention. The interim secretariat has also provided scientific knowledge and technical support for intersessional work to develop technical guidance, including guidance on best available techniques and best environmental practices that is ready to be presented to the Conference of the Parties at its first meeting. In addition, the interim secretariat has cooperated and coordinated with the secretariat of relevant international bodies, most importantly the Global Environment Facility. The interim secretariat has prepared the first meeting of the Conference of the Parties to the Minamata Con</w:t>
      </w:r>
      <w:r w:rsidRPr="00C2225F">
        <w:rPr>
          <w:lang w:val="en-GB"/>
        </w:rPr>
        <w:t>vention</w:t>
      </w:r>
      <w:r w:rsidRPr="006432A8">
        <w:rPr>
          <w:lang w:val="en-GB"/>
        </w:rPr>
        <w:t xml:space="preserve"> and entered into administrative and contractual arrangements as required to effectively undertake these secretariat functions.</w:t>
      </w:r>
    </w:p>
  </w:footnote>
  <w:footnote w:id="10">
    <w:p w14:paraId="43742B43" w14:textId="25D36805" w:rsidR="00407FCE" w:rsidRPr="00D11BCE" w:rsidRDefault="00407FCE" w:rsidP="00F17E65">
      <w:pPr>
        <w:pStyle w:val="FootnoteText"/>
        <w:rPr>
          <w:lang w:val="en-GB"/>
        </w:rPr>
      </w:pPr>
      <w:r w:rsidRPr="00D11BCE">
        <w:rPr>
          <w:rStyle w:val="FootnoteReference"/>
          <w:lang w:val="en-GB"/>
        </w:rPr>
        <w:footnoteRef/>
      </w:r>
      <w:r w:rsidRPr="00D11BCE">
        <w:rPr>
          <w:lang w:val="en-GB"/>
        </w:rPr>
        <w:t xml:space="preserve"> Such support included </w:t>
      </w:r>
      <w:r w:rsidRPr="00D11BCE">
        <w:rPr>
          <w:rFonts w:eastAsia="MS Mincho"/>
          <w:lang w:val="en-GB"/>
        </w:rPr>
        <w:t>administrative support provided through the Chemicals and Health Branch; legal support provided by the Law Division</w:t>
      </w:r>
      <w:r>
        <w:rPr>
          <w:rFonts w:eastAsia="MS Mincho"/>
          <w:lang w:val="en-GB"/>
        </w:rPr>
        <w:t xml:space="preserve">, information technology </w:t>
      </w:r>
      <w:r w:rsidRPr="00D11BCE">
        <w:rPr>
          <w:rFonts w:eastAsia="MS Mincho"/>
          <w:lang w:val="en-GB"/>
        </w:rPr>
        <w:t>support provided through the United Nations Office at Geneva; and surge support for conference servicing during peak meetings, and information management (particularly website server maintenance) provided through the secretariat of the Basel, Rotterdam and Stockholm conventions.</w:t>
      </w:r>
    </w:p>
  </w:footnote>
  <w:footnote w:id="11">
    <w:p w14:paraId="6FC820B5" w14:textId="77777777" w:rsidR="00407FCE" w:rsidRPr="00A54829" w:rsidRDefault="00407FCE" w:rsidP="00A57567">
      <w:pPr>
        <w:pStyle w:val="FootnoteText"/>
        <w:rPr>
          <w:szCs w:val="18"/>
          <w:lang w:val="en-US"/>
        </w:rPr>
      </w:pPr>
      <w:r w:rsidRPr="00A54829">
        <w:rPr>
          <w:rStyle w:val="FootnoteReference"/>
          <w:sz w:val="18"/>
        </w:rPr>
        <w:footnoteRef/>
      </w:r>
      <w:r w:rsidRPr="00D158C5">
        <w:rPr>
          <w:szCs w:val="18"/>
          <w:lang w:val="en-US"/>
        </w:rPr>
        <w:t xml:space="preserve"> </w:t>
      </w:r>
      <w:r w:rsidRPr="00A54829">
        <w:rPr>
          <w:szCs w:val="18"/>
          <w:lang w:val="en-US"/>
        </w:rPr>
        <w:t>The current Minamata Convention website is hosted on the server of the secretariat of the Basel, Rotterdam and Stockholm</w:t>
      </w:r>
      <w:r>
        <w:rPr>
          <w:szCs w:val="18"/>
          <w:lang w:val="en-US"/>
        </w:rPr>
        <w:t xml:space="preserve"> conventions</w:t>
      </w:r>
      <w:r w:rsidRPr="00A54829">
        <w:rPr>
          <w:szCs w:val="18"/>
          <w:lang w:val="en-US"/>
        </w:rPr>
        <w:t xml:space="preserve">, </w:t>
      </w:r>
      <w:r>
        <w:rPr>
          <w:szCs w:val="18"/>
          <w:lang w:val="en-US"/>
        </w:rPr>
        <w:t>al</w:t>
      </w:r>
      <w:r w:rsidRPr="00A54829">
        <w:rPr>
          <w:szCs w:val="18"/>
          <w:lang w:val="en-US"/>
        </w:rPr>
        <w:t xml:space="preserve">though the website itself was built through an external contract and is being maintained and adjusted as needed by the staff of the interim </w:t>
      </w:r>
      <w:r>
        <w:rPr>
          <w:szCs w:val="18"/>
          <w:lang w:val="en-US"/>
        </w:rPr>
        <w:t>s</w:t>
      </w:r>
      <w:r w:rsidRPr="00A54829">
        <w:rPr>
          <w:szCs w:val="18"/>
          <w:lang w:val="en-US"/>
        </w:rPr>
        <w:t xml:space="preserve">ecretariat.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BE8C" w14:textId="7A5EBDCB" w:rsidR="00407FCE" w:rsidRPr="00917998" w:rsidRDefault="00407FCE" w:rsidP="0041238C">
    <w:pPr>
      <w:pStyle w:val="Header"/>
    </w:pPr>
    <w:r w:rsidRPr="00917998">
      <w:rPr>
        <w:bCs/>
        <w:szCs w:val="18"/>
      </w:rPr>
      <w:t>UNEP/MC/COP.1/14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BFE1" w14:textId="1FA3FFE5" w:rsidR="00407FCE" w:rsidRPr="00144267" w:rsidRDefault="00407FCE" w:rsidP="0041238C">
    <w:pPr>
      <w:pStyle w:val="Header"/>
    </w:pPr>
    <w:r w:rsidRPr="00917998">
      <w:rPr>
        <w:bCs/>
        <w:szCs w:val="18"/>
      </w:rPr>
      <w:t>UNEP/MC/COP.1/14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1449" w14:textId="1450C9E9" w:rsidR="00407FCE" w:rsidRDefault="00407FCE"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0FBD" w14:textId="2628EB22" w:rsidR="00407FCE" w:rsidRPr="00CA5CA9" w:rsidRDefault="00407FCE" w:rsidP="001646EA">
    <w:pPr>
      <w:pStyle w:val="Header"/>
      <w:rPr>
        <w:szCs w:val="18"/>
      </w:rPr>
    </w:pPr>
    <w:r w:rsidRPr="008E0141">
      <w:rPr>
        <w:bCs/>
        <w:szCs w:val="18"/>
      </w:rPr>
      <w:t>UNEP</w:t>
    </w:r>
    <w:r>
      <w:rPr>
        <w:szCs w:val="18"/>
      </w:rPr>
      <w:t>/MC/COP.1/14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D19A" w14:textId="0AD1474E" w:rsidR="00407FCE" w:rsidRPr="00CA5CA9" w:rsidRDefault="00407FCE" w:rsidP="00035EDE">
    <w:pPr>
      <w:pStyle w:val="Header"/>
      <w:jc w:val="right"/>
      <w:rPr>
        <w:szCs w:val="18"/>
      </w:rPr>
    </w:pPr>
    <w:r w:rsidRPr="001176CB">
      <w:rPr>
        <w:bCs/>
        <w:szCs w:val="18"/>
      </w:rPr>
      <w:t>UNEP</w:t>
    </w:r>
    <w:r>
      <w:rPr>
        <w:szCs w:val="18"/>
      </w:rPr>
      <w:t>/MC/COP.1/14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4382" w14:textId="719CC470" w:rsidR="00407FCE" w:rsidRDefault="00407FCE" w:rsidP="00F30C06">
    <w:pPr>
      <w:pStyle w:val="Header"/>
    </w:pPr>
    <w:r w:rsidRPr="00BF30CD">
      <w:t>UNEP/MC/COP.1/5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73D6DF0"/>
    <w:multiLevelType w:val="hybridMultilevel"/>
    <w:tmpl w:val="D502522A"/>
    <w:lvl w:ilvl="0" w:tplc="388A549A">
      <w:start w:val="1"/>
      <w:numFmt w:val="lowerLetter"/>
      <w:lvlText w:val="(%1)"/>
      <w:lvlJc w:val="left"/>
      <w:pPr>
        <w:ind w:left="2232" w:hanging="360"/>
      </w:pPr>
      <w:rPr>
        <w:rFonts w:hint="default"/>
      </w:rPr>
    </w:lvl>
    <w:lvl w:ilvl="1" w:tplc="08090019" w:tentative="1">
      <w:start w:val="1"/>
      <w:numFmt w:val="lowerLetter"/>
      <w:lvlText w:val="%2."/>
      <w:lvlJc w:val="left"/>
      <w:pPr>
        <w:ind w:left="985" w:hanging="360"/>
      </w:pPr>
    </w:lvl>
    <w:lvl w:ilvl="2" w:tplc="0809001B" w:tentative="1">
      <w:start w:val="1"/>
      <w:numFmt w:val="lowerRoman"/>
      <w:lvlText w:val="%3."/>
      <w:lvlJc w:val="right"/>
      <w:pPr>
        <w:ind w:left="1705" w:hanging="180"/>
      </w:pPr>
    </w:lvl>
    <w:lvl w:ilvl="3" w:tplc="0809000F" w:tentative="1">
      <w:start w:val="1"/>
      <w:numFmt w:val="decimal"/>
      <w:lvlText w:val="%4."/>
      <w:lvlJc w:val="left"/>
      <w:pPr>
        <w:ind w:left="2425" w:hanging="360"/>
      </w:pPr>
    </w:lvl>
    <w:lvl w:ilvl="4" w:tplc="08090019" w:tentative="1">
      <w:start w:val="1"/>
      <w:numFmt w:val="lowerLetter"/>
      <w:lvlText w:val="%5."/>
      <w:lvlJc w:val="left"/>
      <w:pPr>
        <w:ind w:left="3145" w:hanging="360"/>
      </w:pPr>
    </w:lvl>
    <w:lvl w:ilvl="5" w:tplc="0809001B" w:tentative="1">
      <w:start w:val="1"/>
      <w:numFmt w:val="lowerRoman"/>
      <w:lvlText w:val="%6."/>
      <w:lvlJc w:val="right"/>
      <w:pPr>
        <w:ind w:left="3865" w:hanging="180"/>
      </w:pPr>
    </w:lvl>
    <w:lvl w:ilvl="6" w:tplc="0809000F" w:tentative="1">
      <w:start w:val="1"/>
      <w:numFmt w:val="decimal"/>
      <w:lvlText w:val="%7."/>
      <w:lvlJc w:val="left"/>
      <w:pPr>
        <w:ind w:left="4585" w:hanging="360"/>
      </w:pPr>
    </w:lvl>
    <w:lvl w:ilvl="7" w:tplc="08090019" w:tentative="1">
      <w:start w:val="1"/>
      <w:numFmt w:val="lowerLetter"/>
      <w:lvlText w:val="%8."/>
      <w:lvlJc w:val="left"/>
      <w:pPr>
        <w:ind w:left="5305" w:hanging="360"/>
      </w:pPr>
    </w:lvl>
    <w:lvl w:ilvl="8" w:tplc="0809001B" w:tentative="1">
      <w:start w:val="1"/>
      <w:numFmt w:val="lowerRoman"/>
      <w:lvlText w:val="%9."/>
      <w:lvlJc w:val="right"/>
      <w:pPr>
        <w:ind w:left="6025" w:hanging="180"/>
      </w:pPr>
    </w:lvl>
  </w:abstractNum>
  <w:abstractNum w:abstractNumId="3">
    <w:nsid w:val="08445A8B"/>
    <w:multiLevelType w:val="hybridMultilevel"/>
    <w:tmpl w:val="B9080D58"/>
    <w:lvl w:ilvl="0" w:tplc="A9D4C69E">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6391C"/>
    <w:multiLevelType w:val="hybridMultilevel"/>
    <w:tmpl w:val="81E0EFB8"/>
    <w:numStyleLink w:val="Importeradestilen5"/>
  </w:abstractNum>
  <w:abstractNum w:abstractNumId="5">
    <w:nsid w:val="0E11634A"/>
    <w:multiLevelType w:val="hybridMultilevel"/>
    <w:tmpl w:val="94F607D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67F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F609FC"/>
    <w:multiLevelType w:val="hybridMultilevel"/>
    <w:tmpl w:val="73ACFBEA"/>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nsid w:val="13F97800"/>
    <w:multiLevelType w:val="hybridMultilevel"/>
    <w:tmpl w:val="E17CD3A6"/>
    <w:lvl w:ilvl="0" w:tplc="388A549A">
      <w:start w:val="1"/>
      <w:numFmt w:val="lowerLetter"/>
      <w:lvlText w:val="(%1)"/>
      <w:lvlJc w:val="left"/>
      <w:pPr>
        <w:ind w:left="2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3E216E"/>
    <w:multiLevelType w:val="multilevel"/>
    <w:tmpl w:val="0409001F"/>
    <w:numStyleLink w:val="111111"/>
  </w:abstractNum>
  <w:abstractNum w:abstractNumId="10">
    <w:nsid w:val="19D95965"/>
    <w:multiLevelType w:val="hybridMultilevel"/>
    <w:tmpl w:val="F044000E"/>
    <w:numStyleLink w:val="Importeradestilen8"/>
  </w:abstractNum>
  <w:abstractNum w:abstractNumId="1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nsid w:val="1CD97593"/>
    <w:multiLevelType w:val="hybridMultilevel"/>
    <w:tmpl w:val="9E769EFC"/>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359AC"/>
    <w:multiLevelType w:val="multilevel"/>
    <w:tmpl w:val="B9080D58"/>
    <w:lvl w:ilvl="0">
      <w:start w:val="1"/>
      <w:numFmt w:val="decimal"/>
      <w:lvlText w:val="%1."/>
      <w:lvlJc w:val="left"/>
      <w:pPr>
        <w:ind w:left="19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5">
    <w:nsid w:val="1ED51B3D"/>
    <w:multiLevelType w:val="hybridMultilevel"/>
    <w:tmpl w:val="64D4B924"/>
    <w:lvl w:ilvl="0" w:tplc="7960EDBA">
      <w:start w:val="1"/>
      <w:numFmt w:val="lowerLetter"/>
      <w:lvlText w:val="(%1)"/>
      <w:lvlJc w:val="left"/>
      <w:pPr>
        <w:ind w:left="1980" w:hanging="360"/>
      </w:pPr>
      <w:rPr>
        <w:rFonts w:hint="default"/>
      </w:rPr>
    </w:lvl>
    <w:lvl w:ilvl="1" w:tplc="08090019">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6">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7">
    <w:nsid w:val="224433FA"/>
    <w:multiLevelType w:val="hybridMultilevel"/>
    <w:tmpl w:val="E6B417E6"/>
    <w:lvl w:ilvl="0" w:tplc="E6B44058">
      <w:numFmt w:val="bullet"/>
      <w:lvlText w:val="-"/>
      <w:lvlJc w:val="left"/>
      <w:pPr>
        <w:ind w:left="2231" w:hanging="360"/>
      </w:pPr>
      <w:rPr>
        <w:rFonts w:ascii="Times New Roman" w:eastAsia="MS Mincho" w:hAnsi="Times New Roman" w:cs="Times New Roman"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18">
    <w:nsid w:val="22FF4568"/>
    <w:multiLevelType w:val="hybridMultilevel"/>
    <w:tmpl w:val="AFB2B994"/>
    <w:lvl w:ilvl="0" w:tplc="30FC9688">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725D1"/>
    <w:multiLevelType w:val="multilevel"/>
    <w:tmpl w:val="4D52D7A0"/>
    <w:numStyleLink w:val="Normallist"/>
  </w:abstractNum>
  <w:abstractNum w:abstractNumId="2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A5422E4"/>
    <w:multiLevelType w:val="hybridMultilevel"/>
    <w:tmpl w:val="C06441CE"/>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2">
    <w:nsid w:val="2EE77FFC"/>
    <w:multiLevelType w:val="hybridMultilevel"/>
    <w:tmpl w:val="A22E6726"/>
    <w:lvl w:ilvl="0" w:tplc="EF588F86">
      <w:start w:val="1"/>
      <w:numFmt w:val="lowerLetter"/>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23">
    <w:nsid w:val="30B70740"/>
    <w:multiLevelType w:val="hybridMultilevel"/>
    <w:tmpl w:val="81E4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606A48"/>
    <w:multiLevelType w:val="hybridMultilevel"/>
    <w:tmpl w:val="20DAC052"/>
    <w:lvl w:ilvl="0" w:tplc="519EACF0">
      <w:numFmt w:val="bullet"/>
      <w:lvlText w:val="-"/>
      <w:lvlJc w:val="left"/>
      <w:pPr>
        <w:ind w:left="2231" w:hanging="360"/>
      </w:pPr>
      <w:rPr>
        <w:rFonts w:ascii="Times New Roman" w:eastAsia="MS Mincho" w:hAnsi="Times New Roman" w:cs="Times New Roman"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6">
    <w:nsid w:val="36E0616B"/>
    <w:multiLevelType w:val="hybridMultilevel"/>
    <w:tmpl w:val="3A3C5942"/>
    <w:lvl w:ilvl="0" w:tplc="388A549A">
      <w:start w:val="1"/>
      <w:numFmt w:val="lowerLetter"/>
      <w:lvlText w:val="(%1)"/>
      <w:lvlJc w:val="left"/>
      <w:pPr>
        <w:ind w:left="3934"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7">
    <w:nsid w:val="3D244671"/>
    <w:multiLevelType w:val="hybridMultilevel"/>
    <w:tmpl w:val="6108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7457E1"/>
    <w:multiLevelType w:val="multilevel"/>
    <w:tmpl w:val="4D52D7A0"/>
    <w:numStyleLink w:val="Normallist"/>
  </w:abstractNum>
  <w:abstractNum w:abstractNumId="29">
    <w:nsid w:val="40607687"/>
    <w:multiLevelType w:val="hybridMultilevel"/>
    <w:tmpl w:val="D5ACA898"/>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31">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32">
    <w:nsid w:val="498B1084"/>
    <w:multiLevelType w:val="multilevel"/>
    <w:tmpl w:val="0409001F"/>
    <w:numStyleLink w:val="111111"/>
  </w:abstractNum>
  <w:abstractNum w:abstractNumId="33">
    <w:nsid w:val="4A0608AF"/>
    <w:multiLevelType w:val="hybridMultilevel"/>
    <w:tmpl w:val="156885FC"/>
    <w:numStyleLink w:val="Importeradestilen3"/>
  </w:abstractNum>
  <w:abstractNum w:abstractNumId="34">
    <w:nsid w:val="4AAE2F9A"/>
    <w:multiLevelType w:val="hybridMultilevel"/>
    <w:tmpl w:val="EBE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4DAA4A15"/>
    <w:multiLevelType w:val="hybridMultilevel"/>
    <w:tmpl w:val="9B022E26"/>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A66A9D"/>
    <w:multiLevelType w:val="multilevel"/>
    <w:tmpl w:val="4D52D7A0"/>
    <w:styleLink w:val="Normallist"/>
    <w:lvl w:ilvl="0">
      <w:start w:val="1"/>
      <w:numFmt w:val="decimal"/>
      <w:pStyle w:val="Normalnumber"/>
      <w:lvlText w:val="%1."/>
      <w:lvlJc w:val="left"/>
      <w:pPr>
        <w:tabs>
          <w:tab w:val="num" w:pos="2497"/>
        </w:tabs>
        <w:ind w:left="2610" w:firstLine="0"/>
      </w:pPr>
      <w:rPr>
        <w:rFonts w:hint="default"/>
      </w:rPr>
    </w:lvl>
    <w:lvl w:ilvl="1">
      <w:start w:val="1"/>
      <w:numFmt w:val="lowerLetter"/>
      <w:lvlText w:val="(%2)"/>
      <w:lvlJc w:val="left"/>
      <w:pPr>
        <w:tabs>
          <w:tab w:val="num" w:pos="2497"/>
        </w:tabs>
        <w:ind w:left="2610" w:firstLine="567"/>
      </w:pPr>
      <w:rPr>
        <w:rFonts w:hint="default"/>
      </w:rPr>
    </w:lvl>
    <w:lvl w:ilvl="2">
      <w:start w:val="1"/>
      <w:numFmt w:val="lowerRoman"/>
      <w:lvlText w:val="(%3)"/>
      <w:lvlJc w:val="left"/>
      <w:pPr>
        <w:tabs>
          <w:tab w:val="num" w:pos="2497"/>
        </w:tabs>
        <w:ind w:left="4311" w:hanging="567"/>
      </w:pPr>
      <w:rPr>
        <w:rFonts w:hint="default"/>
      </w:rPr>
    </w:lvl>
    <w:lvl w:ilvl="3">
      <w:start w:val="1"/>
      <w:numFmt w:val="lowerLetter"/>
      <w:lvlText w:val="%4."/>
      <w:lvlJc w:val="left"/>
      <w:pPr>
        <w:tabs>
          <w:tab w:val="num" w:pos="2497"/>
        </w:tabs>
        <w:ind w:left="4878" w:hanging="567"/>
      </w:pPr>
      <w:rPr>
        <w:rFonts w:hint="default"/>
      </w:rPr>
    </w:lvl>
    <w:lvl w:ilvl="4">
      <w:start w:val="1"/>
      <w:numFmt w:val="lowerRoman"/>
      <w:lvlText w:val="%5."/>
      <w:lvlJc w:val="left"/>
      <w:pPr>
        <w:tabs>
          <w:tab w:val="num" w:pos="2497"/>
        </w:tabs>
        <w:ind w:left="5445" w:hanging="567"/>
      </w:pPr>
      <w:rPr>
        <w:rFonts w:hint="default"/>
      </w:rPr>
    </w:lvl>
    <w:lvl w:ilvl="5">
      <w:start w:val="1"/>
      <w:numFmt w:val="lowerRoman"/>
      <w:lvlText w:val="%6."/>
      <w:lvlJc w:val="right"/>
      <w:pPr>
        <w:tabs>
          <w:tab w:val="num" w:pos="9198"/>
        </w:tabs>
        <w:ind w:left="9198" w:hanging="180"/>
      </w:pPr>
      <w:rPr>
        <w:rFonts w:hint="default"/>
      </w:rPr>
    </w:lvl>
    <w:lvl w:ilvl="6">
      <w:start w:val="1"/>
      <w:numFmt w:val="decimal"/>
      <w:lvlText w:val="%7."/>
      <w:lvlJc w:val="left"/>
      <w:pPr>
        <w:tabs>
          <w:tab w:val="num" w:pos="9918"/>
        </w:tabs>
        <w:ind w:left="9918" w:hanging="360"/>
      </w:pPr>
      <w:rPr>
        <w:rFonts w:hint="default"/>
      </w:rPr>
    </w:lvl>
    <w:lvl w:ilvl="7">
      <w:start w:val="1"/>
      <w:numFmt w:val="lowerLetter"/>
      <w:lvlText w:val="%8."/>
      <w:lvlJc w:val="left"/>
      <w:pPr>
        <w:tabs>
          <w:tab w:val="num" w:pos="10638"/>
        </w:tabs>
        <w:ind w:left="10638" w:hanging="360"/>
      </w:pPr>
      <w:rPr>
        <w:rFonts w:hint="default"/>
      </w:rPr>
    </w:lvl>
    <w:lvl w:ilvl="8">
      <w:start w:val="1"/>
      <w:numFmt w:val="lowerRoman"/>
      <w:lvlText w:val="%9."/>
      <w:lvlJc w:val="right"/>
      <w:pPr>
        <w:tabs>
          <w:tab w:val="num" w:pos="11358"/>
        </w:tabs>
        <w:ind w:left="11358" w:hanging="180"/>
      </w:pPr>
      <w:rPr>
        <w:rFonts w:hint="default"/>
      </w:rPr>
    </w:lvl>
  </w:abstractNum>
  <w:abstractNum w:abstractNumId="38">
    <w:nsid w:val="55DA4D57"/>
    <w:multiLevelType w:val="multilevel"/>
    <w:tmpl w:val="78EC622E"/>
    <w:lvl w:ilvl="0">
      <w:start w:val="1"/>
      <w:numFmt w:val="lowerLetter"/>
      <w:lvlText w:val="(%1)"/>
      <w:lvlJc w:val="left"/>
      <w:pPr>
        <w:ind w:left="2687" w:hanging="360"/>
      </w:pPr>
      <w:rPr>
        <w:rFonts w:hint="default"/>
      </w:rPr>
    </w:lvl>
    <w:lvl w:ilvl="1">
      <w:start w:val="1"/>
      <w:numFmt w:val="lowerLetter"/>
      <w:lvlText w:val="%2."/>
      <w:lvlJc w:val="left"/>
      <w:pPr>
        <w:ind w:left="3407" w:hanging="360"/>
      </w:pPr>
    </w:lvl>
    <w:lvl w:ilvl="2">
      <w:start w:val="1"/>
      <w:numFmt w:val="lowerRoman"/>
      <w:lvlText w:val="%3."/>
      <w:lvlJc w:val="right"/>
      <w:pPr>
        <w:ind w:left="4127" w:hanging="180"/>
      </w:pPr>
    </w:lvl>
    <w:lvl w:ilvl="3">
      <w:start w:val="1"/>
      <w:numFmt w:val="decimal"/>
      <w:lvlText w:val="%4."/>
      <w:lvlJc w:val="left"/>
      <w:pPr>
        <w:ind w:left="4847" w:hanging="360"/>
      </w:pPr>
    </w:lvl>
    <w:lvl w:ilvl="4">
      <w:start w:val="1"/>
      <w:numFmt w:val="lowerLetter"/>
      <w:lvlText w:val="%5."/>
      <w:lvlJc w:val="left"/>
      <w:pPr>
        <w:ind w:left="5567" w:hanging="360"/>
      </w:pPr>
    </w:lvl>
    <w:lvl w:ilvl="5">
      <w:start w:val="1"/>
      <w:numFmt w:val="lowerRoman"/>
      <w:lvlText w:val="%6."/>
      <w:lvlJc w:val="right"/>
      <w:pPr>
        <w:ind w:left="6287" w:hanging="180"/>
      </w:pPr>
    </w:lvl>
    <w:lvl w:ilvl="6">
      <w:start w:val="1"/>
      <w:numFmt w:val="decimal"/>
      <w:lvlText w:val="%7."/>
      <w:lvlJc w:val="left"/>
      <w:pPr>
        <w:ind w:left="7007" w:hanging="360"/>
      </w:pPr>
    </w:lvl>
    <w:lvl w:ilvl="7">
      <w:start w:val="1"/>
      <w:numFmt w:val="lowerLetter"/>
      <w:lvlText w:val="%8."/>
      <w:lvlJc w:val="left"/>
      <w:pPr>
        <w:ind w:left="7727" w:hanging="360"/>
      </w:pPr>
    </w:lvl>
    <w:lvl w:ilvl="8">
      <w:start w:val="1"/>
      <w:numFmt w:val="lowerRoman"/>
      <w:lvlText w:val="%9."/>
      <w:lvlJc w:val="right"/>
      <w:pPr>
        <w:ind w:left="8447" w:hanging="180"/>
      </w:pPr>
    </w:lvl>
  </w:abstractNum>
  <w:abstractNum w:abstractNumId="39">
    <w:nsid w:val="58AA3667"/>
    <w:multiLevelType w:val="hybridMultilevel"/>
    <w:tmpl w:val="A72A60C0"/>
    <w:numStyleLink w:val="Importeradestilen7"/>
  </w:abstractNum>
  <w:abstractNum w:abstractNumId="40">
    <w:nsid w:val="5BF5183E"/>
    <w:multiLevelType w:val="hybridMultilevel"/>
    <w:tmpl w:val="686C86F4"/>
    <w:numStyleLink w:val="Importeradestilen4"/>
  </w:abstractNum>
  <w:abstractNum w:abstractNumId="41">
    <w:nsid w:val="5DE26A8A"/>
    <w:multiLevelType w:val="hybridMultilevel"/>
    <w:tmpl w:val="C854E62E"/>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216D7B"/>
    <w:multiLevelType w:val="hybridMultilevel"/>
    <w:tmpl w:val="0B422B62"/>
    <w:numStyleLink w:val="Importeradestilen9"/>
  </w:abstractNum>
  <w:abstractNum w:abstractNumId="43">
    <w:nsid w:val="62691179"/>
    <w:multiLevelType w:val="hybridMultilevel"/>
    <w:tmpl w:val="1796281C"/>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4">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nsid w:val="65431642"/>
    <w:multiLevelType w:val="hybridMultilevel"/>
    <w:tmpl w:val="082E30F6"/>
    <w:lvl w:ilvl="0" w:tplc="B2B8B130">
      <w:start w:val="1"/>
      <w:numFmt w:val="lowerLetter"/>
      <w:lvlText w:val="(%1)"/>
      <w:lvlJc w:val="left"/>
      <w:pPr>
        <w:ind w:left="2235" w:hanging="360"/>
      </w:pPr>
      <w:rPr>
        <w:rFonts w:hint="default"/>
      </w:rPr>
    </w:lvl>
    <w:lvl w:ilvl="1" w:tplc="08090019">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46">
    <w:nsid w:val="65B514B4"/>
    <w:multiLevelType w:val="hybridMultilevel"/>
    <w:tmpl w:val="EF6A616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6A785066"/>
    <w:multiLevelType w:val="hybridMultilevel"/>
    <w:tmpl w:val="651C4CD4"/>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724878"/>
    <w:multiLevelType w:val="hybridMultilevel"/>
    <w:tmpl w:val="A9E66208"/>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0">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1">
    <w:nsid w:val="6DC73B16"/>
    <w:multiLevelType w:val="hybridMultilevel"/>
    <w:tmpl w:val="E74AA2CE"/>
    <w:lvl w:ilvl="0" w:tplc="3552E828">
      <w:start w:val="16"/>
      <w:numFmt w:val="decimal"/>
      <w:lvlText w:val="%1."/>
      <w:lvlJc w:val="left"/>
      <w:pPr>
        <w:ind w:left="19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53">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4">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55">
    <w:nsid w:val="77A13BE6"/>
    <w:multiLevelType w:val="hybridMultilevel"/>
    <w:tmpl w:val="92DEC6DE"/>
    <w:lvl w:ilvl="0" w:tplc="08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6">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7E654A72"/>
    <w:multiLevelType w:val="hybridMultilevel"/>
    <w:tmpl w:val="78EC622E"/>
    <w:lvl w:ilvl="0" w:tplc="388A549A">
      <w:start w:val="1"/>
      <w:numFmt w:val="lowerLetter"/>
      <w:lvlText w:val="(%1)"/>
      <w:lvlJc w:val="left"/>
      <w:pPr>
        <w:ind w:left="2687" w:hanging="360"/>
      </w:pPr>
      <w:rPr>
        <w:rFonts w:hint="default"/>
      </w:rPr>
    </w:lvl>
    <w:lvl w:ilvl="1" w:tplc="04090019" w:tentative="1">
      <w:start w:val="1"/>
      <w:numFmt w:val="lowerLetter"/>
      <w:lvlText w:val="%2."/>
      <w:lvlJc w:val="left"/>
      <w:pPr>
        <w:ind w:left="3407" w:hanging="360"/>
      </w:pPr>
    </w:lvl>
    <w:lvl w:ilvl="2" w:tplc="0409001B" w:tentative="1">
      <w:start w:val="1"/>
      <w:numFmt w:val="lowerRoman"/>
      <w:lvlText w:val="%3."/>
      <w:lvlJc w:val="right"/>
      <w:pPr>
        <w:ind w:left="4127" w:hanging="180"/>
      </w:pPr>
    </w:lvl>
    <w:lvl w:ilvl="3" w:tplc="0409000F" w:tentative="1">
      <w:start w:val="1"/>
      <w:numFmt w:val="decimal"/>
      <w:lvlText w:val="%4."/>
      <w:lvlJc w:val="left"/>
      <w:pPr>
        <w:ind w:left="4847" w:hanging="360"/>
      </w:pPr>
    </w:lvl>
    <w:lvl w:ilvl="4" w:tplc="04090019" w:tentative="1">
      <w:start w:val="1"/>
      <w:numFmt w:val="lowerLetter"/>
      <w:lvlText w:val="%5."/>
      <w:lvlJc w:val="left"/>
      <w:pPr>
        <w:ind w:left="5567" w:hanging="360"/>
      </w:pPr>
    </w:lvl>
    <w:lvl w:ilvl="5" w:tplc="0409001B" w:tentative="1">
      <w:start w:val="1"/>
      <w:numFmt w:val="lowerRoman"/>
      <w:lvlText w:val="%6."/>
      <w:lvlJc w:val="right"/>
      <w:pPr>
        <w:ind w:left="6287" w:hanging="180"/>
      </w:pPr>
    </w:lvl>
    <w:lvl w:ilvl="6" w:tplc="0409000F" w:tentative="1">
      <w:start w:val="1"/>
      <w:numFmt w:val="decimal"/>
      <w:lvlText w:val="%7."/>
      <w:lvlJc w:val="left"/>
      <w:pPr>
        <w:ind w:left="7007" w:hanging="360"/>
      </w:pPr>
    </w:lvl>
    <w:lvl w:ilvl="7" w:tplc="04090019" w:tentative="1">
      <w:start w:val="1"/>
      <w:numFmt w:val="lowerLetter"/>
      <w:lvlText w:val="%8."/>
      <w:lvlJc w:val="left"/>
      <w:pPr>
        <w:ind w:left="7727" w:hanging="360"/>
      </w:pPr>
    </w:lvl>
    <w:lvl w:ilvl="8" w:tplc="0409001B" w:tentative="1">
      <w:start w:val="1"/>
      <w:numFmt w:val="lowerRoman"/>
      <w:lvlText w:val="%9."/>
      <w:lvlJc w:val="right"/>
      <w:pPr>
        <w:ind w:left="8447" w:hanging="180"/>
      </w:pPr>
    </w:lvl>
  </w:abstractNum>
  <w:abstractNum w:abstractNumId="58">
    <w:nsid w:val="7EF1277D"/>
    <w:multiLevelType w:val="hybridMultilevel"/>
    <w:tmpl w:val="241A7C3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lvl w:ilvl="0">
        <w:start w:val="1"/>
        <w:numFmt w:val="decimal"/>
        <w:pStyle w:val="Normalnumber"/>
        <w:lvlText w:val="%1."/>
        <w:lvlJc w:val="left"/>
        <w:pPr>
          <w:tabs>
            <w:tab w:val="num" w:pos="1134"/>
          </w:tabs>
          <w:ind w:left="1247" w:firstLine="0"/>
        </w:pPr>
        <w:rPr>
          <w:rFonts w:hint="default"/>
        </w:rPr>
      </w:lvl>
    </w:lvlOverride>
  </w:num>
  <w:num w:numId="2">
    <w:abstractNumId w:val="11"/>
  </w:num>
  <w:num w:numId="3">
    <w:abstractNumId w:val="25"/>
  </w:num>
  <w:num w:numId="4">
    <w:abstractNumId w:val="37"/>
  </w:num>
  <w:num w:numId="5">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
    <w:abstractNumId w:val="20"/>
  </w:num>
  <w:num w:numId="7">
    <w:abstractNumId w:val="37"/>
  </w:num>
  <w:num w:numId="8">
    <w:abstractNumId w:val="37"/>
  </w:num>
  <w:num w:numId="9">
    <w:abstractNumId w:val="37"/>
  </w:num>
  <w:num w:numId="10">
    <w:abstractNumId w:val="37"/>
  </w:num>
  <w:num w:numId="11">
    <w:abstractNumId w:val="37"/>
  </w:num>
  <w:num w:numId="12">
    <w:abstractNumId w:val="37"/>
  </w:num>
  <w:num w:numId="13">
    <w:abstractNumId w:val="37"/>
  </w:num>
  <w:num w:numId="14">
    <w:abstractNumId w:val="37"/>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56"/>
  </w:num>
  <w:num w:numId="23">
    <w:abstractNumId w:val="35"/>
  </w:num>
  <w:num w:numId="24">
    <w:abstractNumId w:val="47"/>
  </w:num>
  <w:num w:numId="25">
    <w:abstractNumId w:val="54"/>
  </w:num>
  <w:num w:numId="26">
    <w:abstractNumId w:val="33"/>
  </w:num>
  <w:num w:numId="27">
    <w:abstractNumId w:val="0"/>
  </w:num>
  <w:num w:numId="28">
    <w:abstractNumId w:val="40"/>
  </w:num>
  <w:num w:numId="29">
    <w:abstractNumId w:val="16"/>
  </w:num>
  <w:num w:numId="30">
    <w:abstractNumId w:val="4"/>
  </w:num>
  <w:num w:numId="31">
    <w:abstractNumId w:val="30"/>
  </w:num>
  <w:num w:numId="32">
    <w:abstractNumId w:val="1"/>
  </w:num>
  <w:num w:numId="33">
    <w:abstractNumId w:val="52"/>
  </w:num>
  <w:num w:numId="34">
    <w:abstractNumId w:val="39"/>
  </w:num>
  <w:num w:numId="35">
    <w:abstractNumId w:val="1"/>
    <w:lvlOverride w:ilvl="0">
      <w:startOverride w:val="10"/>
      <w:lvl w:ilvl="0" w:tplc="020006BC">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C9820C3A">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5C14DE7A">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A23C5E3C">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A6C44130">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428665FA">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A65A7248">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C8CAA43C">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05224C24">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36">
    <w:abstractNumId w:val="31"/>
  </w:num>
  <w:num w:numId="37">
    <w:abstractNumId w:val="10"/>
  </w:num>
  <w:num w:numId="38">
    <w:abstractNumId w:val="1"/>
    <w:lvlOverride w:ilvl="0">
      <w:startOverride w:val="12"/>
    </w:lvlOverride>
  </w:num>
  <w:num w:numId="39">
    <w:abstractNumId w:val="14"/>
  </w:num>
  <w:num w:numId="40">
    <w:abstractNumId w:val="42"/>
  </w:num>
  <w:num w:numId="41">
    <w:abstractNumId w:val="37"/>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44"/>
  </w:num>
  <w:num w:numId="43">
    <w:abstractNumId w:val="53"/>
  </w:num>
  <w:num w:numId="44">
    <w:abstractNumId w:val="5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1">
      <w:lvl w:ilvl="1">
        <w:start w:val="1"/>
        <w:numFmt w:val="lowerLetter"/>
        <w:lvlText w:val="(%2)"/>
        <w:lvlJc w:val="left"/>
        <w:pPr>
          <w:tabs>
            <w:tab w:val="num" w:pos="1134"/>
          </w:tabs>
          <w:ind w:left="1247" w:firstLine="567"/>
        </w:pPr>
        <w:rPr>
          <w:rFonts w:hint="default"/>
        </w:rPr>
      </w:lvl>
    </w:lvlOverride>
  </w:num>
  <w:num w:numId="48">
    <w:abstractNumId w:val="37"/>
    <w:lvlOverride w:ilvl="1">
      <w:lvl w:ilvl="1">
        <w:start w:val="1"/>
        <w:numFmt w:val="lowerLetter"/>
        <w:lvlText w:val="(%2)"/>
        <w:lvlJc w:val="left"/>
        <w:pPr>
          <w:tabs>
            <w:tab w:val="num" w:pos="1134"/>
          </w:tabs>
          <w:ind w:left="1247" w:firstLine="567"/>
        </w:pPr>
        <w:rPr>
          <w:rFonts w:hint="default"/>
        </w:rPr>
      </w:lvl>
    </w:lvlOverride>
  </w:num>
  <w:num w:numId="49">
    <w:abstractNumId w:val="37"/>
    <w:lvlOverride w:ilvl="1">
      <w:lvl w:ilvl="1">
        <w:start w:val="1"/>
        <w:numFmt w:val="lowerLetter"/>
        <w:lvlText w:val="(%2)"/>
        <w:lvlJc w:val="left"/>
        <w:pPr>
          <w:tabs>
            <w:tab w:val="num" w:pos="1134"/>
          </w:tabs>
          <w:ind w:left="1247" w:firstLine="567"/>
        </w:pPr>
        <w:rPr>
          <w:rFonts w:hint="default"/>
        </w:rPr>
      </w:lvl>
    </w:lvlOverride>
  </w:num>
  <w:num w:numId="50">
    <w:abstractNumId w:val="37"/>
    <w:lvlOverride w:ilvl="1">
      <w:lvl w:ilvl="1">
        <w:start w:val="1"/>
        <w:numFmt w:val="lowerLetter"/>
        <w:lvlText w:val="(%2)"/>
        <w:lvlJc w:val="left"/>
        <w:pPr>
          <w:tabs>
            <w:tab w:val="num" w:pos="1134"/>
          </w:tabs>
          <w:ind w:left="1247" w:firstLine="567"/>
        </w:pPr>
        <w:rPr>
          <w:rFonts w:hint="default"/>
        </w:rPr>
      </w:lvl>
    </w:lvlOverride>
  </w:num>
  <w:num w:numId="51">
    <w:abstractNumId w:val="37"/>
    <w:lvlOverride w:ilvl="1">
      <w:lvl w:ilvl="1">
        <w:start w:val="1"/>
        <w:numFmt w:val="lowerLetter"/>
        <w:lvlText w:val="(%2)"/>
        <w:lvlJc w:val="left"/>
        <w:pPr>
          <w:tabs>
            <w:tab w:val="num" w:pos="1134"/>
          </w:tabs>
          <w:ind w:left="1247" w:firstLine="567"/>
        </w:pPr>
        <w:rPr>
          <w:rFonts w:hint="default"/>
        </w:rPr>
      </w:lvl>
    </w:lvlOverride>
  </w:num>
  <w:num w:numId="52">
    <w:abstractNumId w:val="37"/>
    <w:lvlOverride w:ilvl="1">
      <w:lvl w:ilvl="1">
        <w:start w:val="1"/>
        <w:numFmt w:val="lowerLetter"/>
        <w:lvlText w:val="(%2)"/>
        <w:lvlJc w:val="left"/>
        <w:pPr>
          <w:tabs>
            <w:tab w:val="num" w:pos="1134"/>
          </w:tabs>
          <w:ind w:left="1247" w:firstLine="567"/>
        </w:pPr>
        <w:rPr>
          <w:rFonts w:hint="default"/>
        </w:rPr>
      </w:lvl>
    </w:lvlOverride>
  </w:num>
  <w:num w:numId="53">
    <w:abstractNumId w:val="37"/>
    <w:lvlOverride w:ilvl="1">
      <w:lvl w:ilvl="1">
        <w:start w:val="1"/>
        <w:numFmt w:val="lowerLetter"/>
        <w:lvlText w:val="(%2)"/>
        <w:lvlJc w:val="left"/>
        <w:pPr>
          <w:tabs>
            <w:tab w:val="num" w:pos="1134"/>
          </w:tabs>
          <w:ind w:left="1247" w:firstLine="567"/>
        </w:pPr>
        <w:rPr>
          <w:rFonts w:hint="default"/>
        </w:rPr>
      </w:lvl>
    </w:lvlOverride>
  </w:num>
  <w:num w:numId="54">
    <w:abstractNumId w:val="37"/>
    <w:lvlOverride w:ilvl="1">
      <w:lvl w:ilvl="1">
        <w:start w:val="1"/>
        <w:numFmt w:val="lowerLetter"/>
        <w:lvlText w:val="(%2)"/>
        <w:lvlJc w:val="left"/>
        <w:pPr>
          <w:tabs>
            <w:tab w:val="num" w:pos="1134"/>
          </w:tabs>
          <w:ind w:left="1247" w:firstLine="567"/>
        </w:pPr>
        <w:rPr>
          <w:rFonts w:hint="default"/>
        </w:rPr>
      </w:lvl>
    </w:lvlOverride>
  </w:num>
  <w:num w:numId="55">
    <w:abstractNumId w:val="37"/>
    <w:lvlOverride w:ilvl="1">
      <w:lvl w:ilvl="1">
        <w:start w:val="1"/>
        <w:numFmt w:val="lowerLetter"/>
        <w:lvlText w:val="(%2)"/>
        <w:lvlJc w:val="left"/>
        <w:pPr>
          <w:tabs>
            <w:tab w:val="num" w:pos="1134"/>
          </w:tabs>
          <w:ind w:left="1247" w:firstLine="567"/>
        </w:pPr>
        <w:rPr>
          <w:rFonts w:hint="default"/>
        </w:rPr>
      </w:lvl>
    </w:lvlOverride>
  </w:num>
  <w:num w:numId="56">
    <w:abstractNumId w:val="37"/>
    <w:lvlOverride w:ilvl="1">
      <w:lvl w:ilvl="1">
        <w:start w:val="1"/>
        <w:numFmt w:val="lowerLetter"/>
        <w:lvlText w:val="(%2)"/>
        <w:lvlJc w:val="left"/>
        <w:pPr>
          <w:tabs>
            <w:tab w:val="num" w:pos="1134"/>
          </w:tabs>
          <w:ind w:left="1247" w:firstLine="567"/>
        </w:pPr>
        <w:rPr>
          <w:rFonts w:hint="default"/>
        </w:rPr>
      </w:lvl>
    </w:lvlOverride>
  </w:num>
  <w:num w:numId="57">
    <w:abstractNumId w:val="37"/>
    <w:lvlOverride w:ilvl="1">
      <w:lvl w:ilvl="1">
        <w:start w:val="1"/>
        <w:numFmt w:val="lowerLetter"/>
        <w:lvlText w:val="(%2)"/>
        <w:lvlJc w:val="left"/>
        <w:pPr>
          <w:tabs>
            <w:tab w:val="num" w:pos="1134"/>
          </w:tabs>
          <w:ind w:left="1247" w:firstLine="567"/>
        </w:pPr>
        <w:rPr>
          <w:rFonts w:hint="default"/>
        </w:rPr>
      </w:lvl>
    </w:lvlOverride>
  </w:num>
  <w:num w:numId="58">
    <w:abstractNumId w:val="37"/>
    <w:lvlOverride w:ilvl="1">
      <w:lvl w:ilvl="1">
        <w:start w:val="1"/>
        <w:numFmt w:val="lowerLetter"/>
        <w:lvlText w:val="(%2)"/>
        <w:lvlJc w:val="left"/>
        <w:pPr>
          <w:tabs>
            <w:tab w:val="num" w:pos="1134"/>
          </w:tabs>
          <w:ind w:left="1247" w:firstLine="567"/>
        </w:pPr>
        <w:rPr>
          <w:rFonts w:hint="default"/>
        </w:rPr>
      </w:lvl>
    </w:lvlOverride>
  </w:num>
  <w:num w:numId="59">
    <w:abstractNumId w:val="37"/>
    <w:lvlOverride w:ilvl="1">
      <w:lvl w:ilvl="1">
        <w:start w:val="1"/>
        <w:numFmt w:val="lowerLetter"/>
        <w:lvlText w:val="(%2)"/>
        <w:lvlJc w:val="left"/>
        <w:pPr>
          <w:tabs>
            <w:tab w:val="num" w:pos="1134"/>
          </w:tabs>
          <w:ind w:left="1247" w:firstLine="567"/>
        </w:pPr>
        <w:rPr>
          <w:rFonts w:hint="default"/>
        </w:rPr>
      </w:lvl>
    </w:lvlOverride>
  </w:num>
  <w:num w:numId="60">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1">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2">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3">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4">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5">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6">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7">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8">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9">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0">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1">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2">
    <w:abstractNumId w:val="37"/>
    <w:lvlOverride w:ilvl="0">
      <w:lvl w:ilvl="0">
        <w:start w:val="1"/>
        <w:numFmt w:val="decimal"/>
        <w:pStyle w:val="Normalnumber"/>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73">
    <w:abstractNumId w:val="21"/>
  </w:num>
  <w:num w:numId="74">
    <w:abstractNumId w:val="49"/>
  </w:num>
  <w:num w:numId="75">
    <w:abstractNumId w:val="29"/>
  </w:num>
  <w:num w:numId="76">
    <w:abstractNumId w:val="7"/>
  </w:num>
  <w:num w:numId="77">
    <w:abstractNumId w:val="43"/>
  </w:num>
  <w:num w:numId="78">
    <w:abstractNumId w:val="55"/>
  </w:num>
  <w:num w:numId="79">
    <w:abstractNumId w:val="2"/>
  </w:num>
  <w:num w:numId="80">
    <w:abstractNumId w:val="3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3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2">
    <w:abstractNumId w:val="3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3">
    <w:abstractNumId w:val="3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4">
    <w:abstractNumId w:val="18"/>
  </w:num>
  <w:num w:numId="85">
    <w:abstractNumId w:val="51"/>
  </w:num>
  <w:num w:numId="86">
    <w:abstractNumId w:val="3"/>
  </w:num>
  <w:num w:numId="87">
    <w:abstractNumId w:val="45"/>
  </w:num>
  <w:num w:numId="88">
    <w:abstractNumId w:val="57"/>
  </w:num>
  <w:num w:numId="89">
    <w:abstractNumId w:val="38"/>
  </w:num>
  <w:num w:numId="90">
    <w:abstractNumId w:val="13"/>
  </w:num>
  <w:num w:numId="91">
    <w:abstractNumId w:val="28"/>
  </w:num>
  <w:num w:numId="92">
    <w:abstractNumId w:val="6"/>
  </w:num>
  <w:num w:numId="93">
    <w:abstractNumId w:val="9"/>
  </w:num>
  <w:num w:numId="94">
    <w:abstractNumId w:val="19"/>
    <w:lvlOverride w:ilvl="0">
      <w:lvl w:ilvl="0">
        <w:start w:val="1"/>
        <w:numFmt w:val="decimal"/>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95">
    <w:abstractNumId w:val="32"/>
    <w:lvlOverride w:ilvl="0">
      <w:lvl w:ilvl="0">
        <w:start w:val="1"/>
        <w:numFmt w:val="decimal"/>
        <w:lvlText w:val="%1."/>
        <w:lvlJc w:val="left"/>
        <w:pPr>
          <w:ind w:left="360" w:hanging="360"/>
        </w:pPr>
      </w:lvl>
    </w:lvlOverride>
  </w:num>
  <w:num w:numId="96">
    <w:abstractNumId w:val="22"/>
  </w:num>
  <w:num w:numId="97">
    <w:abstractNumId w:val="19"/>
    <w:lvlOverride w:ilvl="0">
      <w:lvl w:ilvl="0">
        <w:start w:val="1"/>
        <w:numFmt w:val="decimal"/>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98">
    <w:abstractNumId w:val="19"/>
    <w:lvlOverride w:ilvl="0">
      <w:lvl w:ilvl="0">
        <w:start w:val="1"/>
        <w:numFmt w:val="decimal"/>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99">
    <w:abstractNumId w:val="19"/>
    <w:lvlOverride w:ilvl="0">
      <w:startOverride w:val="1"/>
      <w:lvl w:ilvl="0">
        <w:start w:val="1"/>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0">
    <w:abstractNumId w:val="19"/>
    <w:lvlOverride w:ilvl="0">
      <w:startOverride w:val="1"/>
      <w:lvl w:ilvl="0">
        <w:start w:val="1"/>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1">
    <w:abstractNumId w:val="37"/>
    <w:lvlOverride w:ilvl="0">
      <w:lvl w:ilvl="0">
        <w:start w:val="1"/>
        <w:numFmt w:val="decimal"/>
        <w:pStyle w:val="Normalnumber"/>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102">
    <w:abstractNumId w:val="15"/>
  </w:num>
  <w:num w:numId="103">
    <w:abstractNumId w:val="8"/>
  </w:num>
  <w:num w:numId="104">
    <w:abstractNumId w:val="26"/>
  </w:num>
  <w:num w:numId="105">
    <w:abstractNumId w:val="19"/>
    <w:lvlOverride w:ilvl="0">
      <w:startOverride w:val="3"/>
      <w:lvl w:ilvl="0">
        <w:start w:val="3"/>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6">
    <w:abstractNumId w:val="19"/>
    <w:lvlOverride w:ilvl="0">
      <w:startOverride w:val="1"/>
      <w:lvl w:ilvl="0">
        <w:start w:val="1"/>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7">
    <w:abstractNumId w:val="17"/>
  </w:num>
  <w:num w:numId="108">
    <w:abstractNumId w:val="24"/>
  </w:num>
  <w:num w:numId="109">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0">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1">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2">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3">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4">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5">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6">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7">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8">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9">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0">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1">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2">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3">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4">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5">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6">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7">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8">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9">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0">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1">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2">
    <w:abstractNumId w:val="48"/>
  </w:num>
  <w:num w:numId="133">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4">
    <w:abstractNumId w:val="41"/>
  </w:num>
  <w:num w:numId="135">
    <w:abstractNumId w:val="27"/>
  </w:num>
  <w:num w:numId="136">
    <w:abstractNumId w:val="12"/>
  </w:num>
  <w:num w:numId="137">
    <w:abstractNumId w:val="36"/>
  </w:num>
  <w:num w:numId="138">
    <w:abstractNumId w:val="23"/>
  </w:num>
  <w:num w:numId="139">
    <w:abstractNumId w:val="34"/>
  </w:num>
  <w:num w:numId="140">
    <w:abstractNumId w:val="58"/>
  </w:num>
  <w:num w:numId="141">
    <w:abstractNumId w:val="46"/>
  </w:num>
  <w:num w:numId="142">
    <w:abstractNumId w:val="5"/>
  </w:num>
  <w:num w:numId="143">
    <w:abstractNumId w:val="37"/>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Doris Zola">
    <w15:presenceInfo w15:providerId="None" w15:userId="Anne Doris Z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22E"/>
    <w:rsid w:val="00000E4A"/>
    <w:rsid w:val="000024A3"/>
    <w:rsid w:val="000043CD"/>
    <w:rsid w:val="00011A16"/>
    <w:rsid w:val="000149E6"/>
    <w:rsid w:val="00021198"/>
    <w:rsid w:val="00023DA9"/>
    <w:rsid w:val="000247B0"/>
    <w:rsid w:val="00026997"/>
    <w:rsid w:val="00026A08"/>
    <w:rsid w:val="00027C3E"/>
    <w:rsid w:val="00032E4E"/>
    <w:rsid w:val="00033E0B"/>
    <w:rsid w:val="00034F89"/>
    <w:rsid w:val="00035ADA"/>
    <w:rsid w:val="00035EDE"/>
    <w:rsid w:val="00044ECA"/>
    <w:rsid w:val="00046FD6"/>
    <w:rsid w:val="000509B4"/>
    <w:rsid w:val="00050CFE"/>
    <w:rsid w:val="000577E9"/>
    <w:rsid w:val="0005785D"/>
    <w:rsid w:val="0006035B"/>
    <w:rsid w:val="0006096F"/>
    <w:rsid w:val="000649C5"/>
    <w:rsid w:val="00066AAA"/>
    <w:rsid w:val="00071886"/>
    <w:rsid w:val="00073F16"/>
    <w:rsid w:val="000742BC"/>
    <w:rsid w:val="000750AB"/>
    <w:rsid w:val="00076CC6"/>
    <w:rsid w:val="00076E37"/>
    <w:rsid w:val="00081E8E"/>
    <w:rsid w:val="00082A0C"/>
    <w:rsid w:val="00083504"/>
    <w:rsid w:val="00086373"/>
    <w:rsid w:val="00090E66"/>
    <w:rsid w:val="00095ACB"/>
    <w:rsid w:val="0009640C"/>
    <w:rsid w:val="00097243"/>
    <w:rsid w:val="000A1250"/>
    <w:rsid w:val="000A1412"/>
    <w:rsid w:val="000A34BE"/>
    <w:rsid w:val="000A4330"/>
    <w:rsid w:val="000A5FF6"/>
    <w:rsid w:val="000A6632"/>
    <w:rsid w:val="000B0D5D"/>
    <w:rsid w:val="000B1715"/>
    <w:rsid w:val="000B22A2"/>
    <w:rsid w:val="000B4CD1"/>
    <w:rsid w:val="000B6DEC"/>
    <w:rsid w:val="000B73F9"/>
    <w:rsid w:val="000B7606"/>
    <w:rsid w:val="000C04CC"/>
    <w:rsid w:val="000C2A52"/>
    <w:rsid w:val="000C3837"/>
    <w:rsid w:val="000D05A2"/>
    <w:rsid w:val="000D2B07"/>
    <w:rsid w:val="000D33C0"/>
    <w:rsid w:val="000D4CF6"/>
    <w:rsid w:val="000D6941"/>
    <w:rsid w:val="000E0392"/>
    <w:rsid w:val="000F3466"/>
    <w:rsid w:val="000F35D8"/>
    <w:rsid w:val="000F411D"/>
    <w:rsid w:val="000F4829"/>
    <w:rsid w:val="000F61F1"/>
    <w:rsid w:val="000F6D31"/>
    <w:rsid w:val="00102299"/>
    <w:rsid w:val="001026CA"/>
    <w:rsid w:val="00102AC6"/>
    <w:rsid w:val="00104E9B"/>
    <w:rsid w:val="00106EA8"/>
    <w:rsid w:val="00111B19"/>
    <w:rsid w:val="0011538C"/>
    <w:rsid w:val="00115D7F"/>
    <w:rsid w:val="00116451"/>
    <w:rsid w:val="001176CB"/>
    <w:rsid w:val="001202E3"/>
    <w:rsid w:val="001219DF"/>
    <w:rsid w:val="00123699"/>
    <w:rsid w:val="001241FB"/>
    <w:rsid w:val="00126D48"/>
    <w:rsid w:val="0013059D"/>
    <w:rsid w:val="00130797"/>
    <w:rsid w:val="00136187"/>
    <w:rsid w:val="00141A55"/>
    <w:rsid w:val="0014293F"/>
    <w:rsid w:val="0014397D"/>
    <w:rsid w:val="001446A3"/>
    <w:rsid w:val="00152B6B"/>
    <w:rsid w:val="00153B0E"/>
    <w:rsid w:val="00155395"/>
    <w:rsid w:val="0015570E"/>
    <w:rsid w:val="00155858"/>
    <w:rsid w:val="00155B07"/>
    <w:rsid w:val="00156B6B"/>
    <w:rsid w:val="00160D74"/>
    <w:rsid w:val="00161024"/>
    <w:rsid w:val="0016272B"/>
    <w:rsid w:val="001646EA"/>
    <w:rsid w:val="00165CE8"/>
    <w:rsid w:val="001664EC"/>
    <w:rsid w:val="00167D02"/>
    <w:rsid w:val="00170B2F"/>
    <w:rsid w:val="00173DB1"/>
    <w:rsid w:val="001744DD"/>
    <w:rsid w:val="00174A1C"/>
    <w:rsid w:val="00174C29"/>
    <w:rsid w:val="001759D8"/>
    <w:rsid w:val="0017773F"/>
    <w:rsid w:val="00177D7F"/>
    <w:rsid w:val="00180C3F"/>
    <w:rsid w:val="00181EC8"/>
    <w:rsid w:val="0018203A"/>
    <w:rsid w:val="001828CD"/>
    <w:rsid w:val="00184349"/>
    <w:rsid w:val="00187D94"/>
    <w:rsid w:val="00195F33"/>
    <w:rsid w:val="001A17FB"/>
    <w:rsid w:val="001A2884"/>
    <w:rsid w:val="001A5954"/>
    <w:rsid w:val="001A5B10"/>
    <w:rsid w:val="001A6762"/>
    <w:rsid w:val="001A6A18"/>
    <w:rsid w:val="001B1617"/>
    <w:rsid w:val="001B4DAA"/>
    <w:rsid w:val="001B504B"/>
    <w:rsid w:val="001B6F98"/>
    <w:rsid w:val="001C191A"/>
    <w:rsid w:val="001C3A46"/>
    <w:rsid w:val="001C486D"/>
    <w:rsid w:val="001C4B69"/>
    <w:rsid w:val="001D3874"/>
    <w:rsid w:val="001D7067"/>
    <w:rsid w:val="001D7E33"/>
    <w:rsid w:val="001D7E75"/>
    <w:rsid w:val="001E0977"/>
    <w:rsid w:val="001E0D73"/>
    <w:rsid w:val="001E45BD"/>
    <w:rsid w:val="001E56D2"/>
    <w:rsid w:val="001E7D56"/>
    <w:rsid w:val="001F0714"/>
    <w:rsid w:val="001F3FEA"/>
    <w:rsid w:val="001F6803"/>
    <w:rsid w:val="001F75DE"/>
    <w:rsid w:val="00200D58"/>
    <w:rsid w:val="002011C1"/>
    <w:rsid w:val="002013BE"/>
    <w:rsid w:val="0020166D"/>
    <w:rsid w:val="002019B5"/>
    <w:rsid w:val="00201EDC"/>
    <w:rsid w:val="002030BB"/>
    <w:rsid w:val="002063A4"/>
    <w:rsid w:val="0021145B"/>
    <w:rsid w:val="00212427"/>
    <w:rsid w:val="0021601B"/>
    <w:rsid w:val="00217D1A"/>
    <w:rsid w:val="00220C23"/>
    <w:rsid w:val="002247F6"/>
    <w:rsid w:val="00225E21"/>
    <w:rsid w:val="002313D6"/>
    <w:rsid w:val="00231837"/>
    <w:rsid w:val="00234624"/>
    <w:rsid w:val="00234E78"/>
    <w:rsid w:val="0024227B"/>
    <w:rsid w:val="00242E2C"/>
    <w:rsid w:val="00243D36"/>
    <w:rsid w:val="00244175"/>
    <w:rsid w:val="002447E3"/>
    <w:rsid w:val="00246151"/>
    <w:rsid w:val="00247707"/>
    <w:rsid w:val="002529C1"/>
    <w:rsid w:val="00253CC4"/>
    <w:rsid w:val="00255E09"/>
    <w:rsid w:val="0026018E"/>
    <w:rsid w:val="00264654"/>
    <w:rsid w:val="002724CD"/>
    <w:rsid w:val="00276380"/>
    <w:rsid w:val="00281175"/>
    <w:rsid w:val="00282F59"/>
    <w:rsid w:val="00284396"/>
    <w:rsid w:val="00286740"/>
    <w:rsid w:val="0028700C"/>
    <w:rsid w:val="00291EAE"/>
    <w:rsid w:val="002929D8"/>
    <w:rsid w:val="002A237D"/>
    <w:rsid w:val="002A4C53"/>
    <w:rsid w:val="002A5F21"/>
    <w:rsid w:val="002B0672"/>
    <w:rsid w:val="002B247F"/>
    <w:rsid w:val="002B2810"/>
    <w:rsid w:val="002B3974"/>
    <w:rsid w:val="002B4DD9"/>
    <w:rsid w:val="002B50D4"/>
    <w:rsid w:val="002B58BF"/>
    <w:rsid w:val="002B6C1A"/>
    <w:rsid w:val="002B7AD6"/>
    <w:rsid w:val="002C145D"/>
    <w:rsid w:val="002C1A0C"/>
    <w:rsid w:val="002C2C3E"/>
    <w:rsid w:val="002C533E"/>
    <w:rsid w:val="002C6B92"/>
    <w:rsid w:val="002C7EC3"/>
    <w:rsid w:val="002D027F"/>
    <w:rsid w:val="002D0C01"/>
    <w:rsid w:val="002D3E15"/>
    <w:rsid w:val="002D7A85"/>
    <w:rsid w:val="002D7B60"/>
    <w:rsid w:val="002E150E"/>
    <w:rsid w:val="002E6FF4"/>
    <w:rsid w:val="002F29B3"/>
    <w:rsid w:val="002F467D"/>
    <w:rsid w:val="002F4761"/>
    <w:rsid w:val="002F5C79"/>
    <w:rsid w:val="002F68EE"/>
    <w:rsid w:val="00300885"/>
    <w:rsid w:val="003019E2"/>
    <w:rsid w:val="00302341"/>
    <w:rsid w:val="00306121"/>
    <w:rsid w:val="00310BEB"/>
    <w:rsid w:val="00311F46"/>
    <w:rsid w:val="00312CA0"/>
    <w:rsid w:val="0031379F"/>
    <w:rsid w:val="0031413F"/>
    <w:rsid w:val="00314854"/>
    <w:rsid w:val="0031486A"/>
    <w:rsid w:val="003148BB"/>
    <w:rsid w:val="00317976"/>
    <w:rsid w:val="00317A0A"/>
    <w:rsid w:val="00320F2F"/>
    <w:rsid w:val="0032332D"/>
    <w:rsid w:val="00325D38"/>
    <w:rsid w:val="003262FC"/>
    <w:rsid w:val="00342857"/>
    <w:rsid w:val="00345023"/>
    <w:rsid w:val="003463B8"/>
    <w:rsid w:val="00350FE0"/>
    <w:rsid w:val="003554B6"/>
    <w:rsid w:val="00355EA9"/>
    <w:rsid w:val="003576BA"/>
    <w:rsid w:val="003578DE"/>
    <w:rsid w:val="00361688"/>
    <w:rsid w:val="003644FF"/>
    <w:rsid w:val="003653D9"/>
    <w:rsid w:val="00370C3A"/>
    <w:rsid w:val="003722E1"/>
    <w:rsid w:val="00373A08"/>
    <w:rsid w:val="00373E7E"/>
    <w:rsid w:val="00375F71"/>
    <w:rsid w:val="00380FDA"/>
    <w:rsid w:val="00385F0A"/>
    <w:rsid w:val="00386FE5"/>
    <w:rsid w:val="003877D5"/>
    <w:rsid w:val="003929B8"/>
    <w:rsid w:val="00396257"/>
    <w:rsid w:val="00397EB8"/>
    <w:rsid w:val="003A4FD0"/>
    <w:rsid w:val="003A69D1"/>
    <w:rsid w:val="003A7705"/>
    <w:rsid w:val="003A77F1"/>
    <w:rsid w:val="003B0298"/>
    <w:rsid w:val="003B1130"/>
    <w:rsid w:val="003B1545"/>
    <w:rsid w:val="003C2FB8"/>
    <w:rsid w:val="003C3219"/>
    <w:rsid w:val="003C409D"/>
    <w:rsid w:val="003C5583"/>
    <w:rsid w:val="003C5BA6"/>
    <w:rsid w:val="003C74CF"/>
    <w:rsid w:val="003D15EA"/>
    <w:rsid w:val="003D3752"/>
    <w:rsid w:val="003D76EC"/>
    <w:rsid w:val="003E3369"/>
    <w:rsid w:val="003E35DA"/>
    <w:rsid w:val="003E455D"/>
    <w:rsid w:val="003F0E85"/>
    <w:rsid w:val="0040139E"/>
    <w:rsid w:val="00407FCE"/>
    <w:rsid w:val="00410C55"/>
    <w:rsid w:val="0041238C"/>
    <w:rsid w:val="00416854"/>
    <w:rsid w:val="00417725"/>
    <w:rsid w:val="0042266F"/>
    <w:rsid w:val="0042287A"/>
    <w:rsid w:val="0042431C"/>
    <w:rsid w:val="004277C0"/>
    <w:rsid w:val="004277CF"/>
    <w:rsid w:val="00434D08"/>
    <w:rsid w:val="00437F26"/>
    <w:rsid w:val="00444097"/>
    <w:rsid w:val="00445487"/>
    <w:rsid w:val="00446F6E"/>
    <w:rsid w:val="00447E0D"/>
    <w:rsid w:val="004533C6"/>
    <w:rsid w:val="00454769"/>
    <w:rsid w:val="004623BC"/>
    <w:rsid w:val="00462534"/>
    <w:rsid w:val="00463228"/>
    <w:rsid w:val="00466991"/>
    <w:rsid w:val="00466A7C"/>
    <w:rsid w:val="0047064C"/>
    <w:rsid w:val="00471E05"/>
    <w:rsid w:val="00471EB1"/>
    <w:rsid w:val="00474877"/>
    <w:rsid w:val="004818DE"/>
    <w:rsid w:val="004822B7"/>
    <w:rsid w:val="0049469E"/>
    <w:rsid w:val="004A0A95"/>
    <w:rsid w:val="004A2088"/>
    <w:rsid w:val="004A2217"/>
    <w:rsid w:val="004A24F9"/>
    <w:rsid w:val="004A42E1"/>
    <w:rsid w:val="004A5810"/>
    <w:rsid w:val="004A62DB"/>
    <w:rsid w:val="004A716B"/>
    <w:rsid w:val="004B090E"/>
    <w:rsid w:val="004B162C"/>
    <w:rsid w:val="004B1EB0"/>
    <w:rsid w:val="004B2710"/>
    <w:rsid w:val="004B2ABE"/>
    <w:rsid w:val="004B6984"/>
    <w:rsid w:val="004C3DBE"/>
    <w:rsid w:val="004C3EA9"/>
    <w:rsid w:val="004C5C96"/>
    <w:rsid w:val="004D06A4"/>
    <w:rsid w:val="004D434A"/>
    <w:rsid w:val="004D6C4B"/>
    <w:rsid w:val="004D72A9"/>
    <w:rsid w:val="004E1EE1"/>
    <w:rsid w:val="004E2FAE"/>
    <w:rsid w:val="004E5D8D"/>
    <w:rsid w:val="004E692D"/>
    <w:rsid w:val="004E750E"/>
    <w:rsid w:val="004F1A81"/>
    <w:rsid w:val="004F6A1A"/>
    <w:rsid w:val="004F7A65"/>
    <w:rsid w:val="00502B37"/>
    <w:rsid w:val="005050D2"/>
    <w:rsid w:val="005067AA"/>
    <w:rsid w:val="005067C1"/>
    <w:rsid w:val="00512CC1"/>
    <w:rsid w:val="0051369E"/>
    <w:rsid w:val="00514A73"/>
    <w:rsid w:val="005218D9"/>
    <w:rsid w:val="00527BF9"/>
    <w:rsid w:val="00535B48"/>
    <w:rsid w:val="00536186"/>
    <w:rsid w:val="00541C22"/>
    <w:rsid w:val="00544CBB"/>
    <w:rsid w:val="00552F86"/>
    <w:rsid w:val="00562DF8"/>
    <w:rsid w:val="005656D7"/>
    <w:rsid w:val="00570988"/>
    <w:rsid w:val="0057315F"/>
    <w:rsid w:val="00576104"/>
    <w:rsid w:val="00590213"/>
    <w:rsid w:val="0059201E"/>
    <w:rsid w:val="00592B21"/>
    <w:rsid w:val="00593823"/>
    <w:rsid w:val="0059785C"/>
    <w:rsid w:val="00597B27"/>
    <w:rsid w:val="005A0849"/>
    <w:rsid w:val="005A092D"/>
    <w:rsid w:val="005A4A3D"/>
    <w:rsid w:val="005B400C"/>
    <w:rsid w:val="005B44BF"/>
    <w:rsid w:val="005B52AF"/>
    <w:rsid w:val="005B5724"/>
    <w:rsid w:val="005C079D"/>
    <w:rsid w:val="005C67C8"/>
    <w:rsid w:val="005C73B2"/>
    <w:rsid w:val="005C783E"/>
    <w:rsid w:val="005D0249"/>
    <w:rsid w:val="005D18FA"/>
    <w:rsid w:val="005D4B19"/>
    <w:rsid w:val="005D4FD4"/>
    <w:rsid w:val="005D5272"/>
    <w:rsid w:val="005D6E8C"/>
    <w:rsid w:val="005E2CC3"/>
    <w:rsid w:val="005E3004"/>
    <w:rsid w:val="005E3B0E"/>
    <w:rsid w:val="005F100C"/>
    <w:rsid w:val="005F62B2"/>
    <w:rsid w:val="005F68DA"/>
    <w:rsid w:val="005F6D93"/>
    <w:rsid w:val="006000B9"/>
    <w:rsid w:val="006006BB"/>
    <w:rsid w:val="00601BC9"/>
    <w:rsid w:val="0060773B"/>
    <w:rsid w:val="00612879"/>
    <w:rsid w:val="00613FD6"/>
    <w:rsid w:val="00615469"/>
    <w:rsid w:val="006157B5"/>
    <w:rsid w:val="00615E27"/>
    <w:rsid w:val="00616658"/>
    <w:rsid w:val="00616976"/>
    <w:rsid w:val="00617224"/>
    <w:rsid w:val="0062693A"/>
    <w:rsid w:val="00626FC6"/>
    <w:rsid w:val="0062749D"/>
    <w:rsid w:val="006303B4"/>
    <w:rsid w:val="00630ADC"/>
    <w:rsid w:val="00632CF8"/>
    <w:rsid w:val="00632FA8"/>
    <w:rsid w:val="00633D3D"/>
    <w:rsid w:val="00641703"/>
    <w:rsid w:val="006431A6"/>
    <w:rsid w:val="0064320B"/>
    <w:rsid w:val="006432A8"/>
    <w:rsid w:val="00643E3A"/>
    <w:rsid w:val="006459F6"/>
    <w:rsid w:val="006501AD"/>
    <w:rsid w:val="00651557"/>
    <w:rsid w:val="00651BFA"/>
    <w:rsid w:val="0065419F"/>
    <w:rsid w:val="00654475"/>
    <w:rsid w:val="00656DF0"/>
    <w:rsid w:val="006650E6"/>
    <w:rsid w:val="00665A4B"/>
    <w:rsid w:val="006670E3"/>
    <w:rsid w:val="00671089"/>
    <w:rsid w:val="00686033"/>
    <w:rsid w:val="00686E40"/>
    <w:rsid w:val="00692E2A"/>
    <w:rsid w:val="006947B4"/>
    <w:rsid w:val="00694FDB"/>
    <w:rsid w:val="006A09F5"/>
    <w:rsid w:val="006A09FE"/>
    <w:rsid w:val="006A30A8"/>
    <w:rsid w:val="006A4038"/>
    <w:rsid w:val="006A76F2"/>
    <w:rsid w:val="006A7F55"/>
    <w:rsid w:val="006C2CFE"/>
    <w:rsid w:val="006C5011"/>
    <w:rsid w:val="006C5226"/>
    <w:rsid w:val="006D19D4"/>
    <w:rsid w:val="006D523F"/>
    <w:rsid w:val="006D62CD"/>
    <w:rsid w:val="006D7EFB"/>
    <w:rsid w:val="006E09A4"/>
    <w:rsid w:val="006E0F4E"/>
    <w:rsid w:val="006E5420"/>
    <w:rsid w:val="006E549D"/>
    <w:rsid w:val="006E65EB"/>
    <w:rsid w:val="006E6672"/>
    <w:rsid w:val="006E6722"/>
    <w:rsid w:val="006F163C"/>
    <w:rsid w:val="006F1A8B"/>
    <w:rsid w:val="006F43FC"/>
    <w:rsid w:val="006F7AFF"/>
    <w:rsid w:val="0070207F"/>
    <w:rsid w:val="007027B9"/>
    <w:rsid w:val="00702BD1"/>
    <w:rsid w:val="007058E6"/>
    <w:rsid w:val="007066B5"/>
    <w:rsid w:val="00712383"/>
    <w:rsid w:val="007145DA"/>
    <w:rsid w:val="00715E88"/>
    <w:rsid w:val="00716135"/>
    <w:rsid w:val="007164BF"/>
    <w:rsid w:val="00734CAA"/>
    <w:rsid w:val="00742680"/>
    <w:rsid w:val="00747331"/>
    <w:rsid w:val="00754637"/>
    <w:rsid w:val="0075533C"/>
    <w:rsid w:val="00757581"/>
    <w:rsid w:val="007602F5"/>
    <w:rsid w:val="00760D36"/>
    <w:rsid w:val="007610B9"/>
    <w:rsid w:val="007611A0"/>
    <w:rsid w:val="00761D5F"/>
    <w:rsid w:val="0077077D"/>
    <w:rsid w:val="00773E54"/>
    <w:rsid w:val="00785FA7"/>
    <w:rsid w:val="00787688"/>
    <w:rsid w:val="007935E6"/>
    <w:rsid w:val="00794C7D"/>
    <w:rsid w:val="00796D3F"/>
    <w:rsid w:val="007A1683"/>
    <w:rsid w:val="007A246F"/>
    <w:rsid w:val="007A4FE0"/>
    <w:rsid w:val="007A5420"/>
    <w:rsid w:val="007A591F"/>
    <w:rsid w:val="007A5C12"/>
    <w:rsid w:val="007A7CB0"/>
    <w:rsid w:val="007B1D74"/>
    <w:rsid w:val="007B60E5"/>
    <w:rsid w:val="007B68A3"/>
    <w:rsid w:val="007C2541"/>
    <w:rsid w:val="007C258E"/>
    <w:rsid w:val="007C2719"/>
    <w:rsid w:val="007C51DA"/>
    <w:rsid w:val="007D66A8"/>
    <w:rsid w:val="007D6C59"/>
    <w:rsid w:val="007E003F"/>
    <w:rsid w:val="007E0BE2"/>
    <w:rsid w:val="007E25EA"/>
    <w:rsid w:val="007E304A"/>
    <w:rsid w:val="007F0CF8"/>
    <w:rsid w:val="007F4CF5"/>
    <w:rsid w:val="007F62CB"/>
    <w:rsid w:val="007F6457"/>
    <w:rsid w:val="007F73B8"/>
    <w:rsid w:val="00801EB8"/>
    <w:rsid w:val="00802727"/>
    <w:rsid w:val="008109F2"/>
    <w:rsid w:val="00813CDC"/>
    <w:rsid w:val="008142EC"/>
    <w:rsid w:val="00814FED"/>
    <w:rsid w:val="008164F2"/>
    <w:rsid w:val="00816BE0"/>
    <w:rsid w:val="00821395"/>
    <w:rsid w:val="00824911"/>
    <w:rsid w:val="00830E26"/>
    <w:rsid w:val="00835B01"/>
    <w:rsid w:val="0084024C"/>
    <w:rsid w:val="00843576"/>
    <w:rsid w:val="00843B64"/>
    <w:rsid w:val="00844890"/>
    <w:rsid w:val="008458EB"/>
    <w:rsid w:val="008478FC"/>
    <w:rsid w:val="00851C51"/>
    <w:rsid w:val="008529CB"/>
    <w:rsid w:val="00856747"/>
    <w:rsid w:val="00856818"/>
    <w:rsid w:val="00865EFA"/>
    <w:rsid w:val="008665B4"/>
    <w:rsid w:val="00867BFF"/>
    <w:rsid w:val="008704D0"/>
    <w:rsid w:val="00871542"/>
    <w:rsid w:val="00872BF6"/>
    <w:rsid w:val="00873BBA"/>
    <w:rsid w:val="00874F0F"/>
    <w:rsid w:val="00876602"/>
    <w:rsid w:val="008839EF"/>
    <w:rsid w:val="00884409"/>
    <w:rsid w:val="0088480A"/>
    <w:rsid w:val="0088757A"/>
    <w:rsid w:val="00887D41"/>
    <w:rsid w:val="00890464"/>
    <w:rsid w:val="00890EB4"/>
    <w:rsid w:val="0089387D"/>
    <w:rsid w:val="0089431B"/>
    <w:rsid w:val="00895668"/>
    <w:rsid w:val="008957DD"/>
    <w:rsid w:val="00897529"/>
    <w:rsid w:val="00897D98"/>
    <w:rsid w:val="008A1141"/>
    <w:rsid w:val="008A1B56"/>
    <w:rsid w:val="008A2FF0"/>
    <w:rsid w:val="008A30C7"/>
    <w:rsid w:val="008A4405"/>
    <w:rsid w:val="008A6DF2"/>
    <w:rsid w:val="008A7766"/>
    <w:rsid w:val="008A7807"/>
    <w:rsid w:val="008B0027"/>
    <w:rsid w:val="008B4CC9"/>
    <w:rsid w:val="008C2496"/>
    <w:rsid w:val="008C330D"/>
    <w:rsid w:val="008D55DE"/>
    <w:rsid w:val="008D75E4"/>
    <w:rsid w:val="008D7C99"/>
    <w:rsid w:val="008E0141"/>
    <w:rsid w:val="008E0FCB"/>
    <w:rsid w:val="008F0B72"/>
    <w:rsid w:val="008F3DB6"/>
    <w:rsid w:val="008F6DFE"/>
    <w:rsid w:val="009031AA"/>
    <w:rsid w:val="0090529F"/>
    <w:rsid w:val="00906D5D"/>
    <w:rsid w:val="00911861"/>
    <w:rsid w:val="00912C40"/>
    <w:rsid w:val="009161AE"/>
    <w:rsid w:val="0092178C"/>
    <w:rsid w:val="00923CAE"/>
    <w:rsid w:val="0092722D"/>
    <w:rsid w:val="00930B88"/>
    <w:rsid w:val="009315AE"/>
    <w:rsid w:val="009333F2"/>
    <w:rsid w:val="00933B1C"/>
    <w:rsid w:val="00933DF8"/>
    <w:rsid w:val="009360CC"/>
    <w:rsid w:val="00940DCC"/>
    <w:rsid w:val="0094179A"/>
    <w:rsid w:val="00942C1A"/>
    <w:rsid w:val="0094459E"/>
    <w:rsid w:val="00944DBC"/>
    <w:rsid w:val="0094649F"/>
    <w:rsid w:val="00950977"/>
    <w:rsid w:val="00951A7B"/>
    <w:rsid w:val="00951FA8"/>
    <w:rsid w:val="00954083"/>
    <w:rsid w:val="009564A6"/>
    <w:rsid w:val="00957769"/>
    <w:rsid w:val="00963EFA"/>
    <w:rsid w:val="00966A53"/>
    <w:rsid w:val="00967621"/>
    <w:rsid w:val="00967E6A"/>
    <w:rsid w:val="009719FC"/>
    <w:rsid w:val="00974365"/>
    <w:rsid w:val="00976E69"/>
    <w:rsid w:val="00980B83"/>
    <w:rsid w:val="0098404C"/>
    <w:rsid w:val="00985793"/>
    <w:rsid w:val="00986B2A"/>
    <w:rsid w:val="009907B9"/>
    <w:rsid w:val="00990918"/>
    <w:rsid w:val="00994C0D"/>
    <w:rsid w:val="009A2C5C"/>
    <w:rsid w:val="009A34CC"/>
    <w:rsid w:val="009A3A83"/>
    <w:rsid w:val="009A6291"/>
    <w:rsid w:val="009B1494"/>
    <w:rsid w:val="009B4A0F"/>
    <w:rsid w:val="009C02AB"/>
    <w:rsid w:val="009C11D2"/>
    <w:rsid w:val="009C6C70"/>
    <w:rsid w:val="009C7B0A"/>
    <w:rsid w:val="009D0224"/>
    <w:rsid w:val="009D0B63"/>
    <w:rsid w:val="009D3675"/>
    <w:rsid w:val="009D3B98"/>
    <w:rsid w:val="009D5A4B"/>
    <w:rsid w:val="009D5CB8"/>
    <w:rsid w:val="009D7E0A"/>
    <w:rsid w:val="009E307E"/>
    <w:rsid w:val="009E64B2"/>
    <w:rsid w:val="00A01E96"/>
    <w:rsid w:val="00A04B49"/>
    <w:rsid w:val="00A04E7A"/>
    <w:rsid w:val="00A0504C"/>
    <w:rsid w:val="00A07870"/>
    <w:rsid w:val="00A07C54"/>
    <w:rsid w:val="00A07F19"/>
    <w:rsid w:val="00A12EB6"/>
    <w:rsid w:val="00A1348D"/>
    <w:rsid w:val="00A13C99"/>
    <w:rsid w:val="00A14471"/>
    <w:rsid w:val="00A157B8"/>
    <w:rsid w:val="00A232EE"/>
    <w:rsid w:val="00A25B8A"/>
    <w:rsid w:val="00A262D1"/>
    <w:rsid w:val="00A36692"/>
    <w:rsid w:val="00A366A1"/>
    <w:rsid w:val="00A4175F"/>
    <w:rsid w:val="00A4271E"/>
    <w:rsid w:val="00A44411"/>
    <w:rsid w:val="00A469FA"/>
    <w:rsid w:val="00A46CDC"/>
    <w:rsid w:val="00A53662"/>
    <w:rsid w:val="00A55B01"/>
    <w:rsid w:val="00A56146"/>
    <w:rsid w:val="00A56B5B"/>
    <w:rsid w:val="00A57567"/>
    <w:rsid w:val="00A603FF"/>
    <w:rsid w:val="00A619B6"/>
    <w:rsid w:val="00A61C4F"/>
    <w:rsid w:val="00A648CA"/>
    <w:rsid w:val="00A657DD"/>
    <w:rsid w:val="00A65E20"/>
    <w:rsid w:val="00A666A6"/>
    <w:rsid w:val="00A675FD"/>
    <w:rsid w:val="00A72437"/>
    <w:rsid w:val="00A744BF"/>
    <w:rsid w:val="00A770EF"/>
    <w:rsid w:val="00A77600"/>
    <w:rsid w:val="00A779E0"/>
    <w:rsid w:val="00A80459"/>
    <w:rsid w:val="00A8048B"/>
    <w:rsid w:val="00A80611"/>
    <w:rsid w:val="00A845BB"/>
    <w:rsid w:val="00A93B63"/>
    <w:rsid w:val="00AA2E43"/>
    <w:rsid w:val="00AA5BF4"/>
    <w:rsid w:val="00AB1A8B"/>
    <w:rsid w:val="00AB20EE"/>
    <w:rsid w:val="00AB40B4"/>
    <w:rsid w:val="00AB525C"/>
    <w:rsid w:val="00AB5340"/>
    <w:rsid w:val="00AB5362"/>
    <w:rsid w:val="00AC07B2"/>
    <w:rsid w:val="00AC0A89"/>
    <w:rsid w:val="00AC2846"/>
    <w:rsid w:val="00AC6D08"/>
    <w:rsid w:val="00AC7C96"/>
    <w:rsid w:val="00AD41D0"/>
    <w:rsid w:val="00AD4E2B"/>
    <w:rsid w:val="00AE1DEB"/>
    <w:rsid w:val="00AE237D"/>
    <w:rsid w:val="00AE502A"/>
    <w:rsid w:val="00AE67CE"/>
    <w:rsid w:val="00AF0010"/>
    <w:rsid w:val="00AF02C8"/>
    <w:rsid w:val="00AF2C1F"/>
    <w:rsid w:val="00AF4B19"/>
    <w:rsid w:val="00AF7C07"/>
    <w:rsid w:val="00B040D6"/>
    <w:rsid w:val="00B06C64"/>
    <w:rsid w:val="00B10477"/>
    <w:rsid w:val="00B11CAC"/>
    <w:rsid w:val="00B15A29"/>
    <w:rsid w:val="00B22C93"/>
    <w:rsid w:val="00B25873"/>
    <w:rsid w:val="00B25EB5"/>
    <w:rsid w:val="00B27589"/>
    <w:rsid w:val="00B27ECA"/>
    <w:rsid w:val="00B34B9C"/>
    <w:rsid w:val="00B358F2"/>
    <w:rsid w:val="00B3593A"/>
    <w:rsid w:val="00B35F1D"/>
    <w:rsid w:val="00B405B7"/>
    <w:rsid w:val="00B52222"/>
    <w:rsid w:val="00B531DA"/>
    <w:rsid w:val="00B54895"/>
    <w:rsid w:val="00B54FE7"/>
    <w:rsid w:val="00B55BE2"/>
    <w:rsid w:val="00B61BE4"/>
    <w:rsid w:val="00B63126"/>
    <w:rsid w:val="00B647C6"/>
    <w:rsid w:val="00B655F9"/>
    <w:rsid w:val="00B66901"/>
    <w:rsid w:val="00B71E6D"/>
    <w:rsid w:val="00B72070"/>
    <w:rsid w:val="00B779E1"/>
    <w:rsid w:val="00B81E3A"/>
    <w:rsid w:val="00B81F51"/>
    <w:rsid w:val="00B84FE8"/>
    <w:rsid w:val="00B85CFB"/>
    <w:rsid w:val="00B91EE1"/>
    <w:rsid w:val="00B92490"/>
    <w:rsid w:val="00B94602"/>
    <w:rsid w:val="00B959C3"/>
    <w:rsid w:val="00BA0090"/>
    <w:rsid w:val="00BA0C83"/>
    <w:rsid w:val="00BA1A67"/>
    <w:rsid w:val="00BA2810"/>
    <w:rsid w:val="00BA6A80"/>
    <w:rsid w:val="00BB2E02"/>
    <w:rsid w:val="00BB457B"/>
    <w:rsid w:val="00BB4ABB"/>
    <w:rsid w:val="00BC1147"/>
    <w:rsid w:val="00BC1782"/>
    <w:rsid w:val="00BC462B"/>
    <w:rsid w:val="00BE2FDD"/>
    <w:rsid w:val="00BE5944"/>
    <w:rsid w:val="00BE5B5F"/>
    <w:rsid w:val="00BE71F1"/>
    <w:rsid w:val="00BE7993"/>
    <w:rsid w:val="00BF2EA9"/>
    <w:rsid w:val="00BF4156"/>
    <w:rsid w:val="00BF67D1"/>
    <w:rsid w:val="00C05211"/>
    <w:rsid w:val="00C0782B"/>
    <w:rsid w:val="00C13752"/>
    <w:rsid w:val="00C15B3B"/>
    <w:rsid w:val="00C1621A"/>
    <w:rsid w:val="00C2225F"/>
    <w:rsid w:val="00C2482E"/>
    <w:rsid w:val="00C26F55"/>
    <w:rsid w:val="00C30C63"/>
    <w:rsid w:val="00C30FF3"/>
    <w:rsid w:val="00C36381"/>
    <w:rsid w:val="00C36B8B"/>
    <w:rsid w:val="00C37363"/>
    <w:rsid w:val="00C37596"/>
    <w:rsid w:val="00C409D0"/>
    <w:rsid w:val="00C415C1"/>
    <w:rsid w:val="00C41D2B"/>
    <w:rsid w:val="00C47DBF"/>
    <w:rsid w:val="00C552FF"/>
    <w:rsid w:val="00C558DA"/>
    <w:rsid w:val="00C55AF3"/>
    <w:rsid w:val="00C65BD3"/>
    <w:rsid w:val="00C71051"/>
    <w:rsid w:val="00C771A9"/>
    <w:rsid w:val="00C77BE7"/>
    <w:rsid w:val="00C840DF"/>
    <w:rsid w:val="00C84759"/>
    <w:rsid w:val="00C94368"/>
    <w:rsid w:val="00CA00B5"/>
    <w:rsid w:val="00CA0EA2"/>
    <w:rsid w:val="00CA45C2"/>
    <w:rsid w:val="00CA5CA9"/>
    <w:rsid w:val="00CA6C7F"/>
    <w:rsid w:val="00CA7490"/>
    <w:rsid w:val="00CA7D30"/>
    <w:rsid w:val="00CB0EB4"/>
    <w:rsid w:val="00CB1596"/>
    <w:rsid w:val="00CB15B1"/>
    <w:rsid w:val="00CC0FC7"/>
    <w:rsid w:val="00CC10A6"/>
    <w:rsid w:val="00CC4ED2"/>
    <w:rsid w:val="00CC5464"/>
    <w:rsid w:val="00CD0BF2"/>
    <w:rsid w:val="00CD441A"/>
    <w:rsid w:val="00CD5EB8"/>
    <w:rsid w:val="00CD6354"/>
    <w:rsid w:val="00CD7044"/>
    <w:rsid w:val="00CE08B9"/>
    <w:rsid w:val="00CE19FB"/>
    <w:rsid w:val="00CE2D3C"/>
    <w:rsid w:val="00CE2F22"/>
    <w:rsid w:val="00CE524C"/>
    <w:rsid w:val="00CF141F"/>
    <w:rsid w:val="00CF4777"/>
    <w:rsid w:val="00CF65C8"/>
    <w:rsid w:val="00D013F5"/>
    <w:rsid w:val="00D03CED"/>
    <w:rsid w:val="00D05E3F"/>
    <w:rsid w:val="00D06142"/>
    <w:rsid w:val="00D067BB"/>
    <w:rsid w:val="00D13460"/>
    <w:rsid w:val="00D1352A"/>
    <w:rsid w:val="00D158C5"/>
    <w:rsid w:val="00D169AF"/>
    <w:rsid w:val="00D174E5"/>
    <w:rsid w:val="00D22144"/>
    <w:rsid w:val="00D22C78"/>
    <w:rsid w:val="00D23EF7"/>
    <w:rsid w:val="00D25249"/>
    <w:rsid w:val="00D274C7"/>
    <w:rsid w:val="00D319B2"/>
    <w:rsid w:val="00D31C10"/>
    <w:rsid w:val="00D40064"/>
    <w:rsid w:val="00D44172"/>
    <w:rsid w:val="00D47BE3"/>
    <w:rsid w:val="00D514B8"/>
    <w:rsid w:val="00D62040"/>
    <w:rsid w:val="00D63B8C"/>
    <w:rsid w:val="00D67889"/>
    <w:rsid w:val="00D71A18"/>
    <w:rsid w:val="00D739CC"/>
    <w:rsid w:val="00D80368"/>
    <w:rsid w:val="00D8093D"/>
    <w:rsid w:val="00D8108C"/>
    <w:rsid w:val="00D842AE"/>
    <w:rsid w:val="00D87EF3"/>
    <w:rsid w:val="00D909FE"/>
    <w:rsid w:val="00D9211C"/>
    <w:rsid w:val="00D92DE0"/>
    <w:rsid w:val="00D92FEF"/>
    <w:rsid w:val="00D93A0F"/>
    <w:rsid w:val="00D96BC0"/>
    <w:rsid w:val="00DA068E"/>
    <w:rsid w:val="00DA1BCA"/>
    <w:rsid w:val="00DA1C0E"/>
    <w:rsid w:val="00DA24BA"/>
    <w:rsid w:val="00DB53EB"/>
    <w:rsid w:val="00DC46FF"/>
    <w:rsid w:val="00DC5254"/>
    <w:rsid w:val="00DC5650"/>
    <w:rsid w:val="00DC569D"/>
    <w:rsid w:val="00DD1A4F"/>
    <w:rsid w:val="00DD3107"/>
    <w:rsid w:val="00DD74D9"/>
    <w:rsid w:val="00DD7749"/>
    <w:rsid w:val="00DD7C2C"/>
    <w:rsid w:val="00DE1C5D"/>
    <w:rsid w:val="00DE5BDA"/>
    <w:rsid w:val="00DF1257"/>
    <w:rsid w:val="00DF3A9F"/>
    <w:rsid w:val="00DF433C"/>
    <w:rsid w:val="00DF519F"/>
    <w:rsid w:val="00E0035A"/>
    <w:rsid w:val="00E06797"/>
    <w:rsid w:val="00E1251B"/>
    <w:rsid w:val="00E1265B"/>
    <w:rsid w:val="00E13485"/>
    <w:rsid w:val="00E13B48"/>
    <w:rsid w:val="00E1404F"/>
    <w:rsid w:val="00E15465"/>
    <w:rsid w:val="00E17E02"/>
    <w:rsid w:val="00E21C83"/>
    <w:rsid w:val="00E248DC"/>
    <w:rsid w:val="00E24ADA"/>
    <w:rsid w:val="00E25B32"/>
    <w:rsid w:val="00E27122"/>
    <w:rsid w:val="00E3124B"/>
    <w:rsid w:val="00E32F59"/>
    <w:rsid w:val="00E41908"/>
    <w:rsid w:val="00E46D9A"/>
    <w:rsid w:val="00E47609"/>
    <w:rsid w:val="00E531E4"/>
    <w:rsid w:val="00E565FF"/>
    <w:rsid w:val="00E56E9F"/>
    <w:rsid w:val="00E65388"/>
    <w:rsid w:val="00E67A13"/>
    <w:rsid w:val="00E7114D"/>
    <w:rsid w:val="00E722DF"/>
    <w:rsid w:val="00E733A3"/>
    <w:rsid w:val="00E74970"/>
    <w:rsid w:val="00E7506B"/>
    <w:rsid w:val="00E7741D"/>
    <w:rsid w:val="00E808CD"/>
    <w:rsid w:val="00E82F64"/>
    <w:rsid w:val="00E8348F"/>
    <w:rsid w:val="00E85B7D"/>
    <w:rsid w:val="00E9121B"/>
    <w:rsid w:val="00E914E0"/>
    <w:rsid w:val="00E9302E"/>
    <w:rsid w:val="00E976AB"/>
    <w:rsid w:val="00EA0AE2"/>
    <w:rsid w:val="00EA17CB"/>
    <w:rsid w:val="00EA1FF1"/>
    <w:rsid w:val="00EA39E5"/>
    <w:rsid w:val="00EA57A3"/>
    <w:rsid w:val="00EA7506"/>
    <w:rsid w:val="00EB428F"/>
    <w:rsid w:val="00EB4AF4"/>
    <w:rsid w:val="00EB7B24"/>
    <w:rsid w:val="00EC2813"/>
    <w:rsid w:val="00EC2E33"/>
    <w:rsid w:val="00EC3F98"/>
    <w:rsid w:val="00EC5A46"/>
    <w:rsid w:val="00EC63E2"/>
    <w:rsid w:val="00EC7336"/>
    <w:rsid w:val="00EC782D"/>
    <w:rsid w:val="00ED366A"/>
    <w:rsid w:val="00ED6BB7"/>
    <w:rsid w:val="00ED6F17"/>
    <w:rsid w:val="00EF22B3"/>
    <w:rsid w:val="00EF3907"/>
    <w:rsid w:val="00F01920"/>
    <w:rsid w:val="00F03B69"/>
    <w:rsid w:val="00F044B5"/>
    <w:rsid w:val="00F04A02"/>
    <w:rsid w:val="00F04E7A"/>
    <w:rsid w:val="00F07509"/>
    <w:rsid w:val="00F07A50"/>
    <w:rsid w:val="00F113DA"/>
    <w:rsid w:val="00F114BC"/>
    <w:rsid w:val="00F17E65"/>
    <w:rsid w:val="00F22091"/>
    <w:rsid w:val="00F23040"/>
    <w:rsid w:val="00F23CC1"/>
    <w:rsid w:val="00F24FA2"/>
    <w:rsid w:val="00F2666A"/>
    <w:rsid w:val="00F266FC"/>
    <w:rsid w:val="00F3037A"/>
    <w:rsid w:val="00F30C06"/>
    <w:rsid w:val="00F31EFF"/>
    <w:rsid w:val="00F3465A"/>
    <w:rsid w:val="00F36BCD"/>
    <w:rsid w:val="00F36CAC"/>
    <w:rsid w:val="00F37DC8"/>
    <w:rsid w:val="00F402FB"/>
    <w:rsid w:val="00F439B3"/>
    <w:rsid w:val="00F46426"/>
    <w:rsid w:val="00F47FFA"/>
    <w:rsid w:val="00F564E6"/>
    <w:rsid w:val="00F57165"/>
    <w:rsid w:val="00F6085A"/>
    <w:rsid w:val="00F613F1"/>
    <w:rsid w:val="00F650C3"/>
    <w:rsid w:val="00F65348"/>
    <w:rsid w:val="00F65D85"/>
    <w:rsid w:val="00F6700B"/>
    <w:rsid w:val="00F70BBF"/>
    <w:rsid w:val="00F72403"/>
    <w:rsid w:val="00F731A3"/>
    <w:rsid w:val="00F738F9"/>
    <w:rsid w:val="00F7490D"/>
    <w:rsid w:val="00F8091E"/>
    <w:rsid w:val="00F850A6"/>
    <w:rsid w:val="00F86035"/>
    <w:rsid w:val="00F8615C"/>
    <w:rsid w:val="00F871EA"/>
    <w:rsid w:val="00F94B6B"/>
    <w:rsid w:val="00F967C5"/>
    <w:rsid w:val="00F969E5"/>
    <w:rsid w:val="00FA073D"/>
    <w:rsid w:val="00FA4972"/>
    <w:rsid w:val="00FA6BB0"/>
    <w:rsid w:val="00FB2DBD"/>
    <w:rsid w:val="00FB321B"/>
    <w:rsid w:val="00FB4979"/>
    <w:rsid w:val="00FB6084"/>
    <w:rsid w:val="00FC7A16"/>
    <w:rsid w:val="00FD1408"/>
    <w:rsid w:val="00FD3D60"/>
    <w:rsid w:val="00FD48DF"/>
    <w:rsid w:val="00FD5860"/>
    <w:rsid w:val="00FD7332"/>
    <w:rsid w:val="00FE352D"/>
    <w:rsid w:val="00FE40EB"/>
    <w:rsid w:val="00FE4713"/>
    <w:rsid w:val="00FE4D02"/>
    <w:rsid w:val="00FE650B"/>
    <w:rsid w:val="00FE7D62"/>
    <w:rsid w:val="00FF1C33"/>
    <w:rsid w:val="00FF3819"/>
    <w:rsid w:val="00FF4420"/>
    <w:rsid w:val="00FF4C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2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paragraph" w:styleId="Caption">
    <w:name w:val="caption"/>
    <w:basedOn w:val="Normal"/>
    <w:next w:val="Normal"/>
    <w:qFormat/>
    <w:rsid w:val="0041238C"/>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41238C"/>
    <w:rPr>
      <w:b/>
      <w:lang w:eastAsia="en-US"/>
    </w:rPr>
  </w:style>
  <w:style w:type="paragraph" w:customStyle="1" w:styleId="Style10ptLeft043Firstline043After6pt">
    <w:name w:val="Style 10 pt Left:  0.43&quot; First line:  0.43&quot; After:  6 pt"/>
    <w:basedOn w:val="Normal"/>
    <w:uiPriority w:val="99"/>
    <w:rsid w:val="0041238C"/>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41238C"/>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41238C"/>
    <w:rPr>
      <w:sz w:val="24"/>
      <w:lang w:eastAsia="en-US"/>
    </w:rPr>
  </w:style>
  <w:style w:type="paragraph" w:customStyle="1" w:styleId="Default">
    <w:name w:val="Default"/>
    <w:rsid w:val="0041238C"/>
    <w:pPr>
      <w:autoSpaceDE w:val="0"/>
      <w:autoSpaceDN w:val="0"/>
      <w:adjustRightInd w:val="0"/>
    </w:pPr>
    <w:rPr>
      <w:color w:val="000000"/>
      <w:sz w:val="24"/>
      <w:szCs w:val="24"/>
    </w:rPr>
  </w:style>
  <w:style w:type="paragraph" w:customStyle="1" w:styleId="ColorfulShading-Accent11">
    <w:name w:val="Colorful Shading - Accent 11"/>
    <w:hidden/>
    <w:uiPriority w:val="71"/>
    <w:rsid w:val="0041238C"/>
    <w:rPr>
      <w:lang w:eastAsia="en-US"/>
    </w:rPr>
  </w:style>
  <w:style w:type="paragraph" w:customStyle="1" w:styleId="ColorfulList-Accent11">
    <w:name w:val="Colorful List - Accent 11"/>
    <w:basedOn w:val="Normal"/>
    <w:uiPriority w:val="72"/>
    <w:rsid w:val="0041238C"/>
    <w:pPr>
      <w:ind w:left="720"/>
      <w:contextualSpacing/>
    </w:pPr>
  </w:style>
  <w:style w:type="numbering" w:styleId="111111">
    <w:name w:val="Outline List 2"/>
    <w:basedOn w:val="NoList"/>
    <w:semiHidden/>
    <w:unhideWhenUsed/>
    <w:rsid w:val="0041238C"/>
    <w:pPr>
      <w:numPr>
        <w:numId w:val="9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paragraph" w:styleId="Caption">
    <w:name w:val="caption"/>
    <w:basedOn w:val="Normal"/>
    <w:next w:val="Normal"/>
    <w:qFormat/>
    <w:rsid w:val="0041238C"/>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41238C"/>
    <w:rPr>
      <w:b/>
      <w:lang w:eastAsia="en-US"/>
    </w:rPr>
  </w:style>
  <w:style w:type="paragraph" w:customStyle="1" w:styleId="Style10ptLeft043Firstline043After6pt">
    <w:name w:val="Style 10 pt Left:  0.43&quot; First line:  0.43&quot; After:  6 pt"/>
    <w:basedOn w:val="Normal"/>
    <w:uiPriority w:val="99"/>
    <w:rsid w:val="0041238C"/>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41238C"/>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41238C"/>
    <w:rPr>
      <w:sz w:val="24"/>
      <w:lang w:eastAsia="en-US"/>
    </w:rPr>
  </w:style>
  <w:style w:type="paragraph" w:customStyle="1" w:styleId="Default">
    <w:name w:val="Default"/>
    <w:rsid w:val="0041238C"/>
    <w:pPr>
      <w:autoSpaceDE w:val="0"/>
      <w:autoSpaceDN w:val="0"/>
      <w:adjustRightInd w:val="0"/>
    </w:pPr>
    <w:rPr>
      <w:color w:val="000000"/>
      <w:sz w:val="24"/>
      <w:szCs w:val="24"/>
    </w:rPr>
  </w:style>
  <w:style w:type="paragraph" w:customStyle="1" w:styleId="ColorfulShading-Accent11">
    <w:name w:val="Colorful Shading - Accent 11"/>
    <w:hidden/>
    <w:uiPriority w:val="71"/>
    <w:rsid w:val="0041238C"/>
    <w:rPr>
      <w:lang w:eastAsia="en-US"/>
    </w:rPr>
  </w:style>
  <w:style w:type="paragraph" w:customStyle="1" w:styleId="ColorfulList-Accent11">
    <w:name w:val="Colorful List - Accent 11"/>
    <w:basedOn w:val="Normal"/>
    <w:uiPriority w:val="72"/>
    <w:rsid w:val="0041238C"/>
    <w:pPr>
      <w:ind w:left="720"/>
      <w:contextualSpacing/>
    </w:pPr>
  </w:style>
  <w:style w:type="numbering" w:styleId="111111">
    <w:name w:val="Outline List 2"/>
    <w:basedOn w:val="NoList"/>
    <w:semiHidden/>
    <w:unhideWhenUsed/>
    <w:rsid w:val="0041238C"/>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554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DTIE%20-%20MC-COP-1\UNEP-MC-CO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6D0D-F767-4D22-82E4-C6B08860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UNEP-MC-COP-1.dotx</Template>
  <TotalTime>1</TotalTime>
  <Pages>26</Pages>
  <Words>12709</Words>
  <Characters>72444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LOGAN</cp:lastModifiedBy>
  <cp:revision>2</cp:revision>
  <cp:lastPrinted>2017-09-20T07:02:00Z</cp:lastPrinted>
  <dcterms:created xsi:type="dcterms:W3CDTF">2017-09-22T09:53:00Z</dcterms:created>
  <dcterms:modified xsi:type="dcterms:W3CDTF">2017-09-22T09:53:00Z</dcterms:modified>
</cp:coreProperties>
</file>