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6744EA" w:rsidRPr="006A1074" w14:paraId="44ABF3BB" w14:textId="77777777" w:rsidTr="00712D27">
        <w:trPr>
          <w:cantSplit/>
          <w:trHeight w:val="850"/>
          <w:jc w:val="right"/>
        </w:trPr>
        <w:tc>
          <w:tcPr>
            <w:tcW w:w="1550" w:type="dxa"/>
          </w:tcPr>
          <w:p w14:paraId="30DE5B3F" w14:textId="77777777" w:rsidR="006744EA" w:rsidRPr="006A1074" w:rsidRDefault="006744EA" w:rsidP="00712D27">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51" w:type="dxa"/>
          </w:tcPr>
          <w:p w14:paraId="5D5F43EC" w14:textId="77777777" w:rsidR="006744EA" w:rsidRPr="006A1074" w:rsidRDefault="006744EA" w:rsidP="00712D27">
            <w:pPr>
              <w:rPr>
                <w:rFonts w:ascii="Univers" w:hAnsi="Univers"/>
                <w:b/>
                <w:sz w:val="27"/>
                <w:szCs w:val="27"/>
              </w:rPr>
            </w:pPr>
          </w:p>
        </w:tc>
        <w:tc>
          <w:tcPr>
            <w:tcW w:w="3411" w:type="dxa"/>
          </w:tcPr>
          <w:p w14:paraId="2ABD8BE1" w14:textId="77777777" w:rsidR="006744EA" w:rsidRPr="00C00C77" w:rsidRDefault="006744EA" w:rsidP="00712D27">
            <w:pPr>
              <w:jc w:val="right"/>
              <w:rPr>
                <w:rFonts w:ascii="Arial" w:hAnsi="Arial" w:cs="Arial"/>
                <w:b/>
                <w:sz w:val="64"/>
                <w:szCs w:val="64"/>
              </w:rPr>
            </w:pPr>
            <w:r>
              <w:rPr>
                <w:rFonts w:ascii="Arial" w:hAnsi="Arial" w:cs="Arial"/>
                <w:b/>
                <w:sz w:val="64"/>
                <w:szCs w:val="64"/>
              </w:rPr>
              <w:t>MC</w:t>
            </w:r>
          </w:p>
        </w:tc>
      </w:tr>
      <w:tr w:rsidR="006744EA" w:rsidRPr="006A1074" w14:paraId="30157E77" w14:textId="77777777" w:rsidTr="00712D27">
        <w:trPr>
          <w:cantSplit/>
          <w:trHeight w:val="281"/>
          <w:jc w:val="right"/>
        </w:trPr>
        <w:tc>
          <w:tcPr>
            <w:tcW w:w="1550" w:type="dxa"/>
            <w:tcBorders>
              <w:bottom w:val="single" w:sz="4" w:space="0" w:color="auto"/>
            </w:tcBorders>
          </w:tcPr>
          <w:p w14:paraId="13B2213B" w14:textId="77777777" w:rsidR="006744EA" w:rsidRPr="006A1074" w:rsidRDefault="006744EA" w:rsidP="00712D27">
            <w:pPr>
              <w:rPr>
                <w:noProof/>
                <w:sz w:val="18"/>
                <w:szCs w:val="18"/>
              </w:rPr>
            </w:pPr>
          </w:p>
        </w:tc>
        <w:tc>
          <w:tcPr>
            <w:tcW w:w="4751" w:type="dxa"/>
            <w:tcBorders>
              <w:bottom w:val="single" w:sz="4" w:space="0" w:color="auto"/>
            </w:tcBorders>
          </w:tcPr>
          <w:p w14:paraId="33B1952C" w14:textId="77777777" w:rsidR="006744EA" w:rsidRPr="006A1074" w:rsidRDefault="006744EA" w:rsidP="00712D27">
            <w:pPr>
              <w:rPr>
                <w:rFonts w:ascii="Univers" w:hAnsi="Univers"/>
                <w:b/>
                <w:sz w:val="18"/>
                <w:szCs w:val="18"/>
              </w:rPr>
            </w:pPr>
          </w:p>
        </w:tc>
        <w:tc>
          <w:tcPr>
            <w:tcW w:w="3411" w:type="dxa"/>
            <w:tcBorders>
              <w:bottom w:val="single" w:sz="4" w:space="0" w:color="auto"/>
            </w:tcBorders>
          </w:tcPr>
          <w:p w14:paraId="3EB4906D" w14:textId="0FE23F8C" w:rsidR="006744EA" w:rsidRPr="006A1074" w:rsidRDefault="006744EA" w:rsidP="00712D27">
            <w:pPr>
              <w:rPr>
                <w:noProof/>
                <w:sz w:val="18"/>
                <w:szCs w:val="18"/>
              </w:rPr>
            </w:pPr>
            <w:r w:rsidRPr="006A1074">
              <w:rPr>
                <w:b/>
                <w:bCs/>
                <w:sz w:val="28"/>
              </w:rPr>
              <w:t>UNEP</w:t>
            </w:r>
            <w:r>
              <w:rPr>
                <w:b/>
                <w:bCs/>
                <w:sz w:val="28"/>
              </w:rPr>
              <w:t>/</w:t>
            </w:r>
            <w:r>
              <w:t>MC</w:t>
            </w:r>
            <w:r w:rsidRPr="006A1074">
              <w:t>/</w:t>
            </w:r>
            <w:r>
              <w:t>COP.1</w:t>
            </w:r>
            <w:r w:rsidRPr="00642796">
              <w:t>/</w:t>
            </w:r>
            <w:r>
              <w:t>12</w:t>
            </w:r>
          </w:p>
        </w:tc>
      </w:tr>
      <w:bookmarkStart w:id="0" w:name="_MON_1021710510"/>
      <w:bookmarkEnd w:id="0"/>
      <w:tr w:rsidR="006744EA" w:rsidRPr="006A1074" w14:paraId="0BC7C9E9" w14:textId="77777777" w:rsidTr="00712D27">
        <w:trPr>
          <w:cantSplit/>
          <w:trHeight w:val="2549"/>
          <w:jc w:val="right"/>
        </w:trPr>
        <w:tc>
          <w:tcPr>
            <w:tcW w:w="1550" w:type="dxa"/>
            <w:tcBorders>
              <w:top w:val="single" w:sz="4" w:space="0" w:color="auto"/>
              <w:bottom w:val="single" w:sz="24" w:space="0" w:color="auto"/>
            </w:tcBorders>
          </w:tcPr>
          <w:p w14:paraId="43A15F0A" w14:textId="77777777" w:rsidR="006744EA" w:rsidRPr="006A1074" w:rsidRDefault="006744EA" w:rsidP="00712D27">
            <w:pPr>
              <w:rPr>
                <w:noProof/>
              </w:rPr>
            </w:pPr>
            <w:r w:rsidRPr="006A1074">
              <w:rPr>
                <w:noProof/>
              </w:rPr>
              <w:object w:dxaOrig="1831" w:dyaOrig="1726" w14:anchorId="32CE5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2.2pt" o:ole="" fillcolor="window">
                  <v:imagedata r:id="rId9" o:title=""/>
                </v:shape>
                <o:OLEObject Type="Embed" ProgID="Word.Picture.8" ShapeID="_x0000_i1025" DrawAspect="Content" ObjectID="_1559390780" r:id="rId10"/>
              </w:object>
            </w:r>
            <w:r>
              <w:rPr>
                <w:noProof/>
                <w:lang w:val="en-US"/>
              </w:rPr>
              <w:drawing>
                <wp:inline distT="0" distB="0" distL="0" distR="0" wp14:anchorId="17EEAC30" wp14:editId="3A505AC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0C7EB3C" w14:textId="77777777" w:rsidR="006744EA" w:rsidRPr="00C00C77" w:rsidRDefault="006744EA" w:rsidP="00712D27">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11" w:type="dxa"/>
            <w:tcBorders>
              <w:top w:val="single" w:sz="4" w:space="0" w:color="auto"/>
              <w:bottom w:val="single" w:sz="24" w:space="0" w:color="auto"/>
            </w:tcBorders>
          </w:tcPr>
          <w:p w14:paraId="30982627" w14:textId="25F86C0A" w:rsidR="006744EA" w:rsidRDefault="006744EA" w:rsidP="00712D27">
            <w:pPr>
              <w:spacing w:before="120"/>
            </w:pPr>
            <w:r w:rsidRPr="006A1074">
              <w:t>Distr.: General</w:t>
            </w:r>
            <w:r>
              <w:br w:type="textWrapping" w:clear="all"/>
              <w:t>15 May 2017</w:t>
            </w:r>
          </w:p>
          <w:p w14:paraId="57FC7956" w14:textId="77777777" w:rsidR="006744EA" w:rsidRPr="006A1074" w:rsidRDefault="006744EA" w:rsidP="00712D27">
            <w:pPr>
              <w:spacing w:before="120"/>
            </w:pPr>
            <w:r>
              <w:t xml:space="preserve">Original: </w:t>
            </w:r>
            <w:r w:rsidRPr="006A1074">
              <w:t>English</w:t>
            </w:r>
          </w:p>
        </w:tc>
      </w:tr>
    </w:tbl>
    <w:p w14:paraId="457BC67A" w14:textId="77777777" w:rsidR="00F70E4F" w:rsidRPr="00DF433C" w:rsidRDefault="00F70E4F" w:rsidP="00945EA0">
      <w:pPr>
        <w:pStyle w:val="AATitle"/>
        <w:keepNext w:val="0"/>
        <w:keepLines w:val="0"/>
      </w:pPr>
      <w:r>
        <w:t>Conference of the Parties to the</w:t>
      </w:r>
    </w:p>
    <w:p w14:paraId="387A175A" w14:textId="77777777" w:rsidR="00E976AB" w:rsidRDefault="00787688" w:rsidP="00945EA0">
      <w:pPr>
        <w:pStyle w:val="AATitle"/>
        <w:keepNext w:val="0"/>
        <w:keepLines w:val="0"/>
      </w:pPr>
      <w:r>
        <w:t>Minamata Convention on Mercury</w:t>
      </w:r>
    </w:p>
    <w:p w14:paraId="3EDEBA27" w14:textId="406A2E6B" w:rsidR="00E976AB" w:rsidRPr="00DF433C" w:rsidRDefault="00787688" w:rsidP="00945EA0">
      <w:pPr>
        <w:pStyle w:val="AATitle"/>
        <w:keepNext w:val="0"/>
        <w:keepLines w:val="0"/>
      </w:pPr>
      <w:r>
        <w:t>First meeting</w:t>
      </w:r>
    </w:p>
    <w:p w14:paraId="01983793" w14:textId="4FA2BF49" w:rsidR="00E976AB" w:rsidRDefault="00787688" w:rsidP="00061BD9">
      <w:pPr>
        <w:pStyle w:val="AATitle"/>
        <w:rPr>
          <w:b w:val="0"/>
        </w:rPr>
      </w:pPr>
      <w:r>
        <w:rPr>
          <w:b w:val="0"/>
        </w:rPr>
        <w:t>Geneva</w:t>
      </w:r>
      <w:r w:rsidR="00E976AB" w:rsidRPr="00DF433C">
        <w:rPr>
          <w:b w:val="0"/>
        </w:rPr>
        <w:t xml:space="preserve">, </w:t>
      </w:r>
      <w:r w:rsidR="00465D27">
        <w:rPr>
          <w:b w:val="0"/>
        </w:rPr>
        <w:t>24–29 September</w:t>
      </w:r>
      <w:r>
        <w:rPr>
          <w:b w:val="0"/>
        </w:rPr>
        <w:t xml:space="preserve"> 2017</w:t>
      </w:r>
    </w:p>
    <w:p w14:paraId="4798A7DE" w14:textId="2A188D80" w:rsidR="00312543" w:rsidRPr="00011B12" w:rsidRDefault="00312543" w:rsidP="00236C0F">
      <w:pPr>
        <w:pStyle w:val="AATitle"/>
        <w:keepNext w:val="0"/>
        <w:keepLines w:val="0"/>
        <w:rPr>
          <w:b w:val="0"/>
          <w:lang w:val="en-US"/>
        </w:rPr>
      </w:pPr>
      <w:r w:rsidRPr="00011B12">
        <w:rPr>
          <w:b w:val="0"/>
        </w:rPr>
        <w:t>Item</w:t>
      </w:r>
      <w:r>
        <w:rPr>
          <w:b w:val="0"/>
          <w:lang w:val="en-US"/>
        </w:rPr>
        <w:t xml:space="preserve"> </w:t>
      </w:r>
      <w:r w:rsidR="00ED4F25">
        <w:rPr>
          <w:b w:val="0"/>
          <w:lang w:val="en-US"/>
        </w:rPr>
        <w:t>5</w:t>
      </w:r>
      <w:r w:rsidR="009F6577">
        <w:rPr>
          <w:b w:val="0"/>
          <w:lang w:val="en-US"/>
        </w:rPr>
        <w:t xml:space="preserve"> </w:t>
      </w:r>
      <w:r w:rsidR="00F70E4F">
        <w:rPr>
          <w:b w:val="0"/>
          <w:lang w:val="en-US"/>
        </w:rPr>
        <w:t>(</w:t>
      </w:r>
      <w:r w:rsidR="00ED4F25">
        <w:rPr>
          <w:b w:val="0"/>
          <w:lang w:val="en-US"/>
        </w:rPr>
        <w:t>a</w:t>
      </w:r>
      <w:r w:rsidR="00F70E4F">
        <w:rPr>
          <w:b w:val="0"/>
          <w:lang w:val="en-US"/>
        </w:rPr>
        <w:t>)</w:t>
      </w:r>
      <w:r w:rsidR="009F6577">
        <w:rPr>
          <w:b w:val="0"/>
          <w:lang w:val="en-US"/>
        </w:rPr>
        <w:t xml:space="preserve"> </w:t>
      </w:r>
      <w:r w:rsidR="00ED4F25">
        <w:rPr>
          <w:b w:val="0"/>
          <w:lang w:val="en-US"/>
        </w:rPr>
        <w:t>(vii)</w:t>
      </w:r>
      <w:r w:rsidRPr="00011B12">
        <w:rPr>
          <w:b w:val="0"/>
          <w:lang w:val="en-US"/>
        </w:rPr>
        <w:t xml:space="preserve"> of the provisional agenda</w:t>
      </w:r>
      <w:r w:rsidRPr="00977130">
        <w:rPr>
          <w:b w:val="0"/>
          <w:lang w:val="en-US"/>
        </w:rPr>
        <w:footnoteReference w:customMarkFollows="1" w:id="2"/>
        <w:t>*</w:t>
      </w:r>
    </w:p>
    <w:p w14:paraId="466CC298" w14:textId="218EA761" w:rsidR="00787688" w:rsidRDefault="00ED4F25" w:rsidP="00B453EF">
      <w:pPr>
        <w:pStyle w:val="AATitle2"/>
        <w:spacing w:before="60" w:after="60"/>
      </w:pPr>
      <w:r w:rsidRPr="00ED4F25">
        <w:rPr>
          <w:bCs/>
          <w:lang w:val="en-US"/>
        </w:rPr>
        <w:t>Matters for action by the Conference of the Parties at its first meeting</w:t>
      </w:r>
      <w:r w:rsidR="00312543" w:rsidRPr="00312543">
        <w:rPr>
          <w:lang w:val="en-US"/>
        </w:rPr>
        <w:t>:</w:t>
      </w:r>
      <w:r w:rsidR="00F70E4F" w:rsidRPr="00F70E4F">
        <w:t xml:space="preserve"> </w:t>
      </w:r>
      <w:r w:rsidR="00061BD9">
        <w:t>m</w:t>
      </w:r>
      <w:r w:rsidRPr="00ED4F25">
        <w:t>atters stipulated under the Convention</w:t>
      </w:r>
      <w:r>
        <w:t>:</w:t>
      </w:r>
      <w:r w:rsidRPr="00ED4F25">
        <w:t xml:space="preserve"> </w:t>
      </w:r>
      <w:r w:rsidR="00061BD9">
        <w:t>t</w:t>
      </w:r>
      <w:r w:rsidRPr="00ED4F25">
        <w:t>he establishment of arra</w:t>
      </w:r>
      <w:bookmarkStart w:id="1" w:name="_GoBack"/>
      <w:bookmarkEnd w:id="1"/>
      <w:r w:rsidRPr="00ED4F25">
        <w:t>ngements in regard to effectiveness evaluation a</w:t>
      </w:r>
      <w:r w:rsidR="00B21ED0">
        <w:t>s referred to in paragraph 2 of </w:t>
      </w:r>
      <w:r w:rsidRPr="00ED4F25">
        <w:t>article 22</w:t>
      </w:r>
    </w:p>
    <w:p w14:paraId="17ACC74B" w14:textId="1AF8B977" w:rsidR="00312543" w:rsidRPr="00236C0F" w:rsidRDefault="00ED4F25" w:rsidP="00313AE4">
      <w:pPr>
        <w:pStyle w:val="BBTitle"/>
      </w:pPr>
      <w:r w:rsidRPr="00313AE4">
        <w:t xml:space="preserve">Establishment of arrangements in regard to effectiveness </w:t>
      </w:r>
      <w:r w:rsidRPr="00236C0F">
        <w:t>evaluation as referred to in paragraph 2 of article 22</w:t>
      </w:r>
    </w:p>
    <w:p w14:paraId="5A6649A8" w14:textId="77777777" w:rsidR="00312543" w:rsidRPr="00831836" w:rsidRDefault="00312543" w:rsidP="008908B6">
      <w:pPr>
        <w:pStyle w:val="CH2"/>
      </w:pPr>
      <w:r w:rsidRPr="00831836">
        <w:tab/>
      </w:r>
      <w:r w:rsidRPr="00831836">
        <w:tab/>
        <w:t>Note by the secretariat</w:t>
      </w:r>
    </w:p>
    <w:p w14:paraId="2124A1D4" w14:textId="033467FC" w:rsidR="00312543" w:rsidRPr="002238C7" w:rsidRDefault="0099193B">
      <w:pPr>
        <w:pStyle w:val="Normalnumber"/>
      </w:pPr>
      <w:r w:rsidRPr="002238C7">
        <w:t>Paragraph 1 of a</w:t>
      </w:r>
      <w:r w:rsidR="00F70E4F" w:rsidRPr="002238C7">
        <w:t xml:space="preserve">rticle </w:t>
      </w:r>
      <w:r w:rsidR="00ED4F25" w:rsidRPr="002238C7">
        <w:t>22</w:t>
      </w:r>
      <w:r w:rsidR="00F70E4F" w:rsidRPr="002238C7">
        <w:t xml:space="preserve"> of the Minamata Convention on Mercury provides</w:t>
      </w:r>
      <w:r w:rsidR="00E13D24" w:rsidRPr="002238C7">
        <w:t xml:space="preserve"> that the Conference of the Parties shall evaluate the effectiveness of th</w:t>
      </w:r>
      <w:r w:rsidRPr="002238C7">
        <w:t>e</w:t>
      </w:r>
      <w:r w:rsidR="00E13D24" w:rsidRPr="002238C7">
        <w:t xml:space="preserve"> Convention, beginning no later than six years after the date of entry into force of the Convention and periodically thereafter at intervals to be decided by it. </w:t>
      </w:r>
      <w:r w:rsidR="00CE49F6" w:rsidRPr="002238C7">
        <w:t>P</w:t>
      </w:r>
      <w:r w:rsidR="00F70E4F" w:rsidRPr="002238C7">
        <w:t xml:space="preserve">aragraph </w:t>
      </w:r>
      <w:r w:rsidR="00ED4F25" w:rsidRPr="002238C7">
        <w:t>2</w:t>
      </w:r>
      <w:r w:rsidR="00CE49F6" w:rsidRPr="002238C7">
        <w:t xml:space="preserve"> of the same article</w:t>
      </w:r>
      <w:r w:rsidR="00451E47" w:rsidRPr="002238C7">
        <w:t xml:space="preserve"> </w:t>
      </w:r>
      <w:r w:rsidR="00E13D24" w:rsidRPr="002238C7">
        <w:t xml:space="preserve">provides </w:t>
      </w:r>
      <w:r w:rsidR="00312543" w:rsidRPr="002238C7">
        <w:t>that the Conference of the Parties shall</w:t>
      </w:r>
      <w:r w:rsidR="00F70E4F" w:rsidRPr="002238C7">
        <w:t xml:space="preserve">, </w:t>
      </w:r>
      <w:r w:rsidR="00ED4F25" w:rsidRPr="002238C7">
        <w:t>at its first meeting</w:t>
      </w:r>
      <w:r w:rsidR="00F70E4F" w:rsidRPr="002238C7">
        <w:t xml:space="preserve">, </w:t>
      </w:r>
      <w:r w:rsidR="00ED4F25" w:rsidRPr="002238C7">
        <w:t xml:space="preserve">initiate </w:t>
      </w:r>
      <w:r w:rsidR="00451E47" w:rsidRPr="002238C7">
        <w:t xml:space="preserve">the establishment of </w:t>
      </w:r>
      <w:r w:rsidR="00ED4F25" w:rsidRPr="002238C7">
        <w:t xml:space="preserve">arrangements for providing itself with comparable monitoring data on the presence and movement of mercury and mercury compounds in the environment as well as trends in levels of mercury and mercury compounds observed in biotic media and vulnerable populations. </w:t>
      </w:r>
    </w:p>
    <w:p w14:paraId="43C233EE" w14:textId="457F3677" w:rsidR="00445DAD" w:rsidRPr="00831836" w:rsidRDefault="00831836" w:rsidP="00236C0F">
      <w:pPr>
        <w:pStyle w:val="Normalnumber"/>
      </w:pPr>
      <w:r>
        <w:t>P</w:t>
      </w:r>
      <w:r w:rsidR="00CE49F6" w:rsidRPr="002238C7">
        <w:t xml:space="preserve">aragraph 3 of article </w:t>
      </w:r>
      <w:r w:rsidR="00445DAD" w:rsidRPr="002238C7">
        <w:t xml:space="preserve">22 </w:t>
      </w:r>
      <w:r>
        <w:t>also</w:t>
      </w:r>
      <w:r w:rsidR="00445DAD" w:rsidRPr="002238C7">
        <w:t xml:space="preserve"> provides</w:t>
      </w:r>
      <w:r w:rsidR="00E13D24" w:rsidRPr="002238C7">
        <w:t xml:space="preserve"> that the </w:t>
      </w:r>
      <w:r w:rsidR="00E13D24" w:rsidRPr="00283572">
        <w:t>evaluation s</w:t>
      </w:r>
      <w:r w:rsidR="00E13D24" w:rsidRPr="002238C7">
        <w:t xml:space="preserve">hall be conducted on the basis of available scientific, environmental, technical, financial and economic information, including reports and other monitoring information provided in line with the arrangements for obtaining comparable monitoring information, reports submitted by </w:t>
      </w:r>
      <w:r w:rsidR="00774AD1" w:rsidRPr="002238C7">
        <w:t xml:space="preserve">the </w:t>
      </w:r>
      <w:r w:rsidR="003C212B" w:rsidRPr="002238C7">
        <w:t>p</w:t>
      </w:r>
      <w:r w:rsidR="00E13D24" w:rsidRPr="002238C7">
        <w:t xml:space="preserve">arties in line with the reporting requirements set out in article 21, information and recommendations provided pursuant to </w:t>
      </w:r>
      <w:r w:rsidR="00B47BFC" w:rsidRPr="002238C7">
        <w:t>article 15 (</w:t>
      </w:r>
      <w:r w:rsidR="008915BC" w:rsidRPr="002238C7">
        <w:t xml:space="preserve">pertaining to </w:t>
      </w:r>
      <w:r w:rsidR="00E13D24" w:rsidRPr="002238C7">
        <w:t>the implementation and compliance committee</w:t>
      </w:r>
      <w:r w:rsidR="00B47BFC" w:rsidRPr="002238C7">
        <w:t>)</w:t>
      </w:r>
      <w:r w:rsidR="00E13D24" w:rsidRPr="002238C7">
        <w:t xml:space="preserve"> and reports and other relevant information on the operation of the financial assistance, technology transfer and capacity-building arrangements put in place under the Convention.</w:t>
      </w:r>
      <w:r w:rsidR="00E13D24" w:rsidRPr="00236C0F">
        <w:t xml:space="preserve"> </w:t>
      </w:r>
    </w:p>
    <w:p w14:paraId="4CE7B7DF" w14:textId="506515B4" w:rsidR="00312543" w:rsidRDefault="00312543" w:rsidP="002013B3">
      <w:pPr>
        <w:pStyle w:val="Normalnumber"/>
      </w:pPr>
      <w:r w:rsidRPr="00831836">
        <w:t xml:space="preserve">At its sixth session, the intergovernmental negotiating committee </w:t>
      </w:r>
      <w:r w:rsidR="0071470C" w:rsidRPr="00831836">
        <w:t xml:space="preserve">to prepare a global legally binding instrument on mercury </w:t>
      </w:r>
      <w:r w:rsidR="006F16F3" w:rsidRPr="00831836">
        <w:t>considered a document prepared</w:t>
      </w:r>
      <w:r w:rsidR="006F16F3">
        <w:t xml:space="preserve"> by the secretariat on </w:t>
      </w:r>
      <w:r w:rsidR="0071470C">
        <w:t xml:space="preserve">the </w:t>
      </w:r>
      <w:r w:rsidR="006F16F3">
        <w:t xml:space="preserve">information on monitoring data </w:t>
      </w:r>
      <w:r w:rsidR="00B03133">
        <w:t>then currently available</w:t>
      </w:r>
      <w:r w:rsidR="0071470C">
        <w:t>. The committee</w:t>
      </w:r>
      <w:r w:rsidR="006F16F3" w:rsidRPr="00883C67">
        <w:t xml:space="preserve"> decided that the secretariat should seek </w:t>
      </w:r>
      <w:r w:rsidR="00F134E0">
        <w:t xml:space="preserve">further </w:t>
      </w:r>
      <w:r w:rsidR="006F16F3" w:rsidRPr="00883C67">
        <w:t xml:space="preserve">information on the availability of monitoring data from all Governments and relevant organizations and prepare a compilation and analysis of the means of obtaining monitoring data for consideration by the committee at its seventh session. Emphasis </w:t>
      </w:r>
      <w:r w:rsidR="00B03133">
        <w:t xml:space="preserve">was </w:t>
      </w:r>
      <w:r w:rsidR="006F16F3" w:rsidRPr="00883C67">
        <w:t>given to the capacity-building needs of developing countries and countries with economies in transition</w:t>
      </w:r>
      <w:r w:rsidR="002013B3">
        <w:t>,</w:t>
      </w:r>
      <w:r w:rsidR="006F16F3" w:rsidRPr="00883C67">
        <w:t xml:space="preserve"> to the role played by regional activities and to the value of partnerships</w:t>
      </w:r>
      <w:r w:rsidR="006F16F3">
        <w:t>.</w:t>
      </w:r>
    </w:p>
    <w:p w14:paraId="0E7756F7" w14:textId="18FD5AF6" w:rsidR="001B0205" w:rsidRPr="00831836" w:rsidRDefault="006F16F3" w:rsidP="00236C0F">
      <w:pPr>
        <w:pStyle w:val="Normalnumber"/>
      </w:pPr>
      <w:r>
        <w:lastRenderedPageBreak/>
        <w:t xml:space="preserve">At its seventh session, </w:t>
      </w:r>
      <w:r w:rsidR="00445DAD">
        <w:t xml:space="preserve">the </w:t>
      </w:r>
      <w:r w:rsidR="002013B3">
        <w:t xml:space="preserve">intergovernmental negotiating </w:t>
      </w:r>
      <w:r w:rsidR="00445DAD">
        <w:t xml:space="preserve">committee considered the compilation and analysis provided by the secretariat and </w:t>
      </w:r>
      <w:r w:rsidR="000B41CB">
        <w:t>approved</w:t>
      </w:r>
      <w:r w:rsidR="00445DAD">
        <w:t xml:space="preserve"> a plan to assist the </w:t>
      </w:r>
      <w:r w:rsidR="008E55C2">
        <w:t xml:space="preserve">Conference of the Parties, at its </w:t>
      </w:r>
      <w:r w:rsidR="00445DAD">
        <w:t>first meeting</w:t>
      </w:r>
      <w:r w:rsidR="008E55C2">
        <w:t>,</w:t>
      </w:r>
      <w:r w:rsidR="00445DAD">
        <w:t xml:space="preserve"> in initiating the arrangements</w:t>
      </w:r>
      <w:r w:rsidR="003C212B">
        <w:t xml:space="preserve"> </w:t>
      </w:r>
      <w:r w:rsidR="000B41CB" w:rsidRPr="000B41CB">
        <w:t xml:space="preserve">for the </w:t>
      </w:r>
      <w:r w:rsidR="000B41CB" w:rsidRPr="00236C0F">
        <w:t>provision of comparable monitoring data to facilitate the effectiveness evaluation</w:t>
      </w:r>
      <w:r w:rsidR="000B41CB" w:rsidRPr="00831836">
        <w:t xml:space="preserve"> </w:t>
      </w:r>
      <w:r w:rsidR="003C212B" w:rsidRPr="00831836">
        <w:t>(UNEP(DTIE)/Hg/INC.7/22</w:t>
      </w:r>
      <w:r w:rsidR="00933D3E">
        <w:t>/Rev.1</w:t>
      </w:r>
      <w:r w:rsidR="003C212B" w:rsidRPr="00831836">
        <w:t>, annex VIII)</w:t>
      </w:r>
      <w:r w:rsidR="00445DAD" w:rsidRPr="00831836">
        <w:t>. Under th</w:t>
      </w:r>
      <w:r w:rsidR="002304B6" w:rsidRPr="00831836">
        <w:t>at</w:t>
      </w:r>
      <w:r w:rsidR="00445DAD" w:rsidRPr="00831836">
        <w:t xml:space="preserve"> plan, the interim secretariat would: </w:t>
      </w:r>
    </w:p>
    <w:p w14:paraId="02437E43" w14:textId="5B68310B" w:rsidR="001B0205" w:rsidRPr="0004600E" w:rsidRDefault="001B0205" w:rsidP="003024A9">
      <w:pPr>
        <w:pStyle w:val="Normalnumber"/>
        <w:numPr>
          <w:ilvl w:val="2"/>
          <w:numId w:val="133"/>
        </w:numPr>
        <w:ind w:left="1247" w:firstLine="624"/>
      </w:pPr>
      <w:r w:rsidRPr="0004600E">
        <w:t>C</w:t>
      </w:r>
      <w:r w:rsidR="00445DAD" w:rsidRPr="0004600E">
        <w:t>ompile information on existing monitoring program</w:t>
      </w:r>
      <w:r w:rsidRPr="0004600E">
        <w:t>me</w:t>
      </w:r>
      <w:r w:rsidR="00445DAD" w:rsidRPr="0004600E">
        <w:t>s and how they c</w:t>
      </w:r>
      <w:r w:rsidR="008C7AC7" w:rsidRPr="0004600E">
        <w:t>ould</w:t>
      </w:r>
      <w:r w:rsidR="00445DAD" w:rsidRPr="0004600E">
        <w:t xml:space="preserve"> contribute to an overall monitoring approach, including the availability of baseline information; </w:t>
      </w:r>
    </w:p>
    <w:p w14:paraId="61A3FCC3" w14:textId="7B6B921C" w:rsidR="001B0205" w:rsidRPr="0004600E" w:rsidRDefault="001B0205" w:rsidP="0004600E">
      <w:pPr>
        <w:pStyle w:val="Normalnumber"/>
        <w:numPr>
          <w:ilvl w:val="2"/>
          <w:numId w:val="133"/>
        </w:numPr>
        <w:ind w:left="1247" w:firstLine="624"/>
      </w:pPr>
      <w:r w:rsidRPr="0004600E">
        <w:t>D</w:t>
      </w:r>
      <w:r w:rsidR="00445DAD" w:rsidRPr="0004600E">
        <w:t xml:space="preserve">evelop a </w:t>
      </w:r>
      <w:r w:rsidR="008C7AC7" w:rsidRPr="0004600E">
        <w:t xml:space="preserve">draft </w:t>
      </w:r>
      <w:r w:rsidR="00445DAD" w:rsidRPr="0004600E">
        <w:t>road map</w:t>
      </w:r>
      <w:r w:rsidR="008C7AC7" w:rsidRPr="0004600E">
        <w:t>,</w:t>
      </w:r>
      <w:r w:rsidR="00445DAD" w:rsidRPr="0004600E">
        <w:t xml:space="preserve"> including the development of an outline of types of data, </w:t>
      </w:r>
      <w:r w:rsidR="008C7AC7" w:rsidRPr="0004600E">
        <w:t xml:space="preserve">the </w:t>
      </w:r>
      <w:r w:rsidR="00445DAD" w:rsidRPr="0004600E">
        <w:t>creation of a draft framework for a global monitoring approach to integrate comparable results of possible future monitoring</w:t>
      </w:r>
      <w:r w:rsidR="002304B6" w:rsidRPr="0004600E">
        <w:t>,</w:t>
      </w:r>
      <w:r w:rsidR="00445DAD" w:rsidRPr="0004600E">
        <w:t xml:space="preserve"> and develop a draft strategy for incorporating reports and other monitoring information that c</w:t>
      </w:r>
      <w:r w:rsidR="008C7AC7" w:rsidRPr="0004600E">
        <w:t>ould</w:t>
      </w:r>
      <w:r w:rsidR="00445DAD" w:rsidRPr="0004600E">
        <w:t xml:space="preserve"> be considered for evaluation of the Convention’s effectiveness; </w:t>
      </w:r>
    </w:p>
    <w:p w14:paraId="57A4CE47" w14:textId="628813FF" w:rsidR="00445DAD" w:rsidRPr="0004600E" w:rsidRDefault="001B0205" w:rsidP="00B453EF">
      <w:pPr>
        <w:pStyle w:val="Normalnumber"/>
        <w:numPr>
          <w:ilvl w:val="2"/>
          <w:numId w:val="133"/>
        </w:numPr>
        <w:ind w:left="1247" w:firstLine="624"/>
      </w:pPr>
      <w:r w:rsidRPr="0004600E">
        <w:t>D</w:t>
      </w:r>
      <w:r w:rsidR="00445DAD" w:rsidRPr="0004600E">
        <w:t xml:space="preserve">raft a report with recommendations on the establishment of arrangements for providing comparable monitoring data on the presence and movement of mercury and mercury compounds in the environment as well as trends in levels of mercury and mercury compounds observed in biotic media and vulnerable populations, as provided for in paragraph 2 of article 22, including references for assessing baselines. </w:t>
      </w:r>
    </w:p>
    <w:p w14:paraId="1FEAA62E" w14:textId="13BEF958" w:rsidR="00445DAD" w:rsidRPr="008908B6" w:rsidRDefault="00643B83" w:rsidP="00AE6AEA">
      <w:pPr>
        <w:pStyle w:val="Normalnumber"/>
      </w:pPr>
      <w:r w:rsidRPr="00831836">
        <w:t xml:space="preserve">The secretariat called for </w:t>
      </w:r>
      <w:r w:rsidR="00025D3F" w:rsidRPr="00831836">
        <w:t xml:space="preserve">the </w:t>
      </w:r>
      <w:r w:rsidRPr="00831836">
        <w:t>submission of further information</w:t>
      </w:r>
      <w:r w:rsidRPr="008908B6">
        <w:t xml:space="preserve"> on monitoring data</w:t>
      </w:r>
      <w:r w:rsidR="000C2DB9" w:rsidRPr="008908B6">
        <w:t>.</w:t>
      </w:r>
      <w:r w:rsidRPr="008908B6">
        <w:t xml:space="preserve"> Submissions were made by eight </w:t>
      </w:r>
      <w:r w:rsidR="007260E6">
        <w:t>G</w:t>
      </w:r>
      <w:r w:rsidRPr="008908B6">
        <w:t>overnments</w:t>
      </w:r>
      <w:r w:rsidR="007260E6">
        <w:t>,</w:t>
      </w:r>
      <w:r w:rsidRPr="008908B6">
        <w:t xml:space="preserve"> one regional economic integration organization, the United Nations Environment Programme </w:t>
      </w:r>
      <w:r w:rsidR="00B05052">
        <w:t xml:space="preserve">(UNEP) </w:t>
      </w:r>
      <w:r w:rsidRPr="008908B6">
        <w:t xml:space="preserve">and four non-governmental organizations. </w:t>
      </w:r>
      <w:r w:rsidR="000C2DB9" w:rsidRPr="008908B6">
        <w:t xml:space="preserve">The submissions </w:t>
      </w:r>
      <w:r w:rsidR="007260E6">
        <w:t>we</w:t>
      </w:r>
      <w:r w:rsidR="000C2DB9" w:rsidRPr="008908B6">
        <w:t xml:space="preserve">re compiled and </w:t>
      </w:r>
      <w:r w:rsidR="007260E6">
        <w:t xml:space="preserve">are </w:t>
      </w:r>
      <w:r w:rsidR="000C2DB9" w:rsidRPr="008908B6">
        <w:t xml:space="preserve">available </w:t>
      </w:r>
      <w:r w:rsidR="009B56A1">
        <w:t>online (see</w:t>
      </w:r>
      <w:r w:rsidR="00774AD1">
        <w:t xml:space="preserve"> </w:t>
      </w:r>
      <w:r w:rsidR="009B56A1" w:rsidRPr="009B56A1">
        <w:t>www.mercuryconvention.org/Negotiations/submissionsforCOP1/tabid/5535</w:t>
      </w:r>
      <w:r w:rsidR="009B56A1">
        <w:t>).</w:t>
      </w:r>
      <w:r w:rsidR="009B56A1" w:rsidRPr="009B56A1" w:rsidDel="007260E6">
        <w:t xml:space="preserve"> </w:t>
      </w:r>
      <w:r w:rsidR="000C2DB9" w:rsidRPr="008908B6">
        <w:t xml:space="preserve"> </w:t>
      </w:r>
    </w:p>
    <w:p w14:paraId="7F2AD581" w14:textId="08035913" w:rsidR="00643B83" w:rsidRPr="00DD4116" w:rsidRDefault="00643B83">
      <w:pPr>
        <w:pStyle w:val="Normalnumber"/>
      </w:pPr>
      <w:r w:rsidRPr="008908B6">
        <w:t xml:space="preserve">The secretariat </w:t>
      </w:r>
      <w:r w:rsidRPr="00AF2DF2">
        <w:t>prepared a draft</w:t>
      </w:r>
      <w:r w:rsidRPr="008908B6">
        <w:t xml:space="preserve"> road map as requested by the </w:t>
      </w:r>
      <w:r w:rsidR="00025D3F">
        <w:t xml:space="preserve">committee at its </w:t>
      </w:r>
      <w:r w:rsidRPr="008908B6">
        <w:t>seventh session</w:t>
      </w:r>
      <w:r w:rsidR="009B56A1">
        <w:t xml:space="preserve">, </w:t>
      </w:r>
      <w:r w:rsidR="00025D3F">
        <w:t>(see</w:t>
      </w:r>
      <w:r w:rsidR="009B56A1">
        <w:t xml:space="preserve"> annex I</w:t>
      </w:r>
      <w:r w:rsidR="00025D3F">
        <w:t>)</w:t>
      </w:r>
      <w:r w:rsidRPr="008908B6">
        <w:t>. The secretariat also prepared a report on the establishment of arrangements for the Conference of the Parties to provide itself with comparable monitoring data</w:t>
      </w:r>
      <w:r w:rsidR="00D27BD7">
        <w:t>,</w:t>
      </w:r>
      <w:r w:rsidRPr="008908B6">
        <w:t xml:space="preserve"> </w:t>
      </w:r>
      <w:r w:rsidR="00025D3F">
        <w:t>together</w:t>
      </w:r>
      <w:r w:rsidRPr="008908B6">
        <w:t xml:space="preserve"> with references for assessing baselines</w:t>
      </w:r>
      <w:r w:rsidR="00025D3F">
        <w:t xml:space="preserve"> (see</w:t>
      </w:r>
      <w:r w:rsidRPr="008908B6">
        <w:t xml:space="preserve"> </w:t>
      </w:r>
      <w:r w:rsidR="00D27BD7">
        <w:t>a</w:t>
      </w:r>
      <w:r w:rsidRPr="008908B6">
        <w:t xml:space="preserve">nnex </w:t>
      </w:r>
      <w:r w:rsidRPr="00DD4116">
        <w:t>II</w:t>
      </w:r>
      <w:r w:rsidR="00025D3F" w:rsidRPr="00DD4116">
        <w:t>)</w:t>
      </w:r>
      <w:r w:rsidRPr="00DD4116">
        <w:t xml:space="preserve">. Both documents were made available </w:t>
      </w:r>
      <w:r w:rsidR="00D27BD7" w:rsidRPr="00DD4116">
        <w:t>on</w:t>
      </w:r>
      <w:r w:rsidRPr="00DD4116">
        <w:t xml:space="preserve"> the website from mid-January, and </w:t>
      </w:r>
      <w:r w:rsidR="00D27BD7" w:rsidRPr="00DD4116">
        <w:t>G</w:t>
      </w:r>
      <w:r w:rsidRPr="00DD4116">
        <w:t>overnments and other</w:t>
      </w:r>
      <w:r w:rsidR="00441922" w:rsidRPr="00DF3637">
        <w:t xml:space="preserve"> entitie</w:t>
      </w:r>
      <w:r w:rsidRPr="00DF3637">
        <w:t>s</w:t>
      </w:r>
      <w:r w:rsidR="002304B6" w:rsidRPr="00DD4116">
        <w:t xml:space="preserve"> </w:t>
      </w:r>
      <w:r w:rsidRPr="00DD4116">
        <w:t xml:space="preserve">were invited to provide comments on the initial drafts.  </w:t>
      </w:r>
    </w:p>
    <w:p w14:paraId="465ED684" w14:textId="02B0E45E" w:rsidR="003B2CA0" w:rsidRPr="003B2CA0" w:rsidRDefault="001F09EB">
      <w:pPr>
        <w:pStyle w:val="Normalnumber"/>
      </w:pPr>
      <w:r w:rsidRPr="00DD4116">
        <w:t>T</w:t>
      </w:r>
      <w:r w:rsidR="003B2CA0" w:rsidRPr="00DD4116">
        <w:t>he effectiveness evaluation to be undertaken by the Conference of the Parties will be conducted on the basis of all the elements covered</w:t>
      </w:r>
      <w:r w:rsidR="003B2CA0" w:rsidRPr="003B2CA0">
        <w:t xml:space="preserve"> in paragraph 3 of article 22</w:t>
      </w:r>
      <w:r>
        <w:t>.</w:t>
      </w:r>
      <w:r w:rsidR="003B11D2">
        <w:t xml:space="preserve"> </w:t>
      </w:r>
      <w:r>
        <w:t xml:space="preserve">However, it should be noted that, </w:t>
      </w:r>
      <w:r w:rsidR="003B11D2">
        <w:t xml:space="preserve">in </w:t>
      </w:r>
      <w:r w:rsidR="005D57CC">
        <w:t>accordance</w:t>
      </w:r>
      <w:r w:rsidR="003B11D2">
        <w:t xml:space="preserve"> </w:t>
      </w:r>
      <w:r w:rsidR="003B11D2" w:rsidRPr="00147DA1">
        <w:t xml:space="preserve">with the </w:t>
      </w:r>
      <w:r w:rsidR="003B11D2" w:rsidRPr="002238C7">
        <w:t>decision</w:t>
      </w:r>
      <w:r w:rsidR="00AD1932" w:rsidRPr="00147DA1">
        <w:t xml:space="preserve"> of the committee at its seventh session,</w:t>
      </w:r>
      <w:r w:rsidR="003B11D2" w:rsidRPr="00147DA1">
        <w:t xml:space="preserve"> t</w:t>
      </w:r>
      <w:r w:rsidR="003B2CA0" w:rsidRPr="00147DA1">
        <w:t xml:space="preserve">he draft road map focuses </w:t>
      </w:r>
      <w:r w:rsidR="007C0998" w:rsidRPr="00147DA1">
        <w:t>primarily</w:t>
      </w:r>
      <w:r w:rsidR="003B2CA0" w:rsidRPr="00147DA1">
        <w:t xml:space="preserve"> on establishing the arrangements</w:t>
      </w:r>
      <w:r w:rsidR="003B2CA0" w:rsidRPr="008908B6">
        <w:t xml:space="preserve"> for </w:t>
      </w:r>
      <w:r w:rsidR="003B2CA0" w:rsidRPr="003B2CA0">
        <w:t xml:space="preserve">providing comparable monitoring data. </w:t>
      </w:r>
      <w:r w:rsidR="003B2CA0" w:rsidRPr="008908B6">
        <w:t xml:space="preserve">It </w:t>
      </w:r>
      <w:r w:rsidR="005D57CC" w:rsidRPr="008908B6">
        <w:t>covers</w:t>
      </w:r>
      <w:r w:rsidR="003B2CA0" w:rsidRPr="008908B6">
        <w:t xml:space="preserve"> the period between the first and second meetings of the Conference of the Parties </w:t>
      </w:r>
      <w:r w:rsidR="009A7C30" w:rsidRPr="008908B6">
        <w:t xml:space="preserve">and, </w:t>
      </w:r>
      <w:r w:rsidR="0079178D">
        <w:t>w</w:t>
      </w:r>
      <w:r w:rsidR="009A7C30" w:rsidRPr="008908B6">
        <w:t>hile it</w:t>
      </w:r>
      <w:r w:rsidR="003B2CA0" w:rsidRPr="008908B6">
        <w:t xml:space="preserve"> does </w:t>
      </w:r>
      <w:r w:rsidR="0032017D" w:rsidRPr="008908B6">
        <w:t>propose early consideration of</w:t>
      </w:r>
      <w:r w:rsidR="009A7C30" w:rsidRPr="008908B6">
        <w:t xml:space="preserve"> the process of assembling</w:t>
      </w:r>
      <w:r w:rsidR="003B2CA0" w:rsidRPr="008908B6">
        <w:t xml:space="preserve"> the other information</w:t>
      </w:r>
      <w:r w:rsidR="0032017D" w:rsidRPr="008908B6">
        <w:t xml:space="preserve"> in order to ensure the processes are complementary</w:t>
      </w:r>
      <w:r w:rsidR="003B2CA0" w:rsidRPr="008908B6">
        <w:t>,</w:t>
      </w:r>
      <w:r w:rsidR="009A7C30" w:rsidRPr="008908B6">
        <w:t xml:space="preserve"> it does not </w:t>
      </w:r>
      <w:r w:rsidR="009A7C30" w:rsidRPr="00236C0F">
        <w:t xml:space="preserve">address the subsequent methodology for undertaking </w:t>
      </w:r>
      <w:r w:rsidR="003B2CA0" w:rsidRPr="00441922">
        <w:t xml:space="preserve">the actual </w:t>
      </w:r>
      <w:r w:rsidR="003265CD" w:rsidRPr="00441922">
        <w:t xml:space="preserve">effectiveness </w:t>
      </w:r>
      <w:r w:rsidR="003B2CA0" w:rsidRPr="00441922">
        <w:t>eva</w:t>
      </w:r>
      <w:r w:rsidR="009A7C30" w:rsidRPr="00441922">
        <w:t xml:space="preserve">luation. </w:t>
      </w:r>
      <w:r w:rsidR="009A7C30" w:rsidRPr="002238C7">
        <w:t>Th</w:t>
      </w:r>
      <w:r w:rsidR="00996C07" w:rsidRPr="002238C7">
        <w:t>at</w:t>
      </w:r>
      <w:r w:rsidR="003B2CA0" w:rsidRPr="002238C7">
        <w:t xml:space="preserve"> </w:t>
      </w:r>
      <w:r w:rsidR="009A7C30" w:rsidRPr="002238C7">
        <w:t>is a</w:t>
      </w:r>
      <w:r w:rsidR="003B2CA0" w:rsidRPr="002238C7">
        <w:t xml:space="preserve"> matter for further consideration </w:t>
      </w:r>
      <w:r w:rsidR="00996C07" w:rsidRPr="002238C7">
        <w:t>by</w:t>
      </w:r>
      <w:r w:rsidR="003B2CA0" w:rsidRPr="002238C7">
        <w:t xml:space="preserve"> the Conference</w:t>
      </w:r>
      <w:r w:rsidR="005530F1">
        <w:t xml:space="preserve"> of the Parties</w:t>
      </w:r>
      <w:r w:rsidR="003B2CA0" w:rsidRPr="002238C7">
        <w:t xml:space="preserve">, </w:t>
      </w:r>
      <w:r w:rsidR="00EC3F36" w:rsidRPr="002238C7">
        <w:t>as is</w:t>
      </w:r>
      <w:r w:rsidR="003B2CA0" w:rsidRPr="002238C7">
        <w:t xml:space="preserve"> </w:t>
      </w:r>
      <w:r w:rsidR="005D57CC" w:rsidRPr="002238C7">
        <w:t xml:space="preserve">the </w:t>
      </w:r>
      <w:r w:rsidR="00EC3F36" w:rsidRPr="002238C7">
        <w:t>establishment, if necessary, of</w:t>
      </w:r>
      <w:r w:rsidR="005D57CC" w:rsidRPr="002238C7">
        <w:t xml:space="preserve"> expert</w:t>
      </w:r>
      <w:r w:rsidR="009A7C30" w:rsidRPr="002238C7">
        <w:t xml:space="preserve"> group</w:t>
      </w:r>
      <w:r w:rsidR="005D57CC" w:rsidRPr="002238C7">
        <w:t>s</w:t>
      </w:r>
      <w:r w:rsidR="003B2CA0" w:rsidRPr="002238C7">
        <w:t xml:space="preserve"> </w:t>
      </w:r>
      <w:r w:rsidR="005D57CC" w:rsidRPr="002238C7">
        <w:t>and</w:t>
      </w:r>
      <w:r w:rsidR="003B2CA0" w:rsidRPr="002238C7">
        <w:t xml:space="preserve"> the </w:t>
      </w:r>
      <w:r w:rsidR="00EC3F36" w:rsidRPr="002238C7">
        <w:t xml:space="preserve">development of </w:t>
      </w:r>
      <w:r w:rsidR="003B2CA0" w:rsidRPr="002238C7">
        <w:t xml:space="preserve">work plans for any such </w:t>
      </w:r>
      <w:r w:rsidR="009A7C30" w:rsidRPr="002238C7">
        <w:t>groups</w:t>
      </w:r>
      <w:r w:rsidR="003B2CA0" w:rsidRPr="002238C7">
        <w:t>.</w:t>
      </w:r>
      <w:r w:rsidR="00EC3F36" w:rsidRPr="00236C0F">
        <w:t xml:space="preserve"> </w:t>
      </w:r>
      <w:r w:rsidR="003B2CA0" w:rsidRPr="00441922">
        <w:t>Elements of the process used for the effectiveness evaluation undertaken under the Stockholm Convention on Persistent Organic Pollutant</w:t>
      </w:r>
      <w:r w:rsidR="003265CD" w:rsidRPr="002238C7">
        <w:t>s</w:t>
      </w:r>
      <w:r w:rsidR="003B2CA0" w:rsidRPr="00236C0F">
        <w:t xml:space="preserve"> may be useful in establishing the mechanism for effectiveness</w:t>
      </w:r>
      <w:r w:rsidR="003B2CA0" w:rsidRPr="00AD1932">
        <w:t xml:space="preserve"> evaluation.</w:t>
      </w:r>
      <w:r w:rsidR="003B2CA0" w:rsidRPr="008908B6">
        <w:t xml:space="preserve"> </w:t>
      </w:r>
    </w:p>
    <w:p w14:paraId="39B0BF54" w14:textId="18128FE6" w:rsidR="00312543" w:rsidRPr="00FE2419" w:rsidRDefault="008908B6" w:rsidP="008908B6">
      <w:pPr>
        <w:pStyle w:val="CH3"/>
        <w:rPr>
          <w:sz w:val="24"/>
          <w:szCs w:val="24"/>
        </w:rPr>
      </w:pPr>
      <w:r>
        <w:tab/>
      </w:r>
      <w:r>
        <w:tab/>
      </w:r>
      <w:r w:rsidR="00312543" w:rsidRPr="00FE2419">
        <w:rPr>
          <w:sz w:val="24"/>
          <w:szCs w:val="24"/>
        </w:rPr>
        <w:t>Suggested action by the Conference of the Parties</w:t>
      </w:r>
    </w:p>
    <w:p w14:paraId="39EB6D61" w14:textId="79292963" w:rsidR="001F03FA" w:rsidRDefault="00312543" w:rsidP="003265CD">
      <w:pPr>
        <w:pStyle w:val="Normalnumber"/>
      </w:pPr>
      <w:r w:rsidRPr="00D40607">
        <w:t xml:space="preserve">The </w:t>
      </w:r>
      <w:r>
        <w:t>Conference</w:t>
      </w:r>
      <w:r w:rsidRPr="00D40607">
        <w:t xml:space="preserve"> </w:t>
      </w:r>
      <w:r w:rsidR="003265CD">
        <w:t xml:space="preserve">of the Parties </w:t>
      </w:r>
      <w:r w:rsidRPr="00D40607">
        <w:t xml:space="preserve">may wish to </w:t>
      </w:r>
      <w:r w:rsidR="00DC620E">
        <w:t>consider the draft road map and agree to its use in the process of developing comparable monitoring data to contribute to the effectiveness evaluation of the Minamata Convention on Mercury. In developing th</w:t>
      </w:r>
      <w:r w:rsidR="003265CD">
        <w:t>at</w:t>
      </w:r>
      <w:r w:rsidR="00DC620E">
        <w:t xml:space="preserve"> process, the Conference</w:t>
      </w:r>
      <w:r w:rsidR="005530F1">
        <w:t xml:space="preserve"> of the Parties</w:t>
      </w:r>
      <w:r w:rsidR="00DC620E">
        <w:t xml:space="preserve"> may wish to draw upon the report provided in </w:t>
      </w:r>
      <w:r w:rsidR="003265CD">
        <w:t>a</w:t>
      </w:r>
      <w:r w:rsidR="00DC620E">
        <w:t>nnex II of th</w:t>
      </w:r>
      <w:r w:rsidR="003265CD">
        <w:t xml:space="preserve">e present </w:t>
      </w:r>
      <w:r w:rsidR="00DC620E">
        <w:t xml:space="preserve">note. </w:t>
      </w:r>
    </w:p>
    <w:p w14:paraId="4CA8C664" w14:textId="3B25B52C" w:rsidR="00312543" w:rsidRDefault="00420202" w:rsidP="003265CD">
      <w:pPr>
        <w:pStyle w:val="Normalnumber"/>
      </w:pPr>
      <w:r>
        <w:t xml:space="preserve">The Conference </w:t>
      </w:r>
      <w:r w:rsidR="003265CD">
        <w:t xml:space="preserve">of the Parties </w:t>
      </w:r>
      <w:r>
        <w:t xml:space="preserve">may </w:t>
      </w:r>
      <w:r w:rsidR="000C7E57">
        <w:t xml:space="preserve">also </w:t>
      </w:r>
      <w:r>
        <w:t xml:space="preserve">wish to consider the </w:t>
      </w:r>
      <w:r w:rsidR="000C7E57" w:rsidRPr="008908B6">
        <w:t xml:space="preserve">process for assembling the other information set out in paragraph 3 of article 22 and for the actual </w:t>
      </w:r>
      <w:r>
        <w:t xml:space="preserve">effectiveness evaluation to ensure that the processes are complementary. </w:t>
      </w:r>
    </w:p>
    <w:p w14:paraId="0C72DAF7" w14:textId="77777777" w:rsidR="008908B6" w:rsidRDefault="00312543" w:rsidP="008908B6">
      <w:pPr>
        <w:pStyle w:val="ZZAnxheader"/>
      </w:pPr>
      <w:r>
        <w:br w:type="page"/>
      </w:r>
      <w:r w:rsidR="00D7265E" w:rsidRPr="00D7265E">
        <w:lastRenderedPageBreak/>
        <w:t xml:space="preserve">Annex I </w:t>
      </w:r>
    </w:p>
    <w:p w14:paraId="01CFD21C" w14:textId="2D46E4A3" w:rsidR="00312543" w:rsidRPr="00D7265E" w:rsidRDefault="00D7265E" w:rsidP="008908B6">
      <w:pPr>
        <w:pStyle w:val="ZZAnxtitle"/>
      </w:pPr>
      <w:r w:rsidRPr="00D7265E">
        <w:t>Draft road map in relation to paragraph 2 of article 22</w:t>
      </w:r>
    </w:p>
    <w:p w14:paraId="1CBC1F3E" w14:textId="30A43CB7" w:rsidR="00D7265E" w:rsidRPr="008908B6" w:rsidRDefault="00D7265E" w:rsidP="00B453EF">
      <w:pPr>
        <w:pStyle w:val="Normalnumber"/>
        <w:numPr>
          <w:ilvl w:val="0"/>
          <w:numId w:val="112"/>
        </w:numPr>
        <w:tabs>
          <w:tab w:val="clear" w:pos="1134"/>
        </w:tabs>
      </w:pPr>
      <w:r w:rsidRPr="008908B6">
        <w:t xml:space="preserve">The </w:t>
      </w:r>
      <w:r w:rsidRPr="00567B42">
        <w:t>interim secretariat</w:t>
      </w:r>
      <w:r w:rsidRPr="008908B6">
        <w:t xml:space="preserve"> of the Minamata Convention</w:t>
      </w:r>
      <w:r w:rsidR="00470B41">
        <w:t xml:space="preserve"> on Mercury,</w:t>
      </w:r>
      <w:r w:rsidRPr="008908B6">
        <w:t xml:space="preserve"> in consultation with national Governments, regional </w:t>
      </w:r>
      <w:r w:rsidRPr="00236C0F">
        <w:t>and subregional monitoring programmes and partnerships, the World Health Organization, regional representatives, regional and national institutions, academia, industry, civil society and others, has deve</w:t>
      </w:r>
      <w:r w:rsidRPr="00441922">
        <w:t>loped a draft road map as requested by the seventh session of the intergovernmental negotiating committee to prepare a global legally binding instrument on mercury. The draft road map includes:</w:t>
      </w:r>
    </w:p>
    <w:p w14:paraId="7807414C" w14:textId="2701D51C" w:rsidR="00D7265E" w:rsidRPr="00D7265E" w:rsidRDefault="00FC4B57" w:rsidP="00B453EF">
      <w:pPr>
        <w:pStyle w:val="Normalnumber"/>
        <w:numPr>
          <w:ilvl w:val="0"/>
          <w:numId w:val="114"/>
        </w:numPr>
        <w:tabs>
          <w:tab w:val="clear" w:pos="1134"/>
        </w:tabs>
        <w:ind w:left="2495" w:hanging="624"/>
      </w:pPr>
      <w:r>
        <w:t>T</w:t>
      </w:r>
      <w:r w:rsidR="00D7265E" w:rsidRPr="00D7265E">
        <w:t>he process to identify the types of data that could be comparable on a regional basis, as well as their availability</w:t>
      </w:r>
    </w:p>
    <w:p w14:paraId="49610528" w14:textId="5DA3BEAA" w:rsidR="00D7265E" w:rsidRPr="00D7265E" w:rsidRDefault="00FC4B57" w:rsidP="00B453EF">
      <w:pPr>
        <w:pStyle w:val="Normalnumber"/>
        <w:numPr>
          <w:ilvl w:val="0"/>
          <w:numId w:val="114"/>
        </w:numPr>
        <w:tabs>
          <w:tab w:val="clear" w:pos="1134"/>
        </w:tabs>
        <w:ind w:left="2495" w:hanging="624"/>
      </w:pPr>
      <w:r>
        <w:t>T</w:t>
      </w:r>
      <w:r w:rsidR="00D7265E" w:rsidRPr="00D7265E">
        <w:t>he creation of a framework for a global monitoring approach that integrates comparable results of future monitoring that countries and stakeholders may choose to undertake</w:t>
      </w:r>
    </w:p>
    <w:p w14:paraId="2A0FB5CF" w14:textId="5779833D" w:rsidR="00D7265E" w:rsidRPr="00D7265E" w:rsidRDefault="00FC4B57" w:rsidP="00B453EF">
      <w:pPr>
        <w:pStyle w:val="Normalnumber"/>
        <w:numPr>
          <w:ilvl w:val="0"/>
          <w:numId w:val="114"/>
        </w:numPr>
        <w:tabs>
          <w:tab w:val="clear" w:pos="1134"/>
        </w:tabs>
        <w:ind w:left="2495" w:hanging="624"/>
      </w:pPr>
      <w:r>
        <w:t>T</w:t>
      </w:r>
      <w:r w:rsidR="00D7265E" w:rsidRPr="00D7265E">
        <w:t>he development of a draft strategy for incorporating reports and other monitoring information that can be used in evaluating the Convention’s effectiveness</w:t>
      </w:r>
    </w:p>
    <w:p w14:paraId="37BE9DB7" w14:textId="4E00E0C1" w:rsidR="00D7265E" w:rsidRPr="00D7265E" w:rsidRDefault="00712D27" w:rsidP="00B453EF">
      <w:pPr>
        <w:pStyle w:val="Normalnumber"/>
        <w:numPr>
          <w:ilvl w:val="0"/>
          <w:numId w:val="112"/>
        </w:numPr>
        <w:tabs>
          <w:tab w:val="clear" w:pos="1134"/>
        </w:tabs>
      </w:pPr>
      <w:r>
        <w:t>The d</w:t>
      </w:r>
      <w:r w:rsidR="00516F04" w:rsidRPr="00D7265E">
        <w:t>raft</w:t>
      </w:r>
      <w:r w:rsidR="00D7265E" w:rsidRPr="00D7265E">
        <w:t xml:space="preserve"> road map sets out activities </w:t>
      </w:r>
      <w:r w:rsidR="005572B8">
        <w:t>that</w:t>
      </w:r>
      <w:r w:rsidR="00D7265E" w:rsidRPr="00D7265E">
        <w:t xml:space="preserve"> may be carried out after the first meeting of the Conference of the Parties, subject to </w:t>
      </w:r>
      <w:r w:rsidR="00D7265E" w:rsidRPr="004C2BE5">
        <w:t xml:space="preserve">agreement to </w:t>
      </w:r>
      <w:r w:rsidR="004C2BE5">
        <w:t>such</w:t>
      </w:r>
      <w:r w:rsidR="004C2BE5" w:rsidRPr="004C2BE5">
        <w:t xml:space="preserve"> </w:t>
      </w:r>
      <w:r w:rsidR="00D7265E" w:rsidRPr="004C2BE5">
        <w:t xml:space="preserve">activities </w:t>
      </w:r>
      <w:r w:rsidR="007366A6" w:rsidRPr="004C2BE5">
        <w:t>and</w:t>
      </w:r>
      <w:r w:rsidR="00D7265E" w:rsidRPr="00D7265E">
        <w:t xml:space="preserve"> </w:t>
      </w:r>
      <w:r w:rsidR="007366A6">
        <w:t xml:space="preserve">the </w:t>
      </w:r>
      <w:r w:rsidR="00D7265E" w:rsidRPr="00D7265E">
        <w:t>availability of financial and other resources.</w:t>
      </w:r>
    </w:p>
    <w:p w14:paraId="26B55551" w14:textId="2065465A" w:rsidR="00D7265E" w:rsidRPr="00D7265E" w:rsidRDefault="00D7265E" w:rsidP="00B453EF">
      <w:pPr>
        <w:pStyle w:val="Normalnumber"/>
        <w:numPr>
          <w:ilvl w:val="0"/>
          <w:numId w:val="112"/>
        </w:numPr>
        <w:tabs>
          <w:tab w:val="clear" w:pos="1134"/>
        </w:tabs>
      </w:pPr>
      <w:r w:rsidRPr="00D7265E">
        <w:t xml:space="preserve">Taking into account the scope of the work and recognizing the need for expert input in some areas, the following road map is proposed. </w:t>
      </w:r>
    </w:p>
    <w:tbl>
      <w:tblPr>
        <w:tblW w:w="4297"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09"/>
        <w:gridCol w:w="2489"/>
      </w:tblGrid>
      <w:tr w:rsidR="00D7265E" w:rsidRPr="00D7265E" w14:paraId="7E1EE86B" w14:textId="77777777" w:rsidTr="008908B6">
        <w:trPr>
          <w:trHeight w:val="212"/>
          <w:tblHeader/>
          <w:jc w:val="right"/>
        </w:trPr>
        <w:tc>
          <w:tcPr>
            <w:tcW w:w="5809" w:type="dxa"/>
            <w:tcBorders>
              <w:top w:val="single" w:sz="4" w:space="0" w:color="000000"/>
              <w:left w:val="nil"/>
              <w:bottom w:val="single" w:sz="12" w:space="0" w:color="000000"/>
              <w:right w:val="nil"/>
            </w:tcBorders>
            <w:tcMar>
              <w:top w:w="80" w:type="dxa"/>
              <w:left w:w="80" w:type="dxa"/>
              <w:bottom w:w="80" w:type="dxa"/>
              <w:right w:w="80" w:type="dxa"/>
            </w:tcMar>
          </w:tcPr>
          <w:p w14:paraId="1596C41E" w14:textId="77777777" w:rsidR="00D7265E" w:rsidRPr="00B453E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i/>
                <w:sz w:val="18"/>
              </w:rPr>
              <w:t>Activity</w:t>
            </w:r>
          </w:p>
        </w:tc>
        <w:tc>
          <w:tcPr>
            <w:tcW w:w="2489" w:type="dxa"/>
            <w:tcBorders>
              <w:top w:val="single" w:sz="4" w:space="0" w:color="000000"/>
              <w:left w:val="nil"/>
              <w:bottom w:val="single" w:sz="12" w:space="0" w:color="000000"/>
              <w:right w:val="nil"/>
            </w:tcBorders>
            <w:tcMar>
              <w:top w:w="80" w:type="dxa"/>
              <w:left w:w="80" w:type="dxa"/>
              <w:bottom w:w="80" w:type="dxa"/>
              <w:right w:w="80" w:type="dxa"/>
            </w:tcMar>
          </w:tcPr>
          <w:p w14:paraId="53EE7582" w14:textId="6848A164" w:rsidR="00D7265E" w:rsidRPr="00B453E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2238C7">
              <w:rPr>
                <w:rStyle w:val="Hyperlink0"/>
                <w:i/>
                <w:iCs/>
                <w:sz w:val="18"/>
                <w:szCs w:val="18"/>
              </w:rPr>
              <w:t>Time</w:t>
            </w:r>
            <w:r w:rsidR="007366A6" w:rsidRPr="002238C7">
              <w:rPr>
                <w:rStyle w:val="Hyperlink0"/>
                <w:i/>
                <w:iCs/>
                <w:sz w:val="18"/>
                <w:szCs w:val="18"/>
              </w:rPr>
              <w:t xml:space="preserve"> </w:t>
            </w:r>
            <w:r w:rsidRPr="002238C7">
              <w:rPr>
                <w:rStyle w:val="Hyperlink0"/>
                <w:i/>
                <w:iCs/>
                <w:sz w:val="18"/>
                <w:szCs w:val="18"/>
              </w:rPr>
              <w:t>frame</w:t>
            </w:r>
          </w:p>
        </w:tc>
      </w:tr>
      <w:tr w:rsidR="00D7265E" w:rsidRPr="00D7265E" w14:paraId="4813537C" w14:textId="77777777" w:rsidTr="00CE0733">
        <w:trPr>
          <w:trHeight w:val="1007"/>
          <w:jc w:val="right"/>
        </w:trPr>
        <w:tc>
          <w:tcPr>
            <w:tcW w:w="5809" w:type="dxa"/>
            <w:tcBorders>
              <w:top w:val="single" w:sz="12" w:space="0" w:color="000000"/>
              <w:left w:val="nil"/>
              <w:bottom w:val="nil"/>
              <w:right w:val="nil"/>
            </w:tcBorders>
            <w:tcMar>
              <w:top w:w="80" w:type="dxa"/>
              <w:left w:w="80" w:type="dxa"/>
              <w:bottom w:w="80" w:type="dxa"/>
              <w:right w:w="80" w:type="dxa"/>
            </w:tcMar>
          </w:tcPr>
          <w:p w14:paraId="02C75C2B" w14:textId="3CAC7542" w:rsidR="00D7265E" w:rsidRPr="00B453EF" w:rsidRDefault="00712D27">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Pr>
                <w:rStyle w:val="Hyperlink0"/>
                <w:sz w:val="18"/>
              </w:rPr>
              <w:t>T</w:t>
            </w:r>
            <w:r w:rsidR="00D7265E" w:rsidRPr="00B453EF">
              <w:rPr>
                <w:rStyle w:val="Hyperlink0"/>
                <w:sz w:val="18"/>
              </w:rPr>
              <w:t>he Conference of the Parties</w:t>
            </w:r>
            <w:r>
              <w:rPr>
                <w:rStyle w:val="Hyperlink0"/>
                <w:sz w:val="18"/>
              </w:rPr>
              <w:t>, at its</w:t>
            </w:r>
            <w:r w:rsidRPr="00B453EF">
              <w:rPr>
                <w:rStyle w:val="Hyperlink0"/>
                <w:sz w:val="18"/>
              </w:rPr>
              <w:t xml:space="preserve"> first meeting</w:t>
            </w:r>
            <w:r>
              <w:rPr>
                <w:rStyle w:val="Hyperlink0"/>
                <w:sz w:val="18"/>
              </w:rPr>
              <w:t>,</w:t>
            </w:r>
            <w:r w:rsidRPr="00B453EF">
              <w:rPr>
                <w:rStyle w:val="Hyperlink0"/>
                <w:sz w:val="18"/>
              </w:rPr>
              <w:t xml:space="preserve"> </w:t>
            </w:r>
            <w:r w:rsidR="00D7265E" w:rsidRPr="00FE2419">
              <w:rPr>
                <w:rStyle w:val="Hyperlink0"/>
                <w:sz w:val="18"/>
              </w:rPr>
              <w:t>establishes a process to initiate the establishment of arrangements which will enable the provision of comparable</w:t>
            </w:r>
            <w:r w:rsidR="00D7265E" w:rsidRPr="00B453EF">
              <w:rPr>
                <w:rStyle w:val="Hyperlink0"/>
                <w:sz w:val="18"/>
              </w:rPr>
              <w:t xml:space="preserve"> mercury monitoring data to the Conference for a timely evaluation of the effectiveness of the Convention, beginning no later than six years after the date of entry into force of the Convention. The elements of this process are set out in the </w:t>
            </w:r>
            <w:r w:rsidR="00D7265E" w:rsidRPr="002238C7">
              <w:rPr>
                <w:rStyle w:val="Hyperlink0"/>
                <w:sz w:val="18"/>
                <w:szCs w:val="18"/>
              </w:rPr>
              <w:t>road</w:t>
            </w:r>
            <w:r w:rsidR="007366A6" w:rsidRPr="002238C7">
              <w:rPr>
                <w:rStyle w:val="Hyperlink0"/>
                <w:sz w:val="18"/>
                <w:szCs w:val="18"/>
              </w:rPr>
              <w:t xml:space="preserve"> </w:t>
            </w:r>
            <w:r w:rsidR="00D7265E" w:rsidRPr="002238C7">
              <w:rPr>
                <w:rStyle w:val="Hyperlink0"/>
                <w:sz w:val="18"/>
                <w:szCs w:val="18"/>
              </w:rPr>
              <w:t>map</w:t>
            </w:r>
            <w:r w:rsidR="00D7265E" w:rsidRPr="00B453EF">
              <w:rPr>
                <w:rStyle w:val="Hyperlink0"/>
                <w:sz w:val="18"/>
              </w:rPr>
              <w:t xml:space="preserve">. </w:t>
            </w:r>
          </w:p>
        </w:tc>
        <w:tc>
          <w:tcPr>
            <w:tcW w:w="2489" w:type="dxa"/>
            <w:tcBorders>
              <w:top w:val="single" w:sz="12" w:space="0" w:color="000000"/>
              <w:left w:val="nil"/>
              <w:bottom w:val="nil"/>
              <w:right w:val="nil"/>
            </w:tcBorders>
            <w:tcMar>
              <w:top w:w="80" w:type="dxa"/>
              <w:left w:w="80" w:type="dxa"/>
              <w:bottom w:w="80" w:type="dxa"/>
              <w:right w:w="80" w:type="dxa"/>
            </w:tcMar>
          </w:tcPr>
          <w:p w14:paraId="35278483" w14:textId="77777777" w:rsidR="00D7265E" w:rsidRPr="00B453E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September 2017</w:t>
            </w:r>
          </w:p>
        </w:tc>
      </w:tr>
      <w:tr w:rsidR="00D7265E" w:rsidRPr="00D7265E" w14:paraId="5D86798C" w14:textId="77777777" w:rsidTr="00CE0733">
        <w:trPr>
          <w:trHeight w:val="392"/>
          <w:jc w:val="right"/>
        </w:trPr>
        <w:tc>
          <w:tcPr>
            <w:tcW w:w="5809" w:type="dxa"/>
            <w:tcBorders>
              <w:top w:val="nil"/>
              <w:left w:val="nil"/>
              <w:bottom w:val="nil"/>
              <w:right w:val="nil"/>
            </w:tcBorders>
            <w:tcMar>
              <w:top w:w="80" w:type="dxa"/>
              <w:left w:w="80" w:type="dxa"/>
              <w:bottom w:w="80" w:type="dxa"/>
              <w:right w:w="80" w:type="dxa"/>
            </w:tcMar>
          </w:tcPr>
          <w:p w14:paraId="287687E0" w14:textId="3F1B3287" w:rsidR="00D7265E" w:rsidRPr="00B453EF" w:rsidRDefault="00D7265E">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 xml:space="preserve">The Conference </w:t>
            </w:r>
            <w:r w:rsidR="00712D27">
              <w:rPr>
                <w:rStyle w:val="Hyperlink0"/>
                <w:sz w:val="18"/>
              </w:rPr>
              <w:t xml:space="preserve">of the Parties </w:t>
            </w:r>
            <w:r w:rsidRPr="00B453EF">
              <w:rPr>
                <w:rStyle w:val="Hyperlink0"/>
                <w:sz w:val="18"/>
              </w:rPr>
              <w:t>recognizes the complexity of the scientific and technical requirements to develop a draft framework for appropriate media selection and integrate comparable results of current and future monitoring. The Conference therefore establishes an ad hoc group of experts to work on the development of the monitoring programme for use in evaluating the effectiveness of the Convention.</w:t>
            </w:r>
            <w:r w:rsidR="00E80AD2" w:rsidRPr="00B453EF">
              <w:rPr>
                <w:rStyle w:val="Hyperlink0"/>
                <w:sz w:val="18"/>
              </w:rPr>
              <w:t xml:space="preserve"> The Conference agree</w:t>
            </w:r>
            <w:r w:rsidR="00D64004">
              <w:rPr>
                <w:rStyle w:val="Hyperlink0"/>
                <w:sz w:val="18"/>
              </w:rPr>
              <w:t>s</w:t>
            </w:r>
            <w:r w:rsidR="00E80AD2" w:rsidRPr="00B453EF">
              <w:rPr>
                <w:rStyle w:val="Hyperlink0"/>
                <w:sz w:val="18"/>
              </w:rPr>
              <w:t xml:space="preserve"> on the size and structure of the</w:t>
            </w:r>
            <w:r w:rsidR="002A00A2" w:rsidRPr="00B453EF">
              <w:rPr>
                <w:rStyle w:val="Hyperlink0"/>
                <w:sz w:val="18"/>
              </w:rPr>
              <w:t xml:space="preserve"> ad hoc</w:t>
            </w:r>
            <w:r w:rsidR="00E80AD2" w:rsidRPr="00B453EF">
              <w:rPr>
                <w:rStyle w:val="Hyperlink0"/>
                <w:sz w:val="18"/>
              </w:rPr>
              <w:t xml:space="preserve"> group</w:t>
            </w:r>
            <w:r w:rsidR="00B77B3C" w:rsidRPr="00B453EF">
              <w:rPr>
                <w:rStyle w:val="Hyperlink0"/>
                <w:sz w:val="18"/>
              </w:rPr>
              <w:t xml:space="preserve"> of experts</w:t>
            </w:r>
            <w:r w:rsidR="00E80AD2" w:rsidRPr="00B453EF">
              <w:rPr>
                <w:rStyle w:val="Hyperlink0"/>
                <w:sz w:val="18"/>
              </w:rPr>
              <w:t xml:space="preserve">, taking into account the need for suitable expertise and geographic representation. </w:t>
            </w:r>
          </w:p>
        </w:tc>
        <w:tc>
          <w:tcPr>
            <w:tcW w:w="2489" w:type="dxa"/>
            <w:tcBorders>
              <w:top w:val="nil"/>
              <w:left w:val="nil"/>
              <w:bottom w:val="nil"/>
              <w:right w:val="nil"/>
            </w:tcBorders>
            <w:tcMar>
              <w:top w:w="80" w:type="dxa"/>
              <w:left w:w="80" w:type="dxa"/>
              <w:bottom w:w="80" w:type="dxa"/>
              <w:right w:w="80" w:type="dxa"/>
            </w:tcMar>
          </w:tcPr>
          <w:p w14:paraId="66476F52" w14:textId="77777777" w:rsidR="00D7265E" w:rsidRPr="00B453E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September 2017</w:t>
            </w:r>
          </w:p>
        </w:tc>
      </w:tr>
      <w:tr w:rsidR="00D7265E" w:rsidRPr="00D7265E" w14:paraId="09CE8CA8" w14:textId="77777777" w:rsidTr="00CE0733">
        <w:trPr>
          <w:trHeight w:val="622"/>
          <w:jc w:val="right"/>
        </w:trPr>
        <w:tc>
          <w:tcPr>
            <w:tcW w:w="5809" w:type="dxa"/>
            <w:tcBorders>
              <w:top w:val="nil"/>
              <w:left w:val="nil"/>
              <w:bottom w:val="nil"/>
              <w:right w:val="nil"/>
            </w:tcBorders>
            <w:tcMar>
              <w:top w:w="80" w:type="dxa"/>
              <w:left w:w="80" w:type="dxa"/>
              <w:bottom w:w="80" w:type="dxa"/>
              <w:right w:w="80" w:type="dxa"/>
            </w:tcMar>
          </w:tcPr>
          <w:p w14:paraId="0AF1EB1F" w14:textId="1E7F1A72" w:rsidR="00D7265E" w:rsidRPr="00B453E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Nominations for the ad hoc group of experts are provided to the secretariat through the bureau members of the Conference</w:t>
            </w:r>
            <w:r w:rsidR="00D64004">
              <w:rPr>
                <w:rStyle w:val="Hyperlink0"/>
                <w:sz w:val="18"/>
              </w:rPr>
              <w:t xml:space="preserve"> of the Parties</w:t>
            </w:r>
            <w:r w:rsidRPr="00B453EF">
              <w:rPr>
                <w:rStyle w:val="Hyperlink0"/>
                <w:sz w:val="18"/>
              </w:rPr>
              <w:t xml:space="preserve">. </w:t>
            </w:r>
          </w:p>
        </w:tc>
        <w:tc>
          <w:tcPr>
            <w:tcW w:w="2489" w:type="dxa"/>
            <w:tcBorders>
              <w:top w:val="nil"/>
              <w:left w:val="nil"/>
              <w:bottom w:val="nil"/>
              <w:right w:val="nil"/>
            </w:tcBorders>
            <w:tcMar>
              <w:top w:w="80" w:type="dxa"/>
              <w:left w:w="80" w:type="dxa"/>
              <w:bottom w:w="80" w:type="dxa"/>
              <w:right w:w="80" w:type="dxa"/>
            </w:tcMar>
          </w:tcPr>
          <w:p w14:paraId="7DD5B004" w14:textId="1D6171E7" w:rsidR="00D7265E" w:rsidRPr="00B453E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November</w:t>
            </w:r>
            <w:r w:rsidR="00645834" w:rsidRPr="00B453EF">
              <w:rPr>
                <w:rStyle w:val="Hyperlink0"/>
                <w:sz w:val="18"/>
              </w:rPr>
              <w:t xml:space="preserve"> </w:t>
            </w:r>
            <w:r w:rsidRPr="00B453EF">
              <w:rPr>
                <w:rStyle w:val="Hyperlink0"/>
                <w:sz w:val="18"/>
              </w:rPr>
              <w:t>2017</w:t>
            </w:r>
          </w:p>
        </w:tc>
      </w:tr>
      <w:tr w:rsidR="00D7265E" w:rsidRPr="00D7265E" w14:paraId="2A6C1DE2" w14:textId="77777777" w:rsidTr="00CE0733">
        <w:trPr>
          <w:trHeight w:val="192"/>
          <w:jc w:val="right"/>
        </w:trPr>
        <w:tc>
          <w:tcPr>
            <w:tcW w:w="5809" w:type="dxa"/>
            <w:tcBorders>
              <w:top w:val="nil"/>
              <w:left w:val="nil"/>
              <w:bottom w:val="nil"/>
              <w:right w:val="nil"/>
            </w:tcBorders>
            <w:tcMar>
              <w:top w:w="80" w:type="dxa"/>
              <w:left w:w="80" w:type="dxa"/>
              <w:bottom w:w="80" w:type="dxa"/>
              <w:right w:w="80" w:type="dxa"/>
            </w:tcMar>
          </w:tcPr>
          <w:p w14:paraId="53F6BE9B" w14:textId="154E5DE8" w:rsidR="00D7265E" w:rsidRPr="00B453EF" w:rsidRDefault="00D7265E" w:rsidP="007366A6">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 xml:space="preserve">The secretariat, drawing on previously submitted information and work undertaken in other forums, </w:t>
            </w:r>
            <w:r w:rsidR="007366A6" w:rsidRPr="002238C7">
              <w:rPr>
                <w:rStyle w:val="Hyperlink0"/>
                <w:sz w:val="18"/>
                <w:szCs w:val="18"/>
              </w:rPr>
              <w:t xml:space="preserve">in </w:t>
            </w:r>
            <w:r w:rsidRPr="002238C7">
              <w:rPr>
                <w:rStyle w:val="Hyperlink0"/>
                <w:sz w:val="18"/>
                <w:szCs w:val="18"/>
              </w:rPr>
              <w:t>particular</w:t>
            </w:r>
            <w:r w:rsidRPr="00B453EF">
              <w:rPr>
                <w:rStyle w:val="Hyperlink0"/>
                <w:sz w:val="18"/>
              </w:rPr>
              <w:t xml:space="preserve"> the Stockholm Convention</w:t>
            </w:r>
            <w:r w:rsidR="00D64004">
              <w:rPr>
                <w:rStyle w:val="Hyperlink0"/>
                <w:sz w:val="18"/>
              </w:rPr>
              <w:t xml:space="preserve"> on Persistent Organic Pollutants</w:t>
            </w:r>
            <w:r w:rsidRPr="00B453EF">
              <w:rPr>
                <w:rStyle w:val="Hyperlink0"/>
                <w:sz w:val="18"/>
              </w:rPr>
              <w:t>, prepares initial draft proposal</w:t>
            </w:r>
            <w:r w:rsidRPr="00B453EF">
              <w:rPr>
                <w:sz w:val="18"/>
              </w:rPr>
              <w:t>s for types of data that could be considered comparable, as well as an initial proposal for a draft framework for monitoring</w:t>
            </w:r>
            <w:r w:rsidR="00D13433" w:rsidRPr="00B453EF">
              <w:rPr>
                <w:sz w:val="18"/>
              </w:rPr>
              <w:t xml:space="preserve"> </w:t>
            </w:r>
            <w:r w:rsidRPr="00B453EF">
              <w:rPr>
                <w:sz w:val="18"/>
              </w:rPr>
              <w:t xml:space="preserve">and provides </w:t>
            </w:r>
            <w:r w:rsidR="00D13433" w:rsidRPr="00B453EF">
              <w:rPr>
                <w:sz w:val="18"/>
              </w:rPr>
              <w:t xml:space="preserve">the </w:t>
            </w:r>
            <w:r w:rsidRPr="00B453EF">
              <w:rPr>
                <w:sz w:val="18"/>
              </w:rPr>
              <w:t>initial draft proposal</w:t>
            </w:r>
            <w:r w:rsidR="00E80AD2" w:rsidRPr="00B453EF">
              <w:rPr>
                <w:sz w:val="18"/>
              </w:rPr>
              <w:t>s</w:t>
            </w:r>
            <w:r w:rsidRPr="00B453EF">
              <w:rPr>
                <w:sz w:val="18"/>
              </w:rPr>
              <w:t xml:space="preserve"> to the ad hoc group of experts electronically. </w:t>
            </w:r>
          </w:p>
        </w:tc>
        <w:tc>
          <w:tcPr>
            <w:tcW w:w="2489" w:type="dxa"/>
            <w:tcBorders>
              <w:top w:val="nil"/>
              <w:left w:val="nil"/>
              <w:bottom w:val="nil"/>
              <w:right w:val="nil"/>
            </w:tcBorders>
            <w:tcMar>
              <w:top w:w="80" w:type="dxa"/>
              <w:left w:w="80" w:type="dxa"/>
              <w:bottom w:w="80" w:type="dxa"/>
              <w:right w:w="80" w:type="dxa"/>
            </w:tcMar>
          </w:tcPr>
          <w:p w14:paraId="3BFB1547" w14:textId="77777777" w:rsidR="00D7265E" w:rsidRPr="00B453E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January</w:t>
            </w:r>
            <w:r w:rsidRPr="00B453EF" w:rsidDel="004F377B">
              <w:rPr>
                <w:rStyle w:val="Hyperlink0"/>
                <w:sz w:val="18"/>
              </w:rPr>
              <w:t xml:space="preserve"> </w:t>
            </w:r>
            <w:r w:rsidRPr="00B453EF">
              <w:rPr>
                <w:rStyle w:val="Hyperlink0"/>
                <w:sz w:val="18"/>
              </w:rPr>
              <w:t>2018</w:t>
            </w:r>
          </w:p>
        </w:tc>
      </w:tr>
      <w:tr w:rsidR="00D13433" w:rsidRPr="00D7265E" w14:paraId="58C342BC" w14:textId="77777777">
        <w:trPr>
          <w:trHeight w:val="792"/>
          <w:jc w:val="right"/>
        </w:trPr>
        <w:tc>
          <w:tcPr>
            <w:tcW w:w="5809" w:type="dxa"/>
            <w:tcBorders>
              <w:top w:val="nil"/>
              <w:left w:val="nil"/>
              <w:bottom w:val="nil"/>
              <w:right w:val="nil"/>
            </w:tcBorders>
            <w:tcMar>
              <w:top w:w="80" w:type="dxa"/>
              <w:left w:w="80" w:type="dxa"/>
              <w:bottom w:w="80" w:type="dxa"/>
              <w:right w:w="80" w:type="dxa"/>
            </w:tcMar>
          </w:tcPr>
          <w:p w14:paraId="10C33FD2" w14:textId="376D29F9" w:rsidR="00D13433" w:rsidRPr="00B453EF" w:rsidRDefault="00D13433" w:rsidP="0015462D">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 xml:space="preserve">The secretariat, drawing on previously submitted information and work undertaken in other forums, particularly the Stockholm Convention, prepares </w:t>
            </w:r>
            <w:r w:rsidRPr="00B453EF">
              <w:rPr>
                <w:sz w:val="18"/>
              </w:rPr>
              <w:t>a draft strategy for incorporating reports and other monitoring information and makes it available</w:t>
            </w:r>
            <w:r w:rsidR="0015462D" w:rsidRPr="00B453EF">
              <w:rPr>
                <w:sz w:val="18"/>
              </w:rPr>
              <w:t xml:space="preserve"> to the ad hoc group of experts </w:t>
            </w:r>
            <w:r w:rsidRPr="00B453EF">
              <w:rPr>
                <w:sz w:val="18"/>
              </w:rPr>
              <w:t>for comment</w:t>
            </w:r>
            <w:r w:rsidR="0015462D" w:rsidRPr="00B453EF">
              <w:rPr>
                <w:sz w:val="18"/>
              </w:rPr>
              <w:t>s</w:t>
            </w:r>
            <w:r w:rsidRPr="00B453EF">
              <w:rPr>
                <w:sz w:val="18"/>
              </w:rPr>
              <w:t xml:space="preserve"> and </w:t>
            </w:r>
            <w:r w:rsidR="00E80AD2" w:rsidRPr="00B453EF">
              <w:rPr>
                <w:sz w:val="18"/>
              </w:rPr>
              <w:t xml:space="preserve">any further </w:t>
            </w:r>
            <w:r w:rsidRPr="00B453EF">
              <w:rPr>
                <w:sz w:val="18"/>
              </w:rPr>
              <w:t>submissions</w:t>
            </w:r>
            <w:r w:rsidR="00E80AD2" w:rsidRPr="00B453EF">
              <w:rPr>
                <w:sz w:val="18"/>
              </w:rPr>
              <w:t xml:space="preserve"> relevant to the strategy</w:t>
            </w:r>
            <w:r w:rsidR="000835E1" w:rsidRPr="002238C7">
              <w:rPr>
                <w:sz w:val="18"/>
                <w:szCs w:val="18"/>
              </w:rPr>
              <w:t>.</w:t>
            </w:r>
          </w:p>
        </w:tc>
        <w:tc>
          <w:tcPr>
            <w:tcW w:w="2489" w:type="dxa"/>
            <w:tcBorders>
              <w:top w:val="nil"/>
              <w:left w:val="nil"/>
              <w:bottom w:val="nil"/>
              <w:right w:val="nil"/>
            </w:tcBorders>
            <w:tcMar>
              <w:top w:w="80" w:type="dxa"/>
              <w:left w:w="80" w:type="dxa"/>
              <w:bottom w:w="80" w:type="dxa"/>
              <w:right w:w="80" w:type="dxa"/>
            </w:tcMar>
          </w:tcPr>
          <w:p w14:paraId="2D74112A" w14:textId="77777777" w:rsidR="00D13433" w:rsidRPr="00B453EF" w:rsidRDefault="00E96FE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rPr>
            </w:pPr>
            <w:r w:rsidRPr="00B453EF">
              <w:rPr>
                <w:rStyle w:val="Hyperlink0"/>
                <w:sz w:val="18"/>
              </w:rPr>
              <w:t>February 2018</w:t>
            </w:r>
          </w:p>
        </w:tc>
      </w:tr>
      <w:tr w:rsidR="00D7265E" w:rsidRPr="00D7265E" w14:paraId="5CA02485" w14:textId="77777777" w:rsidTr="00CE0733">
        <w:trPr>
          <w:trHeight w:val="792"/>
          <w:jc w:val="right"/>
        </w:trPr>
        <w:tc>
          <w:tcPr>
            <w:tcW w:w="5809" w:type="dxa"/>
            <w:tcBorders>
              <w:top w:val="nil"/>
              <w:left w:val="nil"/>
              <w:bottom w:val="nil"/>
              <w:right w:val="nil"/>
            </w:tcBorders>
            <w:tcMar>
              <w:top w:w="80" w:type="dxa"/>
              <w:left w:w="80" w:type="dxa"/>
              <w:bottom w:w="80" w:type="dxa"/>
              <w:right w:w="80" w:type="dxa"/>
            </w:tcMar>
          </w:tcPr>
          <w:p w14:paraId="55E41544" w14:textId="7FD086AD" w:rsidR="00D7265E" w:rsidRPr="00DF3637" w:rsidRDefault="00D7265E"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sz w:val="18"/>
              </w:rPr>
              <w:t>The ad hoc group of experts reviews the initial draft proposals</w:t>
            </w:r>
            <w:r w:rsidR="00E80AD2" w:rsidRPr="00B453EF">
              <w:rPr>
                <w:sz w:val="18"/>
              </w:rPr>
              <w:t xml:space="preserve"> on the types of data, the draft framework for monitoring and the draft strategy circulated by the secretariat</w:t>
            </w:r>
            <w:r w:rsidR="000835E1" w:rsidRPr="002238C7">
              <w:rPr>
                <w:sz w:val="18"/>
                <w:szCs w:val="18"/>
              </w:rPr>
              <w:t>;</w:t>
            </w:r>
            <w:r w:rsidRPr="00B453EF">
              <w:rPr>
                <w:sz w:val="18"/>
              </w:rPr>
              <w:t xml:space="preserve"> discusses the information</w:t>
            </w:r>
            <w:r w:rsidR="000835E1" w:rsidRPr="002238C7">
              <w:rPr>
                <w:sz w:val="18"/>
                <w:szCs w:val="18"/>
              </w:rPr>
              <w:t>,</w:t>
            </w:r>
            <w:r w:rsidRPr="002238C7">
              <w:rPr>
                <w:sz w:val="18"/>
                <w:szCs w:val="18"/>
              </w:rPr>
              <w:t xml:space="preserve"> </w:t>
            </w:r>
            <w:r w:rsidRPr="00B453EF">
              <w:rPr>
                <w:sz w:val="18"/>
              </w:rPr>
              <w:t>potentially at a face</w:t>
            </w:r>
            <w:r w:rsidR="000835E1" w:rsidRPr="002238C7">
              <w:rPr>
                <w:sz w:val="18"/>
                <w:szCs w:val="18"/>
              </w:rPr>
              <w:t>-</w:t>
            </w:r>
            <w:r w:rsidRPr="00B453EF">
              <w:rPr>
                <w:sz w:val="18"/>
              </w:rPr>
              <w:t>to</w:t>
            </w:r>
            <w:r w:rsidR="000835E1" w:rsidRPr="002238C7">
              <w:rPr>
                <w:sz w:val="18"/>
                <w:szCs w:val="18"/>
              </w:rPr>
              <w:t>-</w:t>
            </w:r>
            <w:r w:rsidRPr="00B453EF">
              <w:rPr>
                <w:sz w:val="18"/>
              </w:rPr>
              <w:t>face meeting</w:t>
            </w:r>
            <w:r w:rsidR="000835E1" w:rsidRPr="002238C7">
              <w:rPr>
                <w:sz w:val="18"/>
                <w:szCs w:val="18"/>
              </w:rPr>
              <w:t>;</w:t>
            </w:r>
            <w:r w:rsidRPr="00B453EF">
              <w:rPr>
                <w:sz w:val="18"/>
              </w:rPr>
              <w:t xml:space="preserve"> and provides comments to the secretariat</w:t>
            </w:r>
            <w:r w:rsidR="000835E1" w:rsidRPr="002238C7">
              <w:rPr>
                <w:sz w:val="18"/>
                <w:szCs w:val="18"/>
              </w:rPr>
              <w:t>,</w:t>
            </w:r>
            <w:r w:rsidRPr="002238C7">
              <w:rPr>
                <w:sz w:val="18"/>
                <w:szCs w:val="18"/>
              </w:rPr>
              <w:t xml:space="preserve"> </w:t>
            </w:r>
            <w:r w:rsidRPr="00B453EF">
              <w:rPr>
                <w:sz w:val="18"/>
              </w:rPr>
              <w:t xml:space="preserve">either electronically or directly at </w:t>
            </w:r>
            <w:r w:rsidR="000835E1" w:rsidRPr="002238C7">
              <w:rPr>
                <w:sz w:val="18"/>
                <w:szCs w:val="18"/>
              </w:rPr>
              <w:t>a</w:t>
            </w:r>
            <w:r w:rsidRPr="00B453EF">
              <w:rPr>
                <w:sz w:val="18"/>
              </w:rPr>
              <w:t xml:space="preserve"> face</w:t>
            </w:r>
            <w:r w:rsidR="000835E1" w:rsidRPr="002238C7">
              <w:rPr>
                <w:sz w:val="18"/>
                <w:szCs w:val="18"/>
              </w:rPr>
              <w:t>-</w:t>
            </w:r>
            <w:r w:rsidRPr="00B453EF">
              <w:rPr>
                <w:sz w:val="18"/>
              </w:rPr>
              <w:t>to</w:t>
            </w:r>
            <w:r w:rsidR="000835E1" w:rsidRPr="002238C7">
              <w:rPr>
                <w:sz w:val="18"/>
                <w:szCs w:val="18"/>
              </w:rPr>
              <w:t>-</w:t>
            </w:r>
            <w:r w:rsidRPr="00B453EF">
              <w:rPr>
                <w:sz w:val="18"/>
              </w:rPr>
              <w:t>face meeting</w:t>
            </w:r>
            <w:r w:rsidRPr="002238C7">
              <w:rPr>
                <w:sz w:val="18"/>
                <w:szCs w:val="18"/>
              </w:rPr>
              <w:t>.</w:t>
            </w:r>
            <w:r w:rsidRPr="00B453EF">
              <w:rPr>
                <w:sz w:val="18"/>
              </w:rPr>
              <w:t xml:space="preserve"> Teleconferences or webinars may be used to discuss documents as required.</w:t>
            </w:r>
          </w:p>
        </w:tc>
        <w:tc>
          <w:tcPr>
            <w:tcW w:w="2489" w:type="dxa"/>
            <w:tcBorders>
              <w:top w:val="nil"/>
              <w:left w:val="nil"/>
              <w:bottom w:val="nil"/>
              <w:right w:val="nil"/>
            </w:tcBorders>
            <w:tcMar>
              <w:top w:w="80" w:type="dxa"/>
              <w:left w:w="80" w:type="dxa"/>
              <w:bottom w:w="80" w:type="dxa"/>
              <w:right w:w="80" w:type="dxa"/>
            </w:tcMar>
          </w:tcPr>
          <w:p w14:paraId="2A10ABEB" w14:textId="77777777" w:rsidR="00D7265E" w:rsidRPr="00DF3637"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DF3637">
              <w:rPr>
                <w:rStyle w:val="Hyperlink0"/>
                <w:sz w:val="18"/>
              </w:rPr>
              <w:t>March 2018</w:t>
            </w:r>
          </w:p>
        </w:tc>
      </w:tr>
      <w:tr w:rsidR="00D7265E" w:rsidRPr="00D7265E" w14:paraId="0CF97D07" w14:textId="77777777" w:rsidTr="00CE0733">
        <w:trPr>
          <w:trHeight w:val="192"/>
          <w:jc w:val="right"/>
        </w:trPr>
        <w:tc>
          <w:tcPr>
            <w:tcW w:w="5809" w:type="dxa"/>
            <w:tcBorders>
              <w:top w:val="nil"/>
              <w:left w:val="nil"/>
              <w:bottom w:val="nil"/>
              <w:right w:val="nil"/>
            </w:tcBorders>
            <w:tcMar>
              <w:top w:w="80" w:type="dxa"/>
              <w:left w:w="80" w:type="dxa"/>
              <w:bottom w:w="80" w:type="dxa"/>
              <w:right w:w="80" w:type="dxa"/>
            </w:tcMar>
          </w:tcPr>
          <w:p w14:paraId="06A5ED78" w14:textId="037CF41D" w:rsidR="00D7265E" w:rsidRPr="00DF3637" w:rsidRDefault="000835E1"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2238C7">
              <w:rPr>
                <w:rStyle w:val="Hyperlink0"/>
                <w:sz w:val="18"/>
                <w:szCs w:val="18"/>
              </w:rPr>
              <w:t>The s</w:t>
            </w:r>
            <w:r w:rsidR="00D7265E" w:rsidRPr="002238C7">
              <w:rPr>
                <w:rStyle w:val="Hyperlink0"/>
                <w:sz w:val="18"/>
                <w:szCs w:val="18"/>
              </w:rPr>
              <w:t>ecretariat</w:t>
            </w:r>
            <w:r w:rsidR="00D7265E" w:rsidRPr="00DF3637">
              <w:rPr>
                <w:rStyle w:val="Hyperlink0"/>
                <w:sz w:val="18"/>
              </w:rPr>
              <w:t xml:space="preserve"> prepares revised versions </w:t>
            </w:r>
            <w:r w:rsidR="00E80AD2" w:rsidRPr="00DF3637">
              <w:rPr>
                <w:rStyle w:val="Hyperlink0"/>
                <w:sz w:val="18"/>
              </w:rPr>
              <w:t xml:space="preserve">of the documents </w:t>
            </w:r>
            <w:r w:rsidR="00D7265E" w:rsidRPr="00DF3637">
              <w:rPr>
                <w:rStyle w:val="Hyperlink0"/>
                <w:sz w:val="18"/>
              </w:rPr>
              <w:t xml:space="preserve">and circulates them to the </w:t>
            </w:r>
            <w:r w:rsidR="0014559D" w:rsidRPr="00DF3637">
              <w:rPr>
                <w:rStyle w:val="Hyperlink0"/>
                <w:sz w:val="18"/>
              </w:rPr>
              <w:t xml:space="preserve">members of the ad hoc group of </w:t>
            </w:r>
            <w:r w:rsidR="00D7265E" w:rsidRPr="00DF3637">
              <w:rPr>
                <w:rStyle w:val="Hyperlink0"/>
                <w:sz w:val="18"/>
              </w:rPr>
              <w:t>experts for consideration.</w:t>
            </w:r>
          </w:p>
        </w:tc>
        <w:tc>
          <w:tcPr>
            <w:tcW w:w="2489" w:type="dxa"/>
            <w:tcBorders>
              <w:top w:val="nil"/>
              <w:left w:val="nil"/>
              <w:bottom w:val="nil"/>
              <w:right w:val="nil"/>
            </w:tcBorders>
            <w:tcMar>
              <w:top w:w="80" w:type="dxa"/>
              <w:left w:w="80" w:type="dxa"/>
              <w:bottom w:w="80" w:type="dxa"/>
              <w:right w:w="80" w:type="dxa"/>
            </w:tcMar>
          </w:tcPr>
          <w:p w14:paraId="2693BE55" w14:textId="77777777" w:rsidR="00D7265E" w:rsidRPr="00DF3637"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DF3637">
              <w:rPr>
                <w:rStyle w:val="Hyperlink0"/>
                <w:sz w:val="18"/>
              </w:rPr>
              <w:t>May 2018</w:t>
            </w:r>
          </w:p>
        </w:tc>
      </w:tr>
      <w:tr w:rsidR="00D7265E" w:rsidRPr="00D7265E" w14:paraId="720C856C" w14:textId="77777777" w:rsidTr="00CE0733">
        <w:trPr>
          <w:trHeight w:val="807"/>
          <w:jc w:val="right"/>
        </w:trPr>
        <w:tc>
          <w:tcPr>
            <w:tcW w:w="5809" w:type="dxa"/>
            <w:tcBorders>
              <w:top w:val="nil"/>
              <w:left w:val="nil"/>
              <w:bottom w:val="nil"/>
              <w:right w:val="nil"/>
            </w:tcBorders>
            <w:tcMar>
              <w:top w:w="80" w:type="dxa"/>
              <w:left w:w="80" w:type="dxa"/>
              <w:bottom w:w="80" w:type="dxa"/>
              <w:right w:w="80" w:type="dxa"/>
            </w:tcMar>
          </w:tcPr>
          <w:p w14:paraId="5A3E2738" w14:textId="4E131227" w:rsidR="00D7265E" w:rsidRPr="00B453EF" w:rsidRDefault="000835E1"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2238C7">
              <w:rPr>
                <w:rStyle w:val="Hyperlink0"/>
                <w:sz w:val="18"/>
                <w:szCs w:val="18"/>
              </w:rPr>
              <w:t>The a</w:t>
            </w:r>
            <w:r w:rsidR="00D7265E" w:rsidRPr="002238C7">
              <w:rPr>
                <w:rStyle w:val="Hyperlink0"/>
                <w:sz w:val="18"/>
                <w:szCs w:val="18"/>
              </w:rPr>
              <w:t>d</w:t>
            </w:r>
            <w:r w:rsidR="00D7265E" w:rsidRPr="00B453EF">
              <w:rPr>
                <w:rStyle w:val="Hyperlink0"/>
                <w:sz w:val="18"/>
              </w:rPr>
              <w:t xml:space="preserve"> hoc group of experts meets to discuss the revised proposals and prepare recommendations </w:t>
            </w:r>
            <w:r w:rsidRPr="002238C7">
              <w:rPr>
                <w:rStyle w:val="Hyperlink0"/>
                <w:sz w:val="18"/>
                <w:szCs w:val="18"/>
              </w:rPr>
              <w:t>for</w:t>
            </w:r>
            <w:r w:rsidR="00D7265E" w:rsidRPr="00B453EF">
              <w:rPr>
                <w:rStyle w:val="Hyperlink0"/>
                <w:sz w:val="18"/>
              </w:rPr>
              <w:t xml:space="preserve"> the second meeting of the Conference of the Parties, including any recommendations for new or additional work to be undertaken</w:t>
            </w:r>
            <w:r w:rsidRPr="002238C7">
              <w:rPr>
                <w:rStyle w:val="Hyperlink0"/>
                <w:sz w:val="18"/>
                <w:szCs w:val="18"/>
              </w:rPr>
              <w:t>.</w:t>
            </w:r>
          </w:p>
        </w:tc>
        <w:tc>
          <w:tcPr>
            <w:tcW w:w="2489" w:type="dxa"/>
            <w:tcBorders>
              <w:top w:val="nil"/>
              <w:left w:val="nil"/>
              <w:bottom w:val="nil"/>
              <w:right w:val="nil"/>
            </w:tcBorders>
            <w:tcMar>
              <w:top w:w="80" w:type="dxa"/>
              <w:left w:w="80" w:type="dxa"/>
              <w:bottom w:w="80" w:type="dxa"/>
              <w:right w:w="80" w:type="dxa"/>
            </w:tcMar>
          </w:tcPr>
          <w:p w14:paraId="1D737998" w14:textId="77777777" w:rsidR="00D7265E" w:rsidRPr="00B453E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rPr>
            </w:pPr>
            <w:r w:rsidRPr="00B453EF">
              <w:rPr>
                <w:rStyle w:val="Hyperlink0"/>
                <w:sz w:val="18"/>
              </w:rPr>
              <w:t>June 2018</w:t>
            </w:r>
          </w:p>
        </w:tc>
      </w:tr>
      <w:tr w:rsidR="00D13433" w:rsidRPr="00D7265E" w14:paraId="6BD754E0" w14:textId="77777777" w:rsidTr="00516F04">
        <w:trPr>
          <w:trHeight w:val="530"/>
          <w:jc w:val="right"/>
        </w:trPr>
        <w:tc>
          <w:tcPr>
            <w:tcW w:w="5809" w:type="dxa"/>
            <w:tcBorders>
              <w:top w:val="nil"/>
              <w:left w:val="nil"/>
              <w:bottom w:val="nil"/>
              <w:right w:val="nil"/>
            </w:tcBorders>
            <w:tcMar>
              <w:top w:w="80" w:type="dxa"/>
              <w:left w:w="80" w:type="dxa"/>
              <w:bottom w:w="80" w:type="dxa"/>
              <w:right w:w="80" w:type="dxa"/>
            </w:tcMar>
          </w:tcPr>
          <w:p w14:paraId="65676BD4" w14:textId="4CAC363D" w:rsidR="00D13433" w:rsidRPr="00B453EF" w:rsidRDefault="000835E1"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rPr>
            </w:pPr>
            <w:r w:rsidRPr="002238C7">
              <w:rPr>
                <w:rStyle w:val="Hyperlink0"/>
                <w:sz w:val="18"/>
                <w:szCs w:val="18"/>
              </w:rPr>
              <w:t>The s</w:t>
            </w:r>
            <w:r w:rsidR="00D13433" w:rsidRPr="002238C7">
              <w:rPr>
                <w:rStyle w:val="Hyperlink0"/>
                <w:sz w:val="18"/>
                <w:szCs w:val="18"/>
              </w:rPr>
              <w:t>ecretariat</w:t>
            </w:r>
            <w:r w:rsidR="00D13433" w:rsidRPr="00B453EF">
              <w:rPr>
                <w:rStyle w:val="Hyperlink0"/>
                <w:sz w:val="18"/>
              </w:rPr>
              <w:t xml:space="preserve"> revises </w:t>
            </w:r>
            <w:r w:rsidR="00B52E6A" w:rsidRPr="00B453EF">
              <w:rPr>
                <w:rStyle w:val="Hyperlink0"/>
                <w:sz w:val="18"/>
              </w:rPr>
              <w:t xml:space="preserve">the </w:t>
            </w:r>
            <w:r w:rsidR="00D13433" w:rsidRPr="00B453EF">
              <w:rPr>
                <w:rStyle w:val="Hyperlink0"/>
                <w:sz w:val="18"/>
              </w:rPr>
              <w:t xml:space="preserve">draft </w:t>
            </w:r>
            <w:r w:rsidR="00D13433" w:rsidRPr="00B453EF">
              <w:rPr>
                <w:sz w:val="18"/>
              </w:rPr>
              <w:t xml:space="preserve">strategy for incorporating reports and other monitoring information in </w:t>
            </w:r>
            <w:r w:rsidRPr="002238C7">
              <w:rPr>
                <w:sz w:val="18"/>
                <w:szCs w:val="18"/>
              </w:rPr>
              <w:t xml:space="preserve">the </w:t>
            </w:r>
            <w:r w:rsidR="00D13433" w:rsidRPr="00B453EF">
              <w:rPr>
                <w:sz w:val="18"/>
              </w:rPr>
              <w:t>light of comments and submissions</w:t>
            </w:r>
            <w:r w:rsidRPr="002238C7">
              <w:rPr>
                <w:sz w:val="18"/>
                <w:szCs w:val="18"/>
              </w:rPr>
              <w:t>.</w:t>
            </w:r>
          </w:p>
        </w:tc>
        <w:tc>
          <w:tcPr>
            <w:tcW w:w="2489" w:type="dxa"/>
            <w:tcBorders>
              <w:top w:val="nil"/>
              <w:left w:val="nil"/>
              <w:bottom w:val="nil"/>
              <w:right w:val="nil"/>
            </w:tcBorders>
            <w:tcMar>
              <w:top w:w="80" w:type="dxa"/>
              <w:left w:w="80" w:type="dxa"/>
              <w:bottom w:w="80" w:type="dxa"/>
              <w:right w:w="80" w:type="dxa"/>
            </w:tcMar>
          </w:tcPr>
          <w:p w14:paraId="4BA09DEC" w14:textId="77777777" w:rsidR="00D13433" w:rsidRPr="00B453EF" w:rsidRDefault="00E96FE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rPr>
            </w:pPr>
            <w:r w:rsidRPr="00B453EF">
              <w:rPr>
                <w:rStyle w:val="Hyperlink0"/>
                <w:sz w:val="18"/>
              </w:rPr>
              <w:t>June 2018</w:t>
            </w:r>
          </w:p>
        </w:tc>
      </w:tr>
      <w:tr w:rsidR="00D7265E" w:rsidRPr="00D7265E" w14:paraId="36C91D4B" w14:textId="77777777" w:rsidTr="008908B6">
        <w:trPr>
          <w:trHeight w:val="807"/>
          <w:jc w:val="right"/>
        </w:trPr>
        <w:tc>
          <w:tcPr>
            <w:tcW w:w="5809" w:type="dxa"/>
            <w:tcBorders>
              <w:top w:val="nil"/>
              <w:left w:val="nil"/>
              <w:bottom w:val="single" w:sz="12" w:space="0" w:color="auto"/>
              <w:right w:val="nil"/>
            </w:tcBorders>
            <w:tcMar>
              <w:top w:w="80" w:type="dxa"/>
              <w:left w:w="80" w:type="dxa"/>
              <w:bottom w:w="80" w:type="dxa"/>
              <w:right w:w="80" w:type="dxa"/>
            </w:tcMar>
          </w:tcPr>
          <w:p w14:paraId="3EE01607" w14:textId="05A9945C" w:rsidR="00D7265E" w:rsidRPr="00B453EF" w:rsidRDefault="00D7265E" w:rsidP="00AC482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color w:val="auto"/>
                <w:sz w:val="18"/>
              </w:rPr>
            </w:pPr>
            <w:r w:rsidRPr="00B453EF">
              <w:rPr>
                <w:rStyle w:val="Hyperlink0"/>
                <w:sz w:val="18"/>
              </w:rPr>
              <w:t>The secretariat makes the outcomes of the expert group</w:t>
            </w:r>
            <w:r w:rsidR="00D13433" w:rsidRPr="00B453EF">
              <w:rPr>
                <w:rStyle w:val="Hyperlink0"/>
                <w:sz w:val="18"/>
              </w:rPr>
              <w:t xml:space="preserve">, the </w:t>
            </w:r>
            <w:r w:rsidR="00D13433" w:rsidRPr="00B453EF">
              <w:rPr>
                <w:sz w:val="18"/>
              </w:rPr>
              <w:t>draft strategy for incorporating reports and other monitoring information</w:t>
            </w:r>
            <w:r w:rsidRPr="00B453EF">
              <w:rPr>
                <w:rStyle w:val="Hyperlink0"/>
                <w:sz w:val="18"/>
              </w:rPr>
              <w:t xml:space="preserve"> available to the second meeting of the Conference of the Parties for its consideration and further recommendations</w:t>
            </w:r>
            <w:r w:rsidR="00E573D5" w:rsidRPr="00B453EF">
              <w:rPr>
                <w:rStyle w:val="Hyperlink0"/>
                <w:sz w:val="18"/>
              </w:rPr>
              <w:t>.</w:t>
            </w:r>
          </w:p>
        </w:tc>
        <w:tc>
          <w:tcPr>
            <w:tcW w:w="2489" w:type="dxa"/>
            <w:tcBorders>
              <w:top w:val="nil"/>
              <w:left w:val="nil"/>
              <w:bottom w:val="single" w:sz="12" w:space="0" w:color="auto"/>
              <w:right w:val="nil"/>
            </w:tcBorders>
            <w:tcMar>
              <w:top w:w="80" w:type="dxa"/>
              <w:left w:w="80" w:type="dxa"/>
              <w:bottom w:w="80" w:type="dxa"/>
              <w:right w:w="80" w:type="dxa"/>
            </w:tcMar>
          </w:tcPr>
          <w:p w14:paraId="35B9DFBD" w14:textId="55AD4ADD" w:rsidR="00D7265E" w:rsidRPr="00B453EF" w:rsidRDefault="00D7265E" w:rsidP="00AC482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rPr>
            </w:pPr>
            <w:r w:rsidRPr="00B453EF">
              <w:rPr>
                <w:rStyle w:val="Hyperlink0"/>
                <w:sz w:val="18"/>
              </w:rPr>
              <w:t>November 2018</w:t>
            </w:r>
            <w:r w:rsidR="00B52E6A" w:rsidRPr="00B453EF">
              <w:rPr>
                <w:rStyle w:val="Hyperlink0"/>
                <w:sz w:val="18"/>
              </w:rPr>
              <w:t xml:space="preserve"> (tentative date for </w:t>
            </w:r>
            <w:r w:rsidR="00AC4820" w:rsidRPr="002238C7">
              <w:rPr>
                <w:rStyle w:val="Hyperlink0"/>
                <w:sz w:val="18"/>
                <w:szCs w:val="18"/>
              </w:rPr>
              <w:t>the second meeting of the Conference of the Parties</w:t>
            </w:r>
            <w:r w:rsidR="00B52E6A" w:rsidRPr="00B453EF">
              <w:rPr>
                <w:rStyle w:val="Hyperlink0"/>
                <w:sz w:val="18"/>
              </w:rPr>
              <w:t>)</w:t>
            </w:r>
          </w:p>
        </w:tc>
      </w:tr>
    </w:tbl>
    <w:p w14:paraId="5C759299" w14:textId="77777777" w:rsidR="00D7265E" w:rsidRDefault="00D7265E" w:rsidP="00945EA0"/>
    <w:p w14:paraId="2585D4F2" w14:textId="77777777" w:rsidR="00D7265E" w:rsidRDefault="00D7265E" w:rsidP="008908B6">
      <w:pPr>
        <w:pStyle w:val="ZZAnxheader"/>
      </w:pPr>
      <w:r>
        <w:br w:type="page"/>
      </w:r>
      <w:r w:rsidRPr="00D7265E">
        <w:t>Annex II</w:t>
      </w:r>
      <w:r>
        <w:t xml:space="preserve"> </w:t>
      </w:r>
    </w:p>
    <w:p w14:paraId="1A4707D5" w14:textId="521285B2" w:rsidR="00D7265E" w:rsidRDefault="00D7265E">
      <w:pPr>
        <w:pStyle w:val="ZZAnxtitle"/>
      </w:pPr>
      <w:r>
        <w:t>Report on the establishment of</w:t>
      </w:r>
      <w:r w:rsidRPr="00D7265E">
        <w:t xml:space="preserve"> arrangements for providing comparable monitoring data on the presence and movement of mercury and mercury compounds in the environment as well as trends in levels of mercury and mercury compounds observed in biotic media and vulnerable populations</w:t>
      </w:r>
      <w:r w:rsidR="007667C2">
        <w:t xml:space="preserve"> </w:t>
      </w:r>
    </w:p>
    <w:p w14:paraId="54DE4636" w14:textId="444941A9" w:rsidR="00945EA0" w:rsidRPr="00B453EF" w:rsidRDefault="00945EA0" w:rsidP="00516F04">
      <w:pPr>
        <w:pStyle w:val="Normalnumber"/>
        <w:numPr>
          <w:ilvl w:val="0"/>
          <w:numId w:val="39"/>
        </w:numPr>
        <w:tabs>
          <w:tab w:val="clear" w:pos="1134"/>
        </w:tabs>
      </w:pPr>
      <w:r w:rsidRPr="00040D2B">
        <w:t>At its seventh session, the intergovernmental negotiating committee</w:t>
      </w:r>
      <w:r w:rsidR="004C55D9" w:rsidRPr="00040D2B">
        <w:t xml:space="preserve"> to prepare a global legally binding instrument on mercury</w:t>
      </w:r>
      <w:r w:rsidRPr="00040D2B">
        <w:t xml:space="preserve"> requested the interim secretariat to draft a report with recommendations on the establishment of arrangements for providing comparable monitoring data on the presence and movement of mercury and mercury compounds in the environment as well as trends in levels of mercury and mercury compounds observed in biotic media and vulnerable populations, as provided for in paragraph 2 of article 22</w:t>
      </w:r>
      <w:r w:rsidR="00D41CD4">
        <w:t xml:space="preserve"> of the </w:t>
      </w:r>
      <w:proofErr w:type="spellStart"/>
      <w:r w:rsidR="00D41CD4">
        <w:t>Minamata</w:t>
      </w:r>
      <w:proofErr w:type="spellEnd"/>
      <w:r w:rsidR="00D41CD4">
        <w:t xml:space="preserve"> Convention on Mercury</w:t>
      </w:r>
      <w:r w:rsidRPr="00040D2B">
        <w:t>, including references for assessing baselines</w:t>
      </w:r>
      <w:r>
        <w:t>.</w:t>
      </w:r>
    </w:p>
    <w:p w14:paraId="6E386E97" w14:textId="116E3ECF" w:rsidR="00945EA0" w:rsidRDefault="00945EA0" w:rsidP="001C5F3B">
      <w:pPr>
        <w:pStyle w:val="Normalnumber"/>
        <w:numPr>
          <w:ilvl w:val="0"/>
          <w:numId w:val="39"/>
        </w:numPr>
      </w:pPr>
      <w:r>
        <w:t>In preparing th</w:t>
      </w:r>
      <w:r w:rsidR="001C5F3B">
        <w:t>e present</w:t>
      </w:r>
      <w:r>
        <w:t xml:space="preserve"> report, the secretariat sought </w:t>
      </w:r>
      <w:r w:rsidRPr="00D41CD4">
        <w:t>input and</w:t>
      </w:r>
      <w:r>
        <w:t xml:space="preserve"> information on data from </w:t>
      </w:r>
      <w:r w:rsidR="001C5F3B">
        <w:t>G</w:t>
      </w:r>
      <w:r>
        <w:t>overnments, regional and subregional programmes and other sources</w:t>
      </w:r>
      <w:r w:rsidRPr="004C2BE5">
        <w:t xml:space="preserve">, </w:t>
      </w:r>
      <w:r w:rsidR="004C2BE5" w:rsidRPr="004C2BE5">
        <w:t>and also took into account</w:t>
      </w:r>
      <w:r w:rsidRPr="004C2BE5">
        <w:t xml:space="preserve"> the information submitted </w:t>
      </w:r>
      <w:r w:rsidR="001C5F3B" w:rsidRPr="004C2BE5">
        <w:t xml:space="preserve">by interested stakeholders in response to </w:t>
      </w:r>
      <w:r w:rsidRPr="004C2BE5">
        <w:t>calls for submissions</w:t>
      </w:r>
      <w:r>
        <w:t xml:space="preserve"> following both the sixth and the seventh sessions of the intergovernmental negotiation committee. The report addresses a number of key questions </w:t>
      </w:r>
      <w:r w:rsidR="001C5F3B">
        <w:t>that</w:t>
      </w:r>
      <w:r>
        <w:t xml:space="preserve"> have arisen in considering the establishment of arrangements for providing such data and trends. It then provides initial recommendations for consideration by the Conference of the Parties. </w:t>
      </w:r>
    </w:p>
    <w:p w14:paraId="05F7830E" w14:textId="2928EB38" w:rsidR="00945EA0" w:rsidRDefault="00945EA0" w:rsidP="001C5F3B">
      <w:pPr>
        <w:pStyle w:val="Normalnumber"/>
        <w:numPr>
          <w:ilvl w:val="0"/>
          <w:numId w:val="39"/>
        </w:numPr>
      </w:pPr>
      <w:r>
        <w:t>In analysing paragraph 2 of article 22, there are a number of issues for the Conference</w:t>
      </w:r>
      <w:r w:rsidR="005530F1">
        <w:t xml:space="preserve"> of the Parties</w:t>
      </w:r>
      <w:r>
        <w:t xml:space="preserve"> to consider, </w:t>
      </w:r>
      <w:r w:rsidR="001C5F3B">
        <w:t>which</w:t>
      </w:r>
      <w:r>
        <w:t xml:space="preserve"> are set out below. </w:t>
      </w:r>
    </w:p>
    <w:p w14:paraId="036B6EA8" w14:textId="730C77D9" w:rsidR="00945EA0" w:rsidRPr="00945EA0" w:rsidRDefault="008908B6" w:rsidP="00236C0F">
      <w:pPr>
        <w:pStyle w:val="CH2"/>
      </w:pPr>
      <w:r>
        <w:tab/>
        <w:t>A.</w:t>
      </w:r>
      <w:r>
        <w:tab/>
      </w:r>
      <w:r w:rsidR="00945EA0" w:rsidRPr="00945EA0">
        <w:t xml:space="preserve">Establishment of </w:t>
      </w:r>
      <w:r w:rsidR="00945EA0" w:rsidRPr="00236C0F">
        <w:t>arrangements</w:t>
      </w:r>
      <w:r w:rsidR="00945EA0" w:rsidRPr="008E2357">
        <w:t xml:space="preserve"> for </w:t>
      </w:r>
      <w:r w:rsidR="008E2357" w:rsidRPr="008E2357">
        <w:t xml:space="preserve">the </w:t>
      </w:r>
      <w:r w:rsidR="00945EA0" w:rsidRPr="008E2357">
        <w:t>provi</w:t>
      </w:r>
      <w:r w:rsidR="008E2357" w:rsidRPr="002238C7">
        <w:t>sion of</w:t>
      </w:r>
      <w:r w:rsidR="00945EA0" w:rsidRPr="00945EA0">
        <w:t xml:space="preserve"> comparable monitoring data</w:t>
      </w:r>
    </w:p>
    <w:p w14:paraId="4B80C9D8" w14:textId="55C8C0A2" w:rsidR="00945EA0" w:rsidRPr="008908B6" w:rsidRDefault="008908B6" w:rsidP="008908B6">
      <w:pPr>
        <w:pStyle w:val="CH3"/>
      </w:pPr>
      <w:r w:rsidRPr="008908B6">
        <w:tab/>
        <w:t>1.</w:t>
      </w:r>
      <w:r w:rsidRPr="008908B6">
        <w:tab/>
      </w:r>
      <w:r w:rsidR="00945EA0" w:rsidRPr="008908B6">
        <w:t>Comparability</w:t>
      </w:r>
    </w:p>
    <w:p w14:paraId="26CC40C2" w14:textId="4F93A348" w:rsidR="00945EA0" w:rsidRPr="00B453EF" w:rsidRDefault="00945EA0" w:rsidP="00236C0F">
      <w:pPr>
        <w:pStyle w:val="Normalnumber"/>
        <w:numPr>
          <w:ilvl w:val="0"/>
          <w:numId w:val="39"/>
        </w:numPr>
      </w:pPr>
      <w:r>
        <w:t xml:space="preserve">In consultations, </w:t>
      </w:r>
      <w:r w:rsidR="001C5F3B">
        <w:t xml:space="preserve">in </w:t>
      </w:r>
      <w:r>
        <w:t xml:space="preserve">particular with regional organizations with experience in the analysis of data obtained from many sources, it seems that </w:t>
      </w:r>
      <w:r w:rsidR="004C55D9">
        <w:t xml:space="preserve">it is possible to determine </w:t>
      </w:r>
      <w:r>
        <w:t>comparability between data from the same media obtained by different sampling or analytical methodologies, provid</w:t>
      </w:r>
      <w:r w:rsidR="004C55D9">
        <w:t>ed</w:t>
      </w:r>
      <w:r>
        <w:t xml:space="preserve"> </w:t>
      </w:r>
      <w:r w:rsidR="004C55D9">
        <w:t xml:space="preserve">that </w:t>
      </w:r>
      <w:r>
        <w:t xml:space="preserve">appropriate factors are taken into account.  </w:t>
      </w:r>
    </w:p>
    <w:p w14:paraId="04DD0B6D" w14:textId="1208FDFD" w:rsidR="00945EA0" w:rsidRDefault="00945EA0" w:rsidP="00D90A62">
      <w:pPr>
        <w:pStyle w:val="Normalnumber"/>
        <w:numPr>
          <w:ilvl w:val="0"/>
          <w:numId w:val="39"/>
        </w:numPr>
      </w:pPr>
      <w:r>
        <w:t>There are a number of technical issues to be considered. Important among th</w:t>
      </w:r>
      <w:r w:rsidR="00AD4F02">
        <w:t>ose issues</w:t>
      </w:r>
      <w:r>
        <w:t xml:space="preserve"> are sample collection methodology, analytical methodology and data treatment. Standard methodologies have been developed to assess levels of mercury in many different media</w:t>
      </w:r>
      <w:r w:rsidR="00AD4F02">
        <w:t>,</w:t>
      </w:r>
      <w:r>
        <w:t xml:space="preserve"> ensur</w:t>
      </w:r>
      <w:r w:rsidR="00AD4F02">
        <w:t>ing</w:t>
      </w:r>
      <w:r>
        <w:t xml:space="preserve"> consistency and comparability of results using the same methodology. In some cases, results from different methodologies can be compared using information about the methodologies and assessing them against standardi</w:t>
      </w:r>
      <w:r w:rsidR="00AD4F02">
        <w:t>zed</w:t>
      </w:r>
      <w:r>
        <w:t xml:space="preserve"> testing procedures. </w:t>
      </w:r>
      <w:r w:rsidR="00C73709">
        <w:t>In a</w:t>
      </w:r>
      <w:r>
        <w:t>ddition, as new and improved assessment techniques are developed</w:t>
      </w:r>
      <w:r w:rsidRPr="00236C0F">
        <w:t xml:space="preserve">, </w:t>
      </w:r>
      <w:r w:rsidRPr="00025365">
        <w:t xml:space="preserve">information on how such results compare with those obtained from other methodologies needs to be </w:t>
      </w:r>
      <w:r w:rsidR="00025365" w:rsidRPr="00025365">
        <w:t xml:space="preserve">developed and </w:t>
      </w:r>
      <w:r w:rsidR="00AD4F02" w:rsidRPr="00DF3637">
        <w:t>made available</w:t>
      </w:r>
      <w:r w:rsidRPr="00025365">
        <w:t>. Th</w:t>
      </w:r>
      <w:r w:rsidR="00AD4F02" w:rsidRPr="00025365">
        <w:t>at point</w:t>
      </w:r>
      <w:r w:rsidRPr="00025365">
        <w:t xml:space="preserve"> should be considered while such techniques are under development. It is important to recognize that some current technologies will not be </w:t>
      </w:r>
      <w:r w:rsidR="00D90A62" w:rsidRPr="00025365">
        <w:t>readily</w:t>
      </w:r>
      <w:r w:rsidRPr="00025365">
        <w:t xml:space="preserve"> available in all regions. </w:t>
      </w:r>
      <w:r w:rsidR="00A14C63" w:rsidRPr="00025365">
        <w:t>It is also important to i</w:t>
      </w:r>
      <w:r w:rsidRPr="00025365">
        <w:t>nclud</w:t>
      </w:r>
      <w:r w:rsidR="00A14C63" w:rsidRPr="00025365">
        <w:t>e</w:t>
      </w:r>
      <w:r w:rsidRPr="00025365">
        <w:t xml:space="preserve"> data from all regions in an overall assessment of</w:t>
      </w:r>
      <w:r>
        <w:t xml:space="preserve"> the effectiveness of the </w:t>
      </w:r>
      <w:r w:rsidR="00BD280C">
        <w:t xml:space="preserve">Minamata </w:t>
      </w:r>
      <w:r>
        <w:t>Convention</w:t>
      </w:r>
      <w:r w:rsidR="00BD280C">
        <w:t xml:space="preserve"> on Mercury</w:t>
      </w:r>
      <w:r>
        <w:t xml:space="preserve">. Quantitative and representative data with quality assurance and quality control procedures are needed. </w:t>
      </w:r>
    </w:p>
    <w:p w14:paraId="2F0C09DF" w14:textId="4D842808" w:rsidR="00945EA0" w:rsidRDefault="00945EA0">
      <w:pPr>
        <w:pStyle w:val="Normalnumber"/>
        <w:numPr>
          <w:ilvl w:val="0"/>
          <w:numId w:val="39"/>
        </w:numPr>
      </w:pPr>
      <w:r>
        <w:t xml:space="preserve">Comparability of data from a variety of media can </w:t>
      </w:r>
      <w:r w:rsidRPr="00493F8E">
        <w:t>also be</w:t>
      </w:r>
      <w:r>
        <w:t xml:space="preserve"> affected by the rationale for the sampling activities. The purpose </w:t>
      </w:r>
      <w:r w:rsidR="00C73709">
        <w:t>of</w:t>
      </w:r>
      <w:r>
        <w:t xml:space="preserve"> </w:t>
      </w:r>
      <w:r w:rsidR="00AF2C38">
        <w:t xml:space="preserve">the </w:t>
      </w:r>
      <w:r>
        <w:t xml:space="preserve">sampling and analysis may inform the selection of sampling locations or methodology. For example, in selecting monitoring locations and media, national policymakers may focus on identifying hotspots of concern, such as sites with local pollution sources, or may focus on the background mercury levels to which the population may be exposed. While both monitoring programmes may provide useful information to assist national policymakers in making informed decisions, the purpose of data collection </w:t>
      </w:r>
      <w:r w:rsidR="00287CFA">
        <w:t xml:space="preserve">may have an effect </w:t>
      </w:r>
      <w:r>
        <w:t>on the data</w:t>
      </w:r>
      <w:r w:rsidR="00287CFA">
        <w:t>, which</w:t>
      </w:r>
      <w:r>
        <w:t xml:space="preserve"> should be considered when such data </w:t>
      </w:r>
      <w:r w:rsidR="009627CF">
        <w:t>are</w:t>
      </w:r>
      <w:r>
        <w:t xml:space="preserve"> included for evaluation purposes</w:t>
      </w:r>
      <w:r w:rsidR="009627CF">
        <w:t>.</w:t>
      </w:r>
      <w:r>
        <w:t xml:space="preserve"> </w:t>
      </w:r>
      <w:r w:rsidR="000C3408">
        <w:t>A</w:t>
      </w:r>
      <w:r>
        <w:t>dditional monitoring data that reflect the goals of the effectiveness evaluation process</w:t>
      </w:r>
      <w:r w:rsidR="000C3408">
        <w:t xml:space="preserve"> may be necessary, and a</w:t>
      </w:r>
      <w:r>
        <w:t xml:space="preserve">dditional </w:t>
      </w:r>
      <w:r w:rsidRPr="008908B6">
        <w:t>monitoring sites and/or changes to the locations of current monitoring sites in some regions may need to be considered as part of this process.</w:t>
      </w:r>
    </w:p>
    <w:p w14:paraId="7BE38F78" w14:textId="4CBE84E4" w:rsidR="00945EA0" w:rsidRPr="008908B6" w:rsidRDefault="00945EA0" w:rsidP="00132739">
      <w:pPr>
        <w:pStyle w:val="Normalnumber"/>
        <w:numPr>
          <w:ilvl w:val="0"/>
          <w:numId w:val="39"/>
        </w:numPr>
      </w:pPr>
      <w:r>
        <w:t xml:space="preserve">Other factors that affect local </w:t>
      </w:r>
      <w:r w:rsidRPr="008908B6">
        <w:t xml:space="preserve">mercury levels, such </w:t>
      </w:r>
      <w:r w:rsidRPr="00D60601">
        <w:t>as weather</w:t>
      </w:r>
      <w:r w:rsidRPr="008908B6">
        <w:t xml:space="preserve"> patterns, climatic conditions and seasonality</w:t>
      </w:r>
      <w:r w:rsidR="00D65C7E">
        <w:t>,</w:t>
      </w:r>
      <w:r w:rsidRPr="008908B6">
        <w:t xml:space="preserve"> should also be recorded and included with the reported data</w:t>
      </w:r>
      <w:r w:rsidR="000C3408">
        <w:t xml:space="preserve"> </w:t>
      </w:r>
      <w:r w:rsidR="00D65C7E">
        <w:t xml:space="preserve">in order </w:t>
      </w:r>
      <w:r w:rsidRPr="008908B6">
        <w:t xml:space="preserve">to allow consideration </w:t>
      </w:r>
      <w:r w:rsidR="00D65C7E">
        <w:t xml:space="preserve">of those factors </w:t>
      </w:r>
      <w:r w:rsidRPr="008908B6">
        <w:t>in interpretation of the data.</w:t>
      </w:r>
    </w:p>
    <w:p w14:paraId="6403D82A" w14:textId="77E29922" w:rsidR="00945EA0" w:rsidRDefault="00945EA0" w:rsidP="009E591D">
      <w:pPr>
        <w:pStyle w:val="Normalnumber"/>
        <w:numPr>
          <w:ilvl w:val="0"/>
          <w:numId w:val="39"/>
        </w:numPr>
      </w:pPr>
      <w:r>
        <w:t xml:space="preserve">In considering trends </w:t>
      </w:r>
      <w:r w:rsidR="00690931">
        <w:t>in</w:t>
      </w:r>
      <w:r>
        <w:t xml:space="preserve"> levels of mercury and mercury compounds in biotic media and vulnerable populations, the above</w:t>
      </w:r>
      <w:r w:rsidR="00690931">
        <w:t>-mentioned</w:t>
      </w:r>
      <w:r>
        <w:t xml:space="preserve"> factors should be considered. </w:t>
      </w:r>
      <w:r w:rsidR="00760A19">
        <w:t>S</w:t>
      </w:r>
      <w:r>
        <w:t xml:space="preserve">patial </w:t>
      </w:r>
      <w:r w:rsidR="00760A19">
        <w:t xml:space="preserve">and </w:t>
      </w:r>
      <w:r>
        <w:t xml:space="preserve">temporal issues should </w:t>
      </w:r>
      <w:r w:rsidR="00760A19">
        <w:t xml:space="preserve">also </w:t>
      </w:r>
      <w:r>
        <w:t xml:space="preserve">be </w:t>
      </w:r>
      <w:r w:rsidR="00760A19">
        <w:t>taken into account</w:t>
      </w:r>
      <w:r>
        <w:t xml:space="preserve">. Older data may potentially add to the information on temporal trends if </w:t>
      </w:r>
      <w:r w:rsidR="00760A19">
        <w:t xml:space="preserve">the </w:t>
      </w:r>
      <w:r>
        <w:t>criteria for acceptability are in place and if sufficient information is available to determine its comparability to more recent data. Comparison of temporal data may be facilitated by using the same method over time. Attention should be given to modelling methodologies. Modelling is important for filling in monitoring data gaps</w:t>
      </w:r>
      <w:r w:rsidR="009E591D">
        <w:t>,</w:t>
      </w:r>
      <w:r>
        <w:t xml:space="preserve"> but it is also important in linking multimedia data sets. The identification of key indicator species may be needed to ensure </w:t>
      </w:r>
      <w:r w:rsidR="009E591D">
        <w:t xml:space="preserve">that </w:t>
      </w:r>
      <w:r>
        <w:t xml:space="preserve">sufficient comparable and relevant information can be obtained. </w:t>
      </w:r>
    </w:p>
    <w:p w14:paraId="0288C0EB" w14:textId="2F0DA169" w:rsidR="00945EA0" w:rsidRDefault="00945EA0" w:rsidP="00BD280C">
      <w:pPr>
        <w:pStyle w:val="Normalnumber"/>
        <w:numPr>
          <w:ilvl w:val="0"/>
          <w:numId w:val="39"/>
        </w:numPr>
      </w:pPr>
      <w:r>
        <w:t>It is important that there be a global underpinning for the overall assessment of the effectiveness of the Convention</w:t>
      </w:r>
      <w:r w:rsidR="009E591D">
        <w:t>. I</w:t>
      </w:r>
      <w:r>
        <w:t xml:space="preserve">t is therefore desirable to ensure a broad range of data from as many regions as </w:t>
      </w:r>
      <w:r w:rsidR="009E591D">
        <w:t>pos</w:t>
      </w:r>
      <w:r>
        <w:t xml:space="preserve">sible, understanding that available technologies will vary from region to region.  </w:t>
      </w:r>
    </w:p>
    <w:p w14:paraId="535D9BEF" w14:textId="3965D97B" w:rsidR="00945EA0" w:rsidRPr="008908B6" w:rsidRDefault="008908B6" w:rsidP="008908B6">
      <w:pPr>
        <w:pStyle w:val="CH3"/>
      </w:pPr>
      <w:r w:rsidRPr="008908B6">
        <w:tab/>
        <w:t>2.</w:t>
      </w:r>
      <w:r w:rsidRPr="008908B6">
        <w:tab/>
      </w:r>
      <w:r w:rsidR="00945EA0" w:rsidRPr="008908B6">
        <w:t>Establishment of arrangements</w:t>
      </w:r>
    </w:p>
    <w:p w14:paraId="4934123E" w14:textId="4F12EF75" w:rsidR="00945EA0" w:rsidRPr="00D90A62" w:rsidRDefault="00945EA0" w:rsidP="00E47BAC">
      <w:pPr>
        <w:pStyle w:val="Normalnumber"/>
        <w:numPr>
          <w:ilvl w:val="0"/>
          <w:numId w:val="39"/>
        </w:numPr>
      </w:pPr>
      <w:r>
        <w:t xml:space="preserve">In initiating the establishment of </w:t>
      </w:r>
      <w:r w:rsidRPr="008455B8">
        <w:t>arrangements to provide</w:t>
      </w:r>
      <w:r>
        <w:t xml:space="preserve"> comparable monitoring data, an important initial consideration should be the data currently available through established national, subregional, regional or global monitoring programmes. An assessment protocol will be required to determine the quality and applicability in assessing the effectiveness of the Convention. </w:t>
      </w:r>
    </w:p>
    <w:p w14:paraId="6DACAD03" w14:textId="35651C33" w:rsidR="00945EA0" w:rsidRDefault="00945EA0" w:rsidP="00663F93">
      <w:pPr>
        <w:pStyle w:val="Normalnumber"/>
        <w:numPr>
          <w:ilvl w:val="0"/>
          <w:numId w:val="39"/>
        </w:numPr>
      </w:pPr>
      <w:r>
        <w:t>Information on available data has been requested as part of the follow</w:t>
      </w:r>
      <w:r w:rsidR="00663F93">
        <w:t>-</w:t>
      </w:r>
      <w:r>
        <w:t xml:space="preserve">up to both the sixth and seventh sessions of the intergovernmental negotiating committee, and a number of national </w:t>
      </w:r>
      <w:r w:rsidR="00663F93">
        <w:t>G</w:t>
      </w:r>
      <w:r>
        <w:t xml:space="preserve">overnments, subregional organizations and regional organizations have provided information. Some information is also available at the global level. </w:t>
      </w:r>
    </w:p>
    <w:p w14:paraId="147639CA" w14:textId="1E274AC1" w:rsidR="00945EA0" w:rsidRDefault="00663F93" w:rsidP="00E47BAC">
      <w:pPr>
        <w:pStyle w:val="Normalnumber"/>
        <w:numPr>
          <w:ilvl w:val="0"/>
          <w:numId w:val="39"/>
        </w:numPr>
      </w:pPr>
      <w:r>
        <w:t>In</w:t>
      </w:r>
      <w:r w:rsidR="00945EA0">
        <w:t xml:space="preserve"> preparation for </w:t>
      </w:r>
      <w:r>
        <w:t xml:space="preserve">the </w:t>
      </w:r>
      <w:r w:rsidR="00945EA0">
        <w:t xml:space="preserve">implementation of the Convention, many </w:t>
      </w:r>
      <w:r>
        <w:t>G</w:t>
      </w:r>
      <w:r w:rsidR="00945EA0">
        <w:t xml:space="preserve">overnments have undertaken individual assessments of mercury emissions to air and releases to land and water, and developed plans for consideration of point sources of mercury at the national level. For some </w:t>
      </w:r>
      <w:r w:rsidR="00CC0303">
        <w:t>G</w:t>
      </w:r>
      <w:r w:rsidR="00945EA0">
        <w:t xml:space="preserve">overnments, this </w:t>
      </w:r>
      <w:r w:rsidR="00E47BAC">
        <w:t>wa</w:t>
      </w:r>
      <w:r w:rsidR="00945EA0">
        <w:t>s a general assessment at the desk level, while for others</w:t>
      </w:r>
      <w:r w:rsidR="00E47BAC">
        <w:t>,</w:t>
      </w:r>
      <w:r w:rsidR="00945EA0">
        <w:t xml:space="preserve"> a more detailed assessment </w:t>
      </w:r>
      <w:r w:rsidR="00E47BAC">
        <w:t>was</w:t>
      </w:r>
      <w:r w:rsidR="00945EA0">
        <w:t xml:space="preserve"> undertaken. Such data contribute to the body of information on sources of mercury to the environment, which can then be used along with appropriate models for estimating mercury levels locally and more remotely, depending on deposition pathways. </w:t>
      </w:r>
    </w:p>
    <w:p w14:paraId="1693AADD" w14:textId="050A8864" w:rsidR="00945EA0" w:rsidRPr="00AA3441" w:rsidRDefault="00945EA0" w:rsidP="00D90A62">
      <w:pPr>
        <w:pStyle w:val="Normalnumber"/>
        <w:numPr>
          <w:ilvl w:val="0"/>
          <w:numId w:val="39"/>
        </w:numPr>
      </w:pPr>
      <w:r>
        <w:t xml:space="preserve">In addition, the Convention includes an obligation for </w:t>
      </w:r>
      <w:r w:rsidR="00CC0303">
        <w:t>each</w:t>
      </w:r>
      <w:r>
        <w:t xml:space="preserve"> </w:t>
      </w:r>
      <w:r w:rsidR="000D64DB">
        <w:t>p</w:t>
      </w:r>
      <w:r>
        <w:t>art</w:t>
      </w:r>
      <w:r w:rsidR="00CC0303">
        <w:t>y</w:t>
      </w:r>
      <w:r>
        <w:t xml:space="preserve"> to establish an inventory of emissions from relevant sources</w:t>
      </w:r>
      <w:r w:rsidR="00CC0303">
        <w:t>,</w:t>
      </w:r>
      <w:r>
        <w:t xml:space="preserve"> as specified in </w:t>
      </w:r>
      <w:r w:rsidR="00CC0303">
        <w:t>a</w:t>
      </w:r>
      <w:r>
        <w:t xml:space="preserve">rticle 8 and </w:t>
      </w:r>
      <w:r w:rsidR="00CC0303">
        <w:t>a</w:t>
      </w:r>
      <w:r>
        <w:t>nnex D</w:t>
      </w:r>
      <w:r w:rsidR="00CC0303">
        <w:t>,</w:t>
      </w:r>
      <w:r>
        <w:t xml:space="preserve"> no later than five years after the date of entry into force of the Convention</w:t>
      </w:r>
      <w:r w:rsidR="00B721D6">
        <w:t xml:space="preserve"> </w:t>
      </w:r>
      <w:r w:rsidR="00025365">
        <w:t>for it</w:t>
      </w:r>
      <w:r>
        <w:t xml:space="preserve">. </w:t>
      </w:r>
      <w:r w:rsidR="00B721D6">
        <w:t>Such</w:t>
      </w:r>
      <w:r>
        <w:t xml:space="preserve"> inventories may provide useful data in the future. </w:t>
      </w:r>
      <w:r w:rsidR="00B721D6">
        <w:t>As specified in article 9, e</w:t>
      </w:r>
      <w:r>
        <w:t xml:space="preserve">ach </w:t>
      </w:r>
      <w:r w:rsidR="000D64DB">
        <w:t>p</w:t>
      </w:r>
      <w:r>
        <w:t xml:space="preserve">arty is </w:t>
      </w:r>
      <w:r w:rsidR="00B721D6">
        <w:t xml:space="preserve">also </w:t>
      </w:r>
      <w:r>
        <w:t>obliged to establish an inventory of releases of mercury from relevant sources</w:t>
      </w:r>
      <w:r w:rsidR="00B721D6">
        <w:t>, which will provide additional data,</w:t>
      </w:r>
      <w:r>
        <w:t xml:space="preserve"> no later than five years after the date of entry into force of the Convention</w:t>
      </w:r>
      <w:r w:rsidR="00D90A62">
        <w:t xml:space="preserve"> for it</w:t>
      </w:r>
      <w:r>
        <w:t xml:space="preserve">. </w:t>
      </w:r>
      <w:r w:rsidR="00B721D6">
        <w:t xml:space="preserve">Each </w:t>
      </w:r>
      <w:r w:rsidR="000D64DB">
        <w:t>p</w:t>
      </w:r>
      <w:r>
        <w:t>art</w:t>
      </w:r>
      <w:r w:rsidR="00B721D6">
        <w:t>y</w:t>
      </w:r>
      <w:r>
        <w:t xml:space="preserve"> will </w:t>
      </w:r>
      <w:r w:rsidR="00321838">
        <w:t>further</w:t>
      </w:r>
      <w:r>
        <w:t xml:space="preserve"> have </w:t>
      </w:r>
      <w:r w:rsidR="00B721D6">
        <w:t xml:space="preserve">an </w:t>
      </w:r>
      <w:r>
        <w:t xml:space="preserve">obligation to report on </w:t>
      </w:r>
      <w:r w:rsidR="00B721D6">
        <w:t>its</w:t>
      </w:r>
      <w:r>
        <w:t xml:space="preserve"> implementation of the Convention. While the format for reporting </w:t>
      </w:r>
      <w:r w:rsidR="00B721D6">
        <w:t>has</w:t>
      </w:r>
      <w:r>
        <w:t xml:space="preserve"> not yet </w:t>
      </w:r>
      <w:r w:rsidR="00B721D6">
        <w:t xml:space="preserve">been </w:t>
      </w:r>
      <w:r>
        <w:t>finalized, quantitative data on mercury emissions and releases m</w:t>
      </w:r>
      <w:r w:rsidR="00E47BAC">
        <w:t>ight</w:t>
      </w:r>
      <w:r>
        <w:t xml:space="preserve"> be obtained through </w:t>
      </w:r>
      <w:r w:rsidR="00E47BAC">
        <w:t>those</w:t>
      </w:r>
      <w:r>
        <w:t xml:space="preserve"> report</w:t>
      </w:r>
      <w:r w:rsidR="00E47BAC">
        <w:t>s</w:t>
      </w:r>
      <w:r>
        <w:t xml:space="preserve">. Information from </w:t>
      </w:r>
      <w:r w:rsidR="00321838">
        <w:t xml:space="preserve">each </w:t>
      </w:r>
      <w:r w:rsidR="000D64DB">
        <w:t>p</w:t>
      </w:r>
      <w:r>
        <w:t>art</w:t>
      </w:r>
      <w:r w:rsidR="00321838">
        <w:t>y</w:t>
      </w:r>
      <w:r>
        <w:t xml:space="preserve"> should be </w:t>
      </w:r>
      <w:r w:rsidRPr="00236C0F">
        <w:t>provided through a national focal point.</w:t>
      </w:r>
    </w:p>
    <w:p w14:paraId="3A0EA7C4" w14:textId="3E09F261" w:rsidR="00945EA0" w:rsidRDefault="00945EA0">
      <w:pPr>
        <w:pStyle w:val="Normalnumber"/>
        <w:numPr>
          <w:ilvl w:val="0"/>
          <w:numId w:val="39"/>
        </w:numPr>
      </w:pPr>
      <w:r w:rsidRPr="00AA3441">
        <w:t>In evaluati</w:t>
      </w:r>
      <w:r w:rsidR="00321838" w:rsidRPr="00AA3441">
        <w:t>ng</w:t>
      </w:r>
      <w:r w:rsidRPr="00AA3441">
        <w:t xml:space="preserve"> mercury in human populations, susceptibility (</w:t>
      </w:r>
      <w:r w:rsidR="00AA3441" w:rsidRPr="002238C7">
        <w:t>for example, of</w:t>
      </w:r>
      <w:r w:rsidRPr="00AA3441">
        <w:t xml:space="preserve"> children and pregnant women)</w:t>
      </w:r>
      <w:r w:rsidR="003366A8" w:rsidRPr="00AA3441">
        <w:t xml:space="preserve"> </w:t>
      </w:r>
      <w:r w:rsidRPr="00AA3441">
        <w:t>and exposure (</w:t>
      </w:r>
      <w:r w:rsidR="00AA3441" w:rsidRPr="00AA3441">
        <w:t>for example,</w:t>
      </w:r>
      <w:r w:rsidR="006548C4" w:rsidRPr="00AA3441">
        <w:t xml:space="preserve"> </w:t>
      </w:r>
      <w:r w:rsidR="00246698" w:rsidRPr="00AA3441">
        <w:t xml:space="preserve">through the consumption of contaminated </w:t>
      </w:r>
      <w:r w:rsidRPr="00AA3441">
        <w:t xml:space="preserve">fish </w:t>
      </w:r>
      <w:r w:rsidR="00246698" w:rsidRPr="002238C7">
        <w:t xml:space="preserve">and </w:t>
      </w:r>
      <w:r w:rsidR="00AA3441" w:rsidRPr="002238C7">
        <w:t xml:space="preserve">marine </w:t>
      </w:r>
      <w:r w:rsidRPr="00236C0F">
        <w:t>mammal</w:t>
      </w:r>
      <w:r w:rsidR="00246698" w:rsidRPr="002238C7">
        <w:t>s</w:t>
      </w:r>
      <w:r w:rsidRPr="00AA3441">
        <w:t xml:space="preserve"> </w:t>
      </w:r>
      <w:r w:rsidR="00246698" w:rsidRPr="00AA3441">
        <w:t>and through artisanal and small-scale gold</w:t>
      </w:r>
      <w:r w:rsidR="00246698">
        <w:t xml:space="preserve"> mining</w:t>
      </w:r>
      <w:r w:rsidRPr="00902742">
        <w:t>)</w:t>
      </w:r>
      <w:r>
        <w:t xml:space="preserve"> </w:t>
      </w:r>
      <w:r w:rsidRPr="008455B8">
        <w:t>should be</w:t>
      </w:r>
      <w:r>
        <w:t xml:space="preserve"> considered. There may be a need to assess exposure </w:t>
      </w:r>
      <w:r w:rsidRPr="00902742">
        <w:t xml:space="preserve">to methyl </w:t>
      </w:r>
      <w:r>
        <w:t xml:space="preserve">mercury through </w:t>
      </w:r>
      <w:r w:rsidRPr="00902742">
        <w:t xml:space="preserve">hair analysis of </w:t>
      </w:r>
      <w:r w:rsidR="00246698">
        <w:t xml:space="preserve">the </w:t>
      </w:r>
      <w:r w:rsidRPr="00902742">
        <w:t>mother</w:t>
      </w:r>
      <w:r w:rsidR="00B05052">
        <w:t>,</w:t>
      </w:r>
      <w:r w:rsidRPr="00902742">
        <w:t xml:space="preserve"> cord blood analysis for </w:t>
      </w:r>
      <w:r w:rsidR="00246698">
        <w:t xml:space="preserve">the </w:t>
      </w:r>
      <w:r w:rsidRPr="00902742">
        <w:t>fetus/baby</w:t>
      </w:r>
      <w:r>
        <w:t xml:space="preserve"> </w:t>
      </w:r>
      <w:r w:rsidR="00B05052">
        <w:t>and/or</w:t>
      </w:r>
      <w:r>
        <w:t xml:space="preserve"> </w:t>
      </w:r>
      <w:r w:rsidR="00B05052">
        <w:t xml:space="preserve">urine analysis to measure </w:t>
      </w:r>
      <w:r w:rsidRPr="00902742">
        <w:t xml:space="preserve">inorganic </w:t>
      </w:r>
      <w:r>
        <w:t>mercury exposure.</w:t>
      </w:r>
      <w:r w:rsidRPr="00902742">
        <w:t xml:space="preserve"> Biota monitoring should be linked to environmental</w:t>
      </w:r>
      <w:r>
        <w:t xml:space="preserve"> media and human biomonitoring</w:t>
      </w:r>
      <w:r w:rsidR="00B05052">
        <w:t>. T</w:t>
      </w:r>
      <w:r>
        <w:t>here will need to be a</w:t>
      </w:r>
      <w:r w:rsidRPr="00902742">
        <w:t xml:space="preserve"> way to </w:t>
      </w:r>
      <w:r w:rsidRPr="00236C0F">
        <w:t xml:space="preserve">evaluate </w:t>
      </w:r>
      <w:r w:rsidR="00615F43" w:rsidRPr="00236C0F">
        <w:t xml:space="preserve">mercury </w:t>
      </w:r>
      <w:r w:rsidRPr="00236C0F">
        <w:t>levels in a</w:t>
      </w:r>
      <w:r w:rsidRPr="00902742">
        <w:t xml:space="preserve"> regional ecosystem and environment</w:t>
      </w:r>
      <w:r>
        <w:t xml:space="preserve"> </w:t>
      </w:r>
      <w:r w:rsidR="00B05052">
        <w:t>and</w:t>
      </w:r>
      <w:r>
        <w:t xml:space="preserve"> </w:t>
      </w:r>
      <w:r w:rsidRPr="00902742">
        <w:t xml:space="preserve">to </w:t>
      </w:r>
      <w:r w:rsidR="00615F43">
        <w:t>further measure</w:t>
      </w:r>
      <w:r w:rsidRPr="00902742">
        <w:t xml:space="preserve"> </w:t>
      </w:r>
      <w:r w:rsidR="00615F43">
        <w:t>its</w:t>
      </w:r>
      <w:r w:rsidR="00615F43" w:rsidRPr="00902742">
        <w:t xml:space="preserve"> </w:t>
      </w:r>
      <w:r w:rsidRPr="00902742">
        <w:t>levels in foods (</w:t>
      </w:r>
      <w:r w:rsidR="00B05052">
        <w:t xml:space="preserve">from both </w:t>
      </w:r>
      <w:r w:rsidRPr="00902742">
        <w:t>sea</w:t>
      </w:r>
      <w:r w:rsidR="00B05052">
        <w:t xml:space="preserve"> and </w:t>
      </w:r>
      <w:r w:rsidRPr="00902742">
        <w:t>land)</w:t>
      </w:r>
      <w:r>
        <w:t>. Assessment should be h</w:t>
      </w:r>
      <w:r w:rsidRPr="00902742">
        <w:t>armoniz</w:t>
      </w:r>
      <w:r>
        <w:t>ed</w:t>
      </w:r>
      <w:r w:rsidRPr="00902742">
        <w:t xml:space="preserve"> with existing protocol</w:t>
      </w:r>
      <w:r>
        <w:t>s</w:t>
      </w:r>
      <w:r w:rsidRPr="00902742">
        <w:t xml:space="preserve"> on sample collection</w:t>
      </w:r>
      <w:r w:rsidR="00615F43">
        <w:t xml:space="preserve">, </w:t>
      </w:r>
      <w:r w:rsidRPr="00902742">
        <w:t>analysis</w:t>
      </w:r>
      <w:r w:rsidR="00615F43">
        <w:t xml:space="preserve"> and </w:t>
      </w:r>
      <w:r w:rsidRPr="00902742">
        <w:t>reporting</w:t>
      </w:r>
      <w:r>
        <w:t>.</w:t>
      </w:r>
    </w:p>
    <w:p w14:paraId="5F46EEFB" w14:textId="59B09747" w:rsidR="00945EA0" w:rsidRDefault="00945EA0" w:rsidP="00E76977">
      <w:pPr>
        <w:pStyle w:val="Normalnumber"/>
        <w:numPr>
          <w:ilvl w:val="0"/>
          <w:numId w:val="39"/>
        </w:numPr>
      </w:pPr>
      <w:r>
        <w:t xml:space="preserve">Global assessments of mercury levels in the environment have been undertaken by </w:t>
      </w:r>
      <w:r w:rsidR="00D642A0">
        <w:t>the United Nations Environment Programme (</w:t>
      </w:r>
      <w:r>
        <w:t>UNEP</w:t>
      </w:r>
      <w:r w:rsidR="00D642A0">
        <w:t>)</w:t>
      </w:r>
      <w:r>
        <w:t xml:space="preserve"> using a combination of actual and modelled data, with a new technical assessment expected in 2018.  </w:t>
      </w:r>
    </w:p>
    <w:p w14:paraId="3F4AF8C9" w14:textId="50285C6E" w:rsidR="00945EA0" w:rsidRDefault="00945EA0" w:rsidP="000970CD">
      <w:pPr>
        <w:pStyle w:val="Normalnumber"/>
        <w:numPr>
          <w:ilvl w:val="0"/>
          <w:numId w:val="39"/>
        </w:numPr>
      </w:pPr>
      <w:r>
        <w:t>A global database of chemical contaminants in food</w:t>
      </w:r>
      <w:r w:rsidR="00CC551D">
        <w:t>,</w:t>
      </w:r>
      <w:r>
        <w:t xml:space="preserve"> </w:t>
      </w:r>
      <w:r w:rsidRPr="00236C0F">
        <w:t xml:space="preserve">the </w:t>
      </w:r>
      <w:r w:rsidR="00C959E8" w:rsidRPr="00236C0F">
        <w:t>Global Environment Monitoring System</w:t>
      </w:r>
      <w:r w:rsidR="00094C60">
        <w:t xml:space="preserve"> </w:t>
      </w:r>
      <w:r w:rsidR="00C959E8" w:rsidRPr="00236C0F">
        <w:t>– Food Contamination Monitoring and Assessment Programme</w:t>
      </w:r>
      <w:r w:rsidR="00094C60">
        <w:t xml:space="preserve"> (GEMS/Food)</w:t>
      </w:r>
      <w:r w:rsidRPr="00236C0F">
        <w:t xml:space="preserve"> database</w:t>
      </w:r>
      <w:r>
        <w:t xml:space="preserve"> has extensive data on the levels of mercury</w:t>
      </w:r>
      <w:r w:rsidR="00CC551D">
        <w:t>. The database currently includes</w:t>
      </w:r>
      <w:r>
        <w:t xml:space="preserve"> analytical results for over 75,000 samples </w:t>
      </w:r>
      <w:r w:rsidR="00CC551D">
        <w:t>relating to</w:t>
      </w:r>
      <w:r>
        <w:t xml:space="preserve"> elemental mercury and over 1</w:t>
      </w:r>
      <w:r w:rsidR="003366A8">
        <w:t>,</w:t>
      </w:r>
      <w:r>
        <w:t xml:space="preserve">000 samples </w:t>
      </w:r>
      <w:r w:rsidR="00CC551D">
        <w:t>involving</w:t>
      </w:r>
      <w:r>
        <w:t xml:space="preserve"> methyl mercury. The methyl mercury samples were obtained from biota</w:t>
      </w:r>
      <w:r w:rsidR="00A27419">
        <w:t>,</w:t>
      </w:r>
      <w:r>
        <w:t xml:space="preserve"> mainly different fish species, but also seafood and some mammalian samples</w:t>
      </w:r>
      <w:r w:rsidR="00A27419">
        <w:t>.</w:t>
      </w:r>
      <w:r>
        <w:t xml:space="preserve"> </w:t>
      </w:r>
      <w:r w:rsidR="00A27419">
        <w:t>These</w:t>
      </w:r>
      <w:r>
        <w:t xml:space="preserve"> data may provide useful input on the levels of mercury in biota. </w:t>
      </w:r>
    </w:p>
    <w:p w14:paraId="3A371C8C" w14:textId="2D41BBD7" w:rsidR="00945EA0" w:rsidRDefault="00945EA0" w:rsidP="00E23510">
      <w:pPr>
        <w:pStyle w:val="Normalnumber"/>
        <w:numPr>
          <w:ilvl w:val="0"/>
          <w:numId w:val="39"/>
        </w:numPr>
      </w:pPr>
      <w:r>
        <w:t>For atmospheric monitoring, there</w:t>
      </w:r>
      <w:r w:rsidRPr="00902742">
        <w:t xml:space="preserve"> are good existing networks </w:t>
      </w:r>
      <w:r w:rsidR="00A27419">
        <w:t xml:space="preserve">that </w:t>
      </w:r>
      <w:r>
        <w:t xml:space="preserve">may be used for information on </w:t>
      </w:r>
      <w:r w:rsidRPr="00902742">
        <w:t xml:space="preserve">mercury. For marine monitoring, </w:t>
      </w:r>
      <w:r>
        <w:t xml:space="preserve">a </w:t>
      </w:r>
      <w:r w:rsidRPr="00902742">
        <w:t xml:space="preserve">global research programme </w:t>
      </w:r>
      <w:r>
        <w:t xml:space="preserve">may </w:t>
      </w:r>
      <w:r w:rsidRPr="00902742">
        <w:t xml:space="preserve">be </w:t>
      </w:r>
      <w:r>
        <w:t xml:space="preserve">a </w:t>
      </w:r>
      <w:r w:rsidRPr="00902742">
        <w:t xml:space="preserve">suitable </w:t>
      </w:r>
      <w:r>
        <w:t xml:space="preserve">mechanism </w:t>
      </w:r>
      <w:r w:rsidR="00A27419">
        <w:t>owing</w:t>
      </w:r>
      <w:r>
        <w:t xml:space="preserve"> to </w:t>
      </w:r>
      <w:r w:rsidRPr="00902742">
        <w:t xml:space="preserve">the </w:t>
      </w:r>
      <w:r>
        <w:t xml:space="preserve">international nature of the oceans. </w:t>
      </w:r>
      <w:r w:rsidRPr="00902742">
        <w:t>For biota monitoring, networking will be significantly different among particular species to be selected by the Convention, e.g. marine, coastal or terrestrial species.</w:t>
      </w:r>
      <w:r>
        <w:t xml:space="preserve"> </w:t>
      </w:r>
      <w:r w:rsidRPr="00902742">
        <w:t>For human biomonitoring,</w:t>
      </w:r>
      <w:r>
        <w:t xml:space="preserve"> reporting </w:t>
      </w:r>
      <w:r w:rsidR="00E23510">
        <w:t xml:space="preserve">performed </w:t>
      </w:r>
      <w:r>
        <w:t xml:space="preserve">under national action plans could provide information on exposure resulting from </w:t>
      </w:r>
      <w:r w:rsidR="00E23510" w:rsidRPr="00E23510">
        <w:t>artisanal and small-scale gold mining</w:t>
      </w:r>
      <w:r>
        <w:t>, while for exposure resulting from fish consumption there may need to be national efforts to identify vulnerable populations</w:t>
      </w:r>
      <w:r w:rsidRPr="00902742">
        <w:t xml:space="preserve">. </w:t>
      </w:r>
    </w:p>
    <w:p w14:paraId="6F4F056B" w14:textId="2035353E" w:rsidR="00945EA0" w:rsidRDefault="00945EA0" w:rsidP="00132739">
      <w:pPr>
        <w:pStyle w:val="Normalnumber"/>
        <w:numPr>
          <w:ilvl w:val="0"/>
          <w:numId w:val="39"/>
        </w:numPr>
      </w:pPr>
      <w:r>
        <w:t>Taking the existing data availability and quality, the Conference</w:t>
      </w:r>
      <w:r w:rsidR="005530F1">
        <w:t xml:space="preserve"> of the Parties</w:t>
      </w:r>
      <w:r>
        <w:t xml:space="preserve"> may wish to consider whether there is a need for additional monitoring capacity, or whether efforts should be directed towards compilation and analysis of existing data sources. Consideration of this complex issue </w:t>
      </w:r>
      <w:r w:rsidR="00E23510">
        <w:t xml:space="preserve">and </w:t>
      </w:r>
      <w:r>
        <w:t>the development of plans for additional monitoring may best be handled by referring it</w:t>
      </w:r>
      <w:r w:rsidR="00E23510">
        <w:t xml:space="preserve"> </w:t>
      </w:r>
      <w:r>
        <w:t xml:space="preserve">to a technical group. </w:t>
      </w:r>
    </w:p>
    <w:p w14:paraId="458FBC8D" w14:textId="0964BAC4" w:rsidR="00945EA0" w:rsidRPr="008908B6" w:rsidRDefault="008908B6" w:rsidP="008908B6">
      <w:pPr>
        <w:pStyle w:val="CH3"/>
      </w:pPr>
      <w:r w:rsidRPr="008908B6">
        <w:tab/>
        <w:t>3.</w:t>
      </w:r>
      <w:r w:rsidRPr="008908B6">
        <w:tab/>
      </w:r>
      <w:r w:rsidR="00945EA0" w:rsidRPr="008908B6">
        <w:t>Costs</w:t>
      </w:r>
    </w:p>
    <w:p w14:paraId="36414F9B" w14:textId="04E4418D" w:rsidR="00945EA0" w:rsidRPr="00D90A62" w:rsidRDefault="00945EA0" w:rsidP="00D10973">
      <w:pPr>
        <w:pStyle w:val="Normalnumber"/>
        <w:numPr>
          <w:ilvl w:val="0"/>
          <w:numId w:val="39"/>
        </w:numPr>
      </w:pPr>
      <w:r>
        <w:t>In establishing arrangements to provide comparable monitoring data, the issue of cost will need to be considered.</w:t>
      </w:r>
    </w:p>
    <w:p w14:paraId="0297B3BF" w14:textId="3FAC2CEE" w:rsidR="00945EA0" w:rsidRDefault="00945EA0" w:rsidP="00236C0F">
      <w:pPr>
        <w:pStyle w:val="Normalnumber"/>
        <w:numPr>
          <w:ilvl w:val="0"/>
          <w:numId w:val="39"/>
        </w:numPr>
      </w:pPr>
      <w:r>
        <w:t xml:space="preserve">The process of compiling existing </w:t>
      </w:r>
      <w:r w:rsidRPr="00BD7A45">
        <w:t>data has direct</w:t>
      </w:r>
      <w:r>
        <w:t xml:space="preserve"> costs at the secretariat level, as time is required to source the data and pr</w:t>
      </w:r>
      <w:r w:rsidR="00D10973">
        <w:t>epare</w:t>
      </w:r>
      <w:r>
        <w:t xml:space="preserve"> </w:t>
      </w:r>
      <w:r w:rsidR="00D10973">
        <w:t xml:space="preserve">the </w:t>
      </w:r>
      <w:r>
        <w:t xml:space="preserve">compilation. </w:t>
      </w:r>
      <w:r w:rsidR="00655EED">
        <w:t>In a</w:t>
      </w:r>
      <w:r>
        <w:t xml:space="preserve">ddition, costs </w:t>
      </w:r>
      <w:r w:rsidR="00D10973">
        <w:t>are incurred by</w:t>
      </w:r>
      <w:r>
        <w:t xml:space="preserve"> all </w:t>
      </w:r>
      <w:r w:rsidR="00D10973">
        <w:t>G</w:t>
      </w:r>
      <w:r>
        <w:t xml:space="preserve">overnments and institutions </w:t>
      </w:r>
      <w:r w:rsidR="00D10973">
        <w:t xml:space="preserve">that </w:t>
      </w:r>
      <w:r>
        <w:t>respond to calls for submissions and provision of information, as the compilation and submission process require</w:t>
      </w:r>
      <w:r w:rsidR="00E23510">
        <w:t>s</w:t>
      </w:r>
      <w:r>
        <w:t xml:space="preserve"> staff time. </w:t>
      </w:r>
    </w:p>
    <w:p w14:paraId="10D74FFA" w14:textId="453E06CC" w:rsidR="00945EA0" w:rsidRDefault="00945EA0">
      <w:pPr>
        <w:pStyle w:val="Normalnumber"/>
        <w:numPr>
          <w:ilvl w:val="0"/>
          <w:numId w:val="39"/>
        </w:numPr>
      </w:pPr>
      <w:r w:rsidRPr="00A96AC4">
        <w:t xml:space="preserve">Efforts may need to be taken to ensure comparability, ideally during the process of data collection and prior to </w:t>
      </w:r>
      <w:r w:rsidR="0098494C" w:rsidRPr="00A96AC4">
        <w:t>its</w:t>
      </w:r>
      <w:r w:rsidRPr="00A96AC4">
        <w:t xml:space="preserve"> submission. </w:t>
      </w:r>
      <w:r w:rsidR="008A35AB" w:rsidRPr="00A96AC4">
        <w:t xml:space="preserve">However, </w:t>
      </w:r>
      <w:r w:rsidRPr="00A96AC4">
        <w:t xml:space="preserve">in the initial period following entry into force, </w:t>
      </w:r>
      <w:r w:rsidR="008A35AB" w:rsidRPr="00A96AC4">
        <w:t>in particular</w:t>
      </w:r>
      <w:r w:rsidRPr="00A96AC4">
        <w:t>, a variety of data may be provided</w:t>
      </w:r>
      <w:r w:rsidR="00132739" w:rsidRPr="002238C7">
        <w:t xml:space="preserve"> </w:t>
      </w:r>
      <w:r w:rsidRPr="00A96AC4">
        <w:t>for which comparability will need to be determined. Th</w:t>
      </w:r>
      <w:r w:rsidR="008A35AB" w:rsidRPr="00A96AC4">
        <w:t>at</w:t>
      </w:r>
      <w:r w:rsidRPr="00A96AC4">
        <w:t xml:space="preserve"> may require evaluation of the data and associated information</w:t>
      </w:r>
      <w:r w:rsidR="00A96AC4" w:rsidRPr="00A96AC4">
        <w:t>, which, in turn</w:t>
      </w:r>
      <w:r w:rsidRPr="00A96AC4">
        <w:t xml:space="preserve"> may require expert input. </w:t>
      </w:r>
      <w:r w:rsidR="00132739" w:rsidRPr="00A96AC4">
        <w:t>Under c</w:t>
      </w:r>
      <w:r w:rsidRPr="00A96AC4">
        <w:t xml:space="preserve">ertain </w:t>
      </w:r>
      <w:r w:rsidR="00132739" w:rsidRPr="00A96AC4">
        <w:t xml:space="preserve">mechanisms </w:t>
      </w:r>
      <w:r w:rsidRPr="00A96AC4">
        <w:t>(</w:t>
      </w:r>
      <w:r w:rsidR="00A96AC4">
        <w:t>for example</w:t>
      </w:r>
      <w:r w:rsidR="001E53BD" w:rsidRPr="00A96AC4">
        <w:t>, the Convention on Long-Range Transboundary Air Pollution</w:t>
      </w:r>
      <w:r w:rsidRPr="00A96AC4">
        <w:t>)</w:t>
      </w:r>
      <w:r w:rsidR="00132739" w:rsidRPr="00A96AC4">
        <w:t>,</w:t>
      </w:r>
      <w:r w:rsidRPr="00A96AC4">
        <w:t xml:space="preserve"> quality assurance programmes </w:t>
      </w:r>
      <w:r w:rsidR="00132739" w:rsidRPr="00A96AC4">
        <w:t xml:space="preserve">are administered </w:t>
      </w:r>
      <w:r w:rsidRPr="00A96AC4">
        <w:t xml:space="preserve">that increase confidence in the data but </w:t>
      </w:r>
      <w:r>
        <w:t xml:space="preserve">incur costs. </w:t>
      </w:r>
    </w:p>
    <w:p w14:paraId="2F23D608" w14:textId="2DF5704B" w:rsidR="00945EA0" w:rsidRDefault="00945EA0" w:rsidP="00AB6BEE">
      <w:pPr>
        <w:pStyle w:val="Normalnumber"/>
        <w:numPr>
          <w:ilvl w:val="0"/>
          <w:numId w:val="39"/>
        </w:numPr>
      </w:pPr>
      <w:r>
        <w:t>Expert meetings incur financial costs</w:t>
      </w:r>
      <w:r w:rsidR="001E53BD">
        <w:t>,</w:t>
      </w:r>
      <w:r>
        <w:t xml:space="preserve"> </w:t>
      </w:r>
      <w:r w:rsidRPr="00345900">
        <w:t>including through</w:t>
      </w:r>
      <w:r>
        <w:t xml:space="preserve"> support for participant travel and the costs associated with the work of the secretariat. There are also costs for time </w:t>
      </w:r>
      <w:r w:rsidR="00AB6BEE">
        <w:t xml:space="preserve">invested </w:t>
      </w:r>
      <w:r w:rsidR="001E53BD">
        <w:t>by experts</w:t>
      </w:r>
      <w:r w:rsidR="00AB6BEE">
        <w:t>,</w:t>
      </w:r>
      <w:r w:rsidR="001E53BD">
        <w:t xml:space="preserve"> in</w:t>
      </w:r>
      <w:r w:rsidR="00AB6BEE">
        <w:t>cluding</w:t>
      </w:r>
      <w:r>
        <w:t xml:space="preserve"> </w:t>
      </w:r>
      <w:r w:rsidR="00E47152">
        <w:t xml:space="preserve">doing </w:t>
      </w:r>
      <w:r>
        <w:t>preparatory work, drafting documents, reviewing and editing, and participati</w:t>
      </w:r>
      <w:r w:rsidR="001E53BD">
        <w:t>ng</w:t>
      </w:r>
      <w:r>
        <w:t xml:space="preserve"> in </w:t>
      </w:r>
      <w:r w:rsidR="001E53BD">
        <w:t xml:space="preserve">the </w:t>
      </w:r>
      <w:r>
        <w:t xml:space="preserve">meetings. </w:t>
      </w:r>
    </w:p>
    <w:p w14:paraId="0CD6C1D5" w14:textId="09347653" w:rsidR="00945EA0" w:rsidRDefault="00945EA0" w:rsidP="001E53BD">
      <w:pPr>
        <w:pStyle w:val="Normalnumber"/>
        <w:numPr>
          <w:ilvl w:val="0"/>
          <w:numId w:val="39"/>
        </w:numPr>
      </w:pPr>
      <w:r>
        <w:t xml:space="preserve">As stated in </w:t>
      </w:r>
      <w:r w:rsidR="001E53BD">
        <w:t>paragraph 3 of a</w:t>
      </w:r>
      <w:r>
        <w:t>rticle 22, the evaluation shall be conducted on the basis of available information. Therefore, existing monitoring systems at national, regional and global scales w</w:t>
      </w:r>
      <w:r w:rsidR="001E53BD">
        <w:t>ill</w:t>
      </w:r>
      <w:r>
        <w:t xml:space="preserve"> form the basis for the establishment of arrangements for providing comparable monitoring data. </w:t>
      </w:r>
      <w:r w:rsidR="001E53BD">
        <w:t>If</w:t>
      </w:r>
      <w:r>
        <w:t xml:space="preserve"> the Conference</w:t>
      </w:r>
      <w:r w:rsidR="005530F1">
        <w:t xml:space="preserve"> of the Parties</w:t>
      </w:r>
      <w:r>
        <w:t xml:space="preserve"> determine</w:t>
      </w:r>
      <w:r w:rsidR="001E53BD">
        <w:t>s</w:t>
      </w:r>
      <w:r>
        <w:t xml:space="preserve"> that additional monitoring activities w</w:t>
      </w:r>
      <w:r w:rsidR="001E53BD">
        <w:t>ill</w:t>
      </w:r>
      <w:r>
        <w:t xml:space="preserve"> facilitate the effectiveness evaluation, the costs that such activities incur on a one-time or ongoing basis should be taken into consideration. </w:t>
      </w:r>
    </w:p>
    <w:p w14:paraId="3AEE86DA" w14:textId="3B040C29" w:rsidR="00945EA0" w:rsidRPr="00DF3460" w:rsidRDefault="00945EA0" w:rsidP="00040D2B">
      <w:pPr>
        <w:pStyle w:val="Normalnumber"/>
        <w:numPr>
          <w:ilvl w:val="0"/>
          <w:numId w:val="39"/>
        </w:numPr>
      </w:pPr>
      <w:r>
        <w:t xml:space="preserve">Any additional monitoring activities set up by the Conference </w:t>
      </w:r>
      <w:r w:rsidR="005530F1">
        <w:t xml:space="preserve">of the Parties </w:t>
      </w:r>
      <w:r>
        <w:t xml:space="preserve">will incur costs, as will activities </w:t>
      </w:r>
      <w:r w:rsidR="00DC41EB">
        <w:t>t</w:t>
      </w:r>
      <w:r>
        <w:t>h</w:t>
      </w:r>
      <w:r w:rsidR="00DC41EB">
        <w:t>at</w:t>
      </w:r>
      <w:r>
        <w:t xml:space="preserve"> </w:t>
      </w:r>
      <w:r w:rsidR="00DC41EB">
        <w:t>G</w:t>
      </w:r>
      <w:r>
        <w:t xml:space="preserve">overnments determine </w:t>
      </w:r>
      <w:r w:rsidR="00DC41EB">
        <w:t>to be</w:t>
      </w:r>
      <w:r>
        <w:t xml:space="preserve"> required at the national level for their implementation of the Convention. The use of regional monitoring approaches may reduce such costs on a country</w:t>
      </w:r>
      <w:r w:rsidR="00345900">
        <w:noBreakHyphen/>
      </w:r>
      <w:r>
        <w:t>by</w:t>
      </w:r>
      <w:r w:rsidR="00345900">
        <w:noBreakHyphen/>
      </w:r>
      <w:r>
        <w:t xml:space="preserve">country </w:t>
      </w:r>
      <w:r w:rsidRPr="00236C0F">
        <w:t>basis</w:t>
      </w:r>
      <w:r w:rsidRPr="00DF3460">
        <w:t xml:space="preserve"> and lead to improved efficiency. The sustainability of any monitoring activities will require a level of commitment, in particular to ensure proper capacity</w:t>
      </w:r>
      <w:r w:rsidR="00DC41EB" w:rsidRPr="00DF3460">
        <w:t>-</w:t>
      </w:r>
      <w:r w:rsidRPr="00DF3460">
        <w:t xml:space="preserve">building, training, ongoing data collection and analysis. </w:t>
      </w:r>
    </w:p>
    <w:p w14:paraId="11DE90B9" w14:textId="746D3352" w:rsidR="00945EA0" w:rsidRDefault="00945EA0" w:rsidP="008908B6">
      <w:pPr>
        <w:pStyle w:val="CH2"/>
        <w:rPr>
          <w:bCs/>
        </w:rPr>
      </w:pPr>
      <w:r w:rsidRPr="00DF3460">
        <w:rPr>
          <w:bCs/>
        </w:rPr>
        <w:tab/>
        <w:t>B</w:t>
      </w:r>
      <w:r w:rsidR="009E591D" w:rsidRPr="00DF3460">
        <w:rPr>
          <w:bCs/>
        </w:rPr>
        <w:t>.</w:t>
      </w:r>
      <w:r w:rsidRPr="00DF3460">
        <w:rPr>
          <w:bCs/>
        </w:rPr>
        <w:tab/>
        <w:t>References for assessing baselines</w:t>
      </w:r>
    </w:p>
    <w:p w14:paraId="2262D1F7" w14:textId="0BA41AC3" w:rsidR="00945EA0" w:rsidRPr="002D4013" w:rsidRDefault="00945EA0" w:rsidP="007B2907">
      <w:pPr>
        <w:pStyle w:val="Normalnumber"/>
        <w:numPr>
          <w:ilvl w:val="0"/>
          <w:numId w:val="39"/>
        </w:numPr>
      </w:pPr>
      <w:r w:rsidRPr="005530F1">
        <w:t xml:space="preserve">In order to determine whether there are changes </w:t>
      </w:r>
      <w:r w:rsidRPr="00567B42">
        <w:t>in the levels</w:t>
      </w:r>
      <w:r w:rsidRPr="005530F1">
        <w:t xml:space="preserve"> of mercury and mercury compounds in the environment, decisions will need to be taken about what will be used as a comparative figure or baseline. Once the first formal assessment under the Convention of mercury levels has been completed, it </w:t>
      </w:r>
      <w:r w:rsidR="00DC41EB" w:rsidRPr="005530F1">
        <w:t>will be able to</w:t>
      </w:r>
      <w:r w:rsidRPr="005530F1">
        <w:t xml:space="preserve"> be used for comparison with later assessment</w:t>
      </w:r>
      <w:r w:rsidR="00DC41EB" w:rsidRPr="005530F1">
        <w:t>s</w:t>
      </w:r>
      <w:r w:rsidRPr="005530F1">
        <w:t>. However, to consider any changes for the first evaluation</w:t>
      </w:r>
      <w:r w:rsidR="00DC41EB" w:rsidRPr="005530F1">
        <w:t>,</w:t>
      </w:r>
      <w:r w:rsidRPr="005530F1">
        <w:t xml:space="preserve"> the Conference </w:t>
      </w:r>
      <w:r w:rsidR="005530F1">
        <w:t xml:space="preserve">of the Parties </w:t>
      </w:r>
      <w:r w:rsidRPr="005530F1">
        <w:t xml:space="preserve">may need to choose what the baseline </w:t>
      </w:r>
      <w:r w:rsidR="00DC41EB" w:rsidRPr="005530F1">
        <w:t>sh</w:t>
      </w:r>
      <w:r w:rsidRPr="005530F1">
        <w:t xml:space="preserve">ould be and whether it </w:t>
      </w:r>
      <w:r w:rsidR="00DC41EB" w:rsidRPr="005530F1">
        <w:t>should be</w:t>
      </w:r>
      <w:r w:rsidRPr="005530F1">
        <w:t xml:space="preserve"> established on a national </w:t>
      </w:r>
      <w:r w:rsidRPr="00025365">
        <w:t xml:space="preserve">basis or globally. </w:t>
      </w:r>
      <w:r w:rsidR="00DF3460" w:rsidRPr="00025365">
        <w:t>In a</w:t>
      </w:r>
      <w:r w:rsidRPr="00025365">
        <w:t>ddition, consideration needs to be given to whether baselines are set on a</w:t>
      </w:r>
      <w:r w:rsidR="00BD280C" w:rsidRPr="00025365">
        <w:t>n</w:t>
      </w:r>
      <w:r w:rsidRPr="00025365">
        <w:t xml:space="preserve"> </w:t>
      </w:r>
      <w:r w:rsidR="00BD280C" w:rsidRPr="00025365">
        <w:t xml:space="preserve">individual </w:t>
      </w:r>
      <w:r w:rsidRPr="00DF3637">
        <w:t>basis</w:t>
      </w:r>
      <w:r w:rsidR="00BD280C" w:rsidRPr="00025365">
        <w:t xml:space="preserve"> by site</w:t>
      </w:r>
      <w:r w:rsidR="00DC41EB" w:rsidRPr="00025365">
        <w:t xml:space="preserve"> </w:t>
      </w:r>
      <w:r w:rsidRPr="00025365">
        <w:t xml:space="preserve">or at </w:t>
      </w:r>
      <w:r w:rsidR="00DC41EB" w:rsidRPr="00025365">
        <w:t>a</w:t>
      </w:r>
      <w:r w:rsidRPr="00025365">
        <w:t xml:space="preserve"> provincial, national, subregional, regional or global basis. </w:t>
      </w:r>
      <w:r w:rsidR="00DF3460" w:rsidRPr="00025365">
        <w:t>B</w:t>
      </w:r>
      <w:r w:rsidRPr="00025365">
        <w:t xml:space="preserve">aselines </w:t>
      </w:r>
      <w:r w:rsidR="007B2907" w:rsidRPr="00025365">
        <w:t>c</w:t>
      </w:r>
      <w:r w:rsidR="0031280A" w:rsidRPr="00025365">
        <w:t xml:space="preserve">ould </w:t>
      </w:r>
      <w:r w:rsidR="00DF3460" w:rsidRPr="00025365">
        <w:t>also</w:t>
      </w:r>
      <w:r w:rsidR="00A96AC4" w:rsidRPr="00025365">
        <w:t xml:space="preserve"> </w:t>
      </w:r>
      <w:r w:rsidRPr="00025365">
        <w:t>be based upon a particular point in time, applied across geographic areas. Further</w:t>
      </w:r>
      <w:r w:rsidR="0031280A" w:rsidRPr="00025365">
        <w:t>more</w:t>
      </w:r>
      <w:r w:rsidRPr="00025365">
        <w:t xml:space="preserve">, </w:t>
      </w:r>
      <w:r w:rsidR="0031280A" w:rsidRPr="00025365">
        <w:t>mo</w:t>
      </w:r>
      <w:r w:rsidR="000970CD" w:rsidRPr="00025365">
        <w:t>d</w:t>
      </w:r>
      <w:r w:rsidR="0031280A" w:rsidRPr="00025365">
        <w:t>elling or</w:t>
      </w:r>
      <w:r w:rsidR="0031280A">
        <w:t xml:space="preserve"> comparison of levels over time will be necessary </w:t>
      </w:r>
      <w:r>
        <w:t xml:space="preserve">to determine trends </w:t>
      </w:r>
      <w:r w:rsidRPr="00312BAD">
        <w:t>in levels of mercury and mercury compounds observed in biotic media and vulnerable populations</w:t>
      </w:r>
      <w:r w:rsidR="0031280A">
        <w:t>.</w:t>
      </w:r>
    </w:p>
    <w:p w14:paraId="441DB285" w14:textId="483CA068" w:rsidR="00945EA0" w:rsidRDefault="00945EA0" w:rsidP="000970CD">
      <w:pPr>
        <w:pStyle w:val="Normalnumber"/>
        <w:numPr>
          <w:ilvl w:val="0"/>
          <w:numId w:val="39"/>
        </w:numPr>
      </w:pPr>
      <w:r>
        <w:t xml:space="preserve">The Convention does not contain any obligations for reduction in relation to mercury levels at any fixed point in time, and the issue of baselines was not negotiated. There are a number of options </w:t>
      </w:r>
      <w:r w:rsidR="000970CD">
        <w:t>that</w:t>
      </w:r>
      <w:r>
        <w:t xml:space="preserve"> could be considered.  </w:t>
      </w:r>
    </w:p>
    <w:p w14:paraId="42565E3A" w14:textId="26E78B60" w:rsidR="00945EA0" w:rsidRDefault="00945EA0">
      <w:pPr>
        <w:pStyle w:val="Normalnumber"/>
        <w:numPr>
          <w:ilvl w:val="0"/>
          <w:numId w:val="39"/>
        </w:numPr>
      </w:pPr>
      <w:r>
        <w:t>The Conference</w:t>
      </w:r>
      <w:r w:rsidR="005530F1">
        <w:t xml:space="preserve"> of the Parties</w:t>
      </w:r>
      <w:r>
        <w:t xml:space="preserve"> could decide not to establish a baseline for the period prior to the entry into force of the Convention, but rather to use the first assessment as the basis for </w:t>
      </w:r>
      <w:r w:rsidRPr="00A96AC4">
        <w:t>future comparison. Th</w:t>
      </w:r>
      <w:r w:rsidR="000970CD" w:rsidRPr="00A96AC4">
        <w:t>at</w:t>
      </w:r>
      <w:r w:rsidRPr="00A96AC4">
        <w:t xml:space="preserve"> would limit the assessment of </w:t>
      </w:r>
      <w:r w:rsidRPr="0098576B">
        <w:t xml:space="preserve">the effectiveness of the Convention in the early stages, as it would </w:t>
      </w:r>
      <w:r w:rsidR="00A210E9" w:rsidRPr="00FE2419">
        <w:t xml:space="preserve">not be possible to assess whether </w:t>
      </w:r>
      <w:r w:rsidRPr="0098576B">
        <w:t xml:space="preserve">there </w:t>
      </w:r>
      <w:r w:rsidR="000970CD" w:rsidRPr="0098576B">
        <w:t>had been</w:t>
      </w:r>
      <w:r w:rsidRPr="0098576B">
        <w:t xml:space="preserve"> changes in the levels of mercury in the environment or in biota</w:t>
      </w:r>
      <w:r w:rsidR="00A210E9" w:rsidRPr="0098576B">
        <w:t xml:space="preserve"> u</w:t>
      </w:r>
      <w:r w:rsidR="00A210E9" w:rsidRPr="00FE2419">
        <w:t>ntil the second evaluation</w:t>
      </w:r>
      <w:r w:rsidRPr="0098576B">
        <w:t>.</w:t>
      </w:r>
      <w:r w:rsidR="000970CD" w:rsidRPr="0098576B">
        <w:t xml:space="preserve"> </w:t>
      </w:r>
      <w:r w:rsidRPr="0098576B">
        <w:t>While this process has been used in other Conventions, the availability of information on mercury levels in the environment m</w:t>
      </w:r>
      <w:r w:rsidR="000970CD" w:rsidRPr="0098576B">
        <w:t>ight</w:t>
      </w:r>
      <w:r w:rsidRPr="0098576B">
        <w:t xml:space="preserve"> mean that other approaches are feasible</w:t>
      </w:r>
      <w:r w:rsidR="000970CD">
        <w:t>.</w:t>
      </w:r>
    </w:p>
    <w:p w14:paraId="06699C9C" w14:textId="2EC54B28" w:rsidR="00945EA0" w:rsidRPr="009B71C0" w:rsidRDefault="00945EA0" w:rsidP="00615C2C">
      <w:pPr>
        <w:pStyle w:val="Normalnumber"/>
        <w:numPr>
          <w:ilvl w:val="0"/>
          <w:numId w:val="39"/>
        </w:numPr>
      </w:pPr>
      <w:r>
        <w:t xml:space="preserve">The Conference </w:t>
      </w:r>
      <w:r w:rsidR="005530F1">
        <w:t xml:space="preserve">of the Parties </w:t>
      </w:r>
      <w:r>
        <w:t xml:space="preserve">could </w:t>
      </w:r>
      <w:r w:rsidR="00615C2C">
        <w:t xml:space="preserve">decide </w:t>
      </w:r>
      <w:r>
        <w:t xml:space="preserve">that, where available, submissions made to other formal processes </w:t>
      </w:r>
      <w:r w:rsidRPr="00A96AC4">
        <w:t>could be used as a basis for setting baselines. Such submissions could include information considered by the Convention on Long</w:t>
      </w:r>
      <w:r w:rsidR="002D3012" w:rsidRPr="00A96AC4">
        <w:t>-</w:t>
      </w:r>
      <w:r w:rsidRPr="00A96AC4">
        <w:t>Range Trans</w:t>
      </w:r>
      <w:r w:rsidR="002D3012" w:rsidRPr="00A96AC4">
        <w:t>boundary Air Pollution</w:t>
      </w:r>
      <w:r w:rsidRPr="00A96AC4">
        <w:t xml:space="preserve"> </w:t>
      </w:r>
      <w:r w:rsidR="002D3012" w:rsidRPr="00A96AC4">
        <w:t xml:space="preserve">and </w:t>
      </w:r>
      <w:r w:rsidRPr="00A96AC4">
        <w:t xml:space="preserve">information available from the Asia-Pacific </w:t>
      </w:r>
      <w:r w:rsidRPr="00025365">
        <w:t>Mercury Monitoring Network or the Arctic Monitoring and Assessment Programme. Where such submitted information is not available</w:t>
      </w:r>
      <w:r w:rsidR="002D3012" w:rsidRPr="00DF3637">
        <w:t>,</w:t>
      </w:r>
      <w:r w:rsidRPr="00DF3637">
        <w:t xml:space="preserve"> it m</w:t>
      </w:r>
      <w:r w:rsidR="002D3012" w:rsidRPr="00DF3637">
        <w:t>ight</w:t>
      </w:r>
      <w:r w:rsidRPr="00DF3637">
        <w:t xml:space="preserve"> be feasible to use available national data</w:t>
      </w:r>
      <w:r w:rsidR="00DA724A" w:rsidRPr="00DF3637">
        <w:t xml:space="preserve"> that is representative of global trends</w:t>
      </w:r>
      <w:r w:rsidRPr="00DF3637">
        <w:t>.</w:t>
      </w:r>
      <w:r w:rsidR="00DA724A" w:rsidRPr="00DF3637">
        <w:t xml:space="preserve"> </w:t>
      </w:r>
      <w:r w:rsidRPr="00025365">
        <w:t>Information needed to set baselines could</w:t>
      </w:r>
      <w:r>
        <w:t xml:space="preserve"> benefit from coordination and cooperation through forums such as </w:t>
      </w:r>
      <w:r w:rsidR="009B71C0" w:rsidRPr="009B71C0">
        <w:t xml:space="preserve">the </w:t>
      </w:r>
      <w:r w:rsidR="00287B80">
        <w:t xml:space="preserve">Mercury Air Transport and </w:t>
      </w:r>
      <w:r w:rsidRPr="009B71C0">
        <w:t>Fate Partnership Area of the Global Mercury Partnership</w:t>
      </w:r>
      <w:r w:rsidR="00DA724A" w:rsidRPr="009B71C0">
        <w:t xml:space="preserve"> of UNEP</w:t>
      </w:r>
      <w:r w:rsidRPr="009B71C0">
        <w:t xml:space="preserve">.  </w:t>
      </w:r>
    </w:p>
    <w:p w14:paraId="1CA9AF5E" w14:textId="580B027E" w:rsidR="00945EA0" w:rsidRPr="00DD4116" w:rsidRDefault="00945EA0" w:rsidP="00FE457E">
      <w:pPr>
        <w:pStyle w:val="Normalnumber"/>
        <w:numPr>
          <w:ilvl w:val="0"/>
          <w:numId w:val="39"/>
        </w:numPr>
      </w:pPr>
      <w:r w:rsidRPr="009B71C0">
        <w:t xml:space="preserve">Information on global emissions </w:t>
      </w:r>
      <w:r w:rsidRPr="00094C60">
        <w:t>and releases of</w:t>
      </w:r>
      <w:r w:rsidRPr="009B71C0">
        <w:t xml:space="preserve"> mercury </w:t>
      </w:r>
      <w:r w:rsidR="00DA724A" w:rsidRPr="009B71C0">
        <w:t xml:space="preserve">and </w:t>
      </w:r>
      <w:r w:rsidRPr="009B71C0">
        <w:t>on levels in the environment is available in the Global Mercury Assessment, which has been published in 200</w:t>
      </w:r>
      <w:r w:rsidR="00B33818">
        <w:t>2</w:t>
      </w:r>
      <w:r w:rsidRPr="009B71C0">
        <w:t xml:space="preserve">, </w:t>
      </w:r>
      <w:r w:rsidR="00B33818" w:rsidRPr="009B71C0">
        <w:t>200</w:t>
      </w:r>
      <w:r w:rsidR="00B33818">
        <w:t>8</w:t>
      </w:r>
      <w:r w:rsidR="00B33818" w:rsidRPr="009B71C0">
        <w:t xml:space="preserve"> </w:t>
      </w:r>
      <w:r w:rsidRPr="009B71C0">
        <w:t xml:space="preserve">and 2013, with a new version planned </w:t>
      </w:r>
      <w:r w:rsidR="00DA724A" w:rsidRPr="009B71C0">
        <w:t>for publication</w:t>
      </w:r>
      <w:r>
        <w:t xml:space="preserve"> in 2018. It is recognized that</w:t>
      </w:r>
      <w:r w:rsidR="00DA724A">
        <w:t>,</w:t>
      </w:r>
      <w:r>
        <w:t xml:space="preserve"> </w:t>
      </w:r>
      <w:r w:rsidR="00DA724A">
        <w:t>owing</w:t>
      </w:r>
      <w:r>
        <w:t xml:space="preserve"> to changes in methodologies, results are not directly comparable between the 2013 and </w:t>
      </w:r>
      <w:r w:rsidR="00B33818">
        <w:t xml:space="preserve">2008 </w:t>
      </w:r>
      <w:r>
        <w:t>versions; however</w:t>
      </w:r>
      <w:r w:rsidR="00DA724A">
        <w:t>,</w:t>
      </w:r>
      <w:r>
        <w:t xml:space="preserve"> the</w:t>
      </w:r>
      <w:r w:rsidR="00DA724A">
        <w:t>y still</w:t>
      </w:r>
      <w:r>
        <w:t xml:space="preserve"> provide considerable background information. Concerns had been raised during the preparation of previous versions of the assessment about the data (</w:t>
      </w:r>
      <w:r w:rsidR="00FE457E">
        <w:t xml:space="preserve">e.g., </w:t>
      </w:r>
      <w:r>
        <w:t>how it was obtained and its accuracy) and the methodology (</w:t>
      </w:r>
      <w:r w:rsidR="00FE457E">
        <w:t xml:space="preserve">in </w:t>
      </w:r>
      <w:r>
        <w:t>particular</w:t>
      </w:r>
      <w:r w:rsidR="00FE457E">
        <w:t>,</w:t>
      </w:r>
      <w:r>
        <w:t xml:space="preserve"> </w:t>
      </w:r>
      <w:r w:rsidR="00FE457E">
        <w:t xml:space="preserve">the </w:t>
      </w:r>
      <w:r>
        <w:t>methodology used for modelling).</w:t>
      </w:r>
      <w:r w:rsidR="00FE457E">
        <w:t xml:space="preserve"> </w:t>
      </w:r>
      <w:r>
        <w:t xml:space="preserve">Attempts have been made to address these concerns in the preparation of the latest version. </w:t>
      </w:r>
      <w:r w:rsidRPr="00DD4116">
        <w:t xml:space="preserve">Following such efforts, the Conference </w:t>
      </w:r>
      <w:r w:rsidR="005530F1" w:rsidRPr="00DD4116">
        <w:t xml:space="preserve">of the Parties </w:t>
      </w:r>
      <w:r w:rsidRPr="00DD4116">
        <w:t xml:space="preserve">may be willing to consider the latest version of the assessment document as a means </w:t>
      </w:r>
      <w:r w:rsidR="00FE457E" w:rsidRPr="00DD4116">
        <w:t xml:space="preserve">of </w:t>
      </w:r>
      <w:r w:rsidRPr="00DD4116">
        <w:t>establish</w:t>
      </w:r>
      <w:r w:rsidR="00FE457E" w:rsidRPr="00DD4116">
        <w:t>ing</w:t>
      </w:r>
      <w:r w:rsidRPr="00DD4116">
        <w:t xml:space="preserve"> a baseline.</w:t>
      </w:r>
    </w:p>
    <w:p w14:paraId="34B96072" w14:textId="6BF8E948" w:rsidR="00945EA0" w:rsidRPr="00DD4116" w:rsidRDefault="00945EA0" w:rsidP="007B2907">
      <w:pPr>
        <w:pStyle w:val="Normalnumber"/>
        <w:numPr>
          <w:ilvl w:val="0"/>
          <w:numId w:val="39"/>
        </w:numPr>
      </w:pPr>
      <w:r w:rsidRPr="00DD4116">
        <w:t>As the GEMS</w:t>
      </w:r>
      <w:r w:rsidR="00094C60">
        <w:t>/F</w:t>
      </w:r>
      <w:r w:rsidRPr="00DD4116">
        <w:t xml:space="preserve">ood </w:t>
      </w:r>
      <w:r w:rsidR="000970CD" w:rsidRPr="00DD4116">
        <w:t>d</w:t>
      </w:r>
      <w:r w:rsidRPr="00DD4116">
        <w:t xml:space="preserve">atabase can be searched in different time periods, it may be useful as a source of information on trends in levels of mercury and mercury compounds in biota. It should be noted that the only mercury compound currently included is methyl mercury. </w:t>
      </w:r>
    </w:p>
    <w:p w14:paraId="46B5D133" w14:textId="399EE6D9" w:rsidR="00945EA0" w:rsidRDefault="00945EA0" w:rsidP="002F25AD">
      <w:pPr>
        <w:pStyle w:val="Normalnumber"/>
        <w:numPr>
          <w:ilvl w:val="0"/>
          <w:numId w:val="39"/>
        </w:numPr>
      </w:pPr>
      <w:r w:rsidRPr="00DD4116">
        <w:t>Additional considerations include whether it is necessary for baselines to be established at a national or a regional level and, if so, the point in time at which such baselines should</w:t>
      </w:r>
      <w:r>
        <w:t xml:space="preserve"> be set. Other multilateral environmental agreements set baselines</w:t>
      </w:r>
      <w:r w:rsidR="00820EBF">
        <w:t>,</w:t>
      </w:r>
      <w:r>
        <w:t xml:space="preserve"> in particular calendar years, </w:t>
      </w:r>
      <w:r w:rsidR="002F25AD">
        <w:t>but</w:t>
      </w:r>
      <w:r>
        <w:t xml:space="preserve"> there is also the potential to tie the baseline to the year of entry into force of the Convention for </w:t>
      </w:r>
      <w:r w:rsidR="00820EBF">
        <w:t>each</w:t>
      </w:r>
      <w:r>
        <w:t xml:space="preserve"> </w:t>
      </w:r>
      <w:r w:rsidR="00DF3460">
        <w:t>p</w:t>
      </w:r>
      <w:r>
        <w:t xml:space="preserve">arty. Given the nature of mercury as a global pollutant, consideration could be given to establishing baselines for mercury levels in the environment at a selected range of locations </w:t>
      </w:r>
      <w:r w:rsidR="00820EBF">
        <w:t>that</w:t>
      </w:r>
      <w:r>
        <w:t xml:space="preserve"> reflect global movement of mercury. </w:t>
      </w:r>
      <w:r w:rsidR="002F25AD">
        <w:t>C</w:t>
      </w:r>
      <w:r>
        <w:t>hanges in emission and release information</w:t>
      </w:r>
      <w:r w:rsidR="002F25AD">
        <w:t xml:space="preserve"> could then be considered at the national level</w:t>
      </w:r>
      <w:r>
        <w:t>, which m</w:t>
      </w:r>
      <w:r w:rsidR="002F25AD">
        <w:t>ight</w:t>
      </w:r>
      <w:r>
        <w:t xml:space="preserve"> be able to be assessed through national reporting submitted under article 21 of the Convention. </w:t>
      </w:r>
    </w:p>
    <w:p w14:paraId="48277EEC" w14:textId="7AA86042" w:rsidR="00945EA0" w:rsidRPr="00945EA0" w:rsidRDefault="008908B6" w:rsidP="008908B6">
      <w:pPr>
        <w:pStyle w:val="CH2"/>
      </w:pPr>
      <w:r>
        <w:tab/>
        <w:t>C.</w:t>
      </w:r>
      <w:r>
        <w:tab/>
        <w:t>R</w:t>
      </w:r>
      <w:r w:rsidR="00945EA0" w:rsidRPr="00945EA0">
        <w:t>ecommendations</w:t>
      </w:r>
    </w:p>
    <w:p w14:paraId="2E3D0511" w14:textId="1271B01D" w:rsidR="00945EA0" w:rsidRPr="007B2907" w:rsidRDefault="00945EA0" w:rsidP="00E76977">
      <w:pPr>
        <w:pStyle w:val="Normalnumber"/>
        <w:numPr>
          <w:ilvl w:val="0"/>
          <w:numId w:val="39"/>
        </w:numPr>
      </w:pPr>
      <w:r w:rsidRPr="008908B6">
        <w:t xml:space="preserve">The Conference </w:t>
      </w:r>
      <w:r w:rsidR="005530F1">
        <w:t xml:space="preserve">of the Parties </w:t>
      </w:r>
      <w:r w:rsidRPr="008908B6">
        <w:t>may wish to consider the following recommendations.</w:t>
      </w:r>
    </w:p>
    <w:p w14:paraId="75F83523" w14:textId="3308608C" w:rsidR="00945EA0" w:rsidRPr="00DD4116" w:rsidRDefault="00015071">
      <w:pPr>
        <w:pStyle w:val="Normalnumber"/>
        <w:numPr>
          <w:ilvl w:val="0"/>
          <w:numId w:val="39"/>
        </w:numPr>
      </w:pPr>
      <w:r>
        <w:t>D</w:t>
      </w:r>
      <w:r w:rsidR="00945EA0" w:rsidRPr="00945EA0">
        <w:t xml:space="preserve">etermining comparable representative data for future use in an evaluation of the </w:t>
      </w:r>
      <w:r w:rsidR="00945EA0" w:rsidRPr="00DD46E5">
        <w:t>effectiveness</w:t>
      </w:r>
      <w:r w:rsidR="00945EA0" w:rsidRPr="00945EA0">
        <w:t xml:space="preserve"> of the Convention is complex and requires expert </w:t>
      </w:r>
      <w:r w:rsidR="00945EA0" w:rsidRPr="00147DA1">
        <w:t>consideration</w:t>
      </w:r>
      <w:r w:rsidRPr="00147DA1">
        <w:t>.</w:t>
      </w:r>
      <w:r w:rsidR="00945EA0" w:rsidRPr="00147DA1">
        <w:t xml:space="preserve"> </w:t>
      </w:r>
      <w:r w:rsidR="00147DA1">
        <w:t>T</w:t>
      </w:r>
      <w:r w:rsidR="00945EA0" w:rsidRPr="00147DA1">
        <w:t>he</w:t>
      </w:r>
      <w:r w:rsidR="00945EA0" w:rsidRPr="00945EA0">
        <w:t xml:space="preserve"> Conference </w:t>
      </w:r>
      <w:r w:rsidR="005530F1">
        <w:t xml:space="preserve">of the Parties </w:t>
      </w:r>
      <w:r w:rsidR="00945EA0" w:rsidRPr="00945EA0">
        <w:t xml:space="preserve">may </w:t>
      </w:r>
      <w:r w:rsidR="00147DA1">
        <w:t xml:space="preserve">therefore </w:t>
      </w:r>
      <w:r w:rsidR="00945EA0" w:rsidRPr="00945EA0">
        <w:t>wish to consider establishing a small group of technical experts who would assess categories of available information, make recommendations for appropriate sampling media and agree on techniques for the consideration of data</w:t>
      </w:r>
      <w:r>
        <w:t>,</w:t>
      </w:r>
      <w:r w:rsidR="00945EA0" w:rsidRPr="00945EA0">
        <w:t xml:space="preserve"> including determining comparability of data obtained using different methodolog</w:t>
      </w:r>
      <w:r>
        <w:t>ies</w:t>
      </w:r>
      <w:r w:rsidR="00945EA0" w:rsidRPr="00945EA0">
        <w:t xml:space="preserve"> </w:t>
      </w:r>
      <w:r w:rsidR="00945EA0" w:rsidRPr="00DD4116">
        <w:t xml:space="preserve">or methods of analysis. </w:t>
      </w:r>
      <w:r w:rsidRPr="00DD4116">
        <w:t>For the sake of</w:t>
      </w:r>
      <w:r w:rsidR="00945EA0" w:rsidRPr="00DD4116">
        <w:t xml:space="preserve"> cost-efficien</w:t>
      </w:r>
      <w:r w:rsidRPr="00DD4116">
        <w:t>cy</w:t>
      </w:r>
      <w:r w:rsidR="00945EA0" w:rsidRPr="00DD4116">
        <w:t>, th</w:t>
      </w:r>
      <w:r w:rsidRPr="00DD4116">
        <w:t>e</w:t>
      </w:r>
      <w:r w:rsidR="00945EA0" w:rsidRPr="00DD4116">
        <w:t xml:space="preserve"> group should work primarily through electronic means</w:t>
      </w:r>
      <w:r w:rsidRPr="00DD4116">
        <w:t>,</w:t>
      </w:r>
      <w:r w:rsidR="00945EA0" w:rsidRPr="00DD4116">
        <w:t xml:space="preserve"> including webinars.</w:t>
      </w:r>
    </w:p>
    <w:p w14:paraId="4E1B895C" w14:textId="636CB765" w:rsidR="00945EA0" w:rsidRPr="00DD4116" w:rsidRDefault="00945EA0" w:rsidP="00056D50">
      <w:pPr>
        <w:pStyle w:val="Normalnumber"/>
        <w:numPr>
          <w:ilvl w:val="0"/>
          <w:numId w:val="39"/>
        </w:numPr>
      </w:pPr>
      <w:r w:rsidRPr="00DD4116">
        <w:t xml:space="preserve">The Conference </w:t>
      </w:r>
      <w:r w:rsidR="005530F1" w:rsidRPr="00DD4116">
        <w:t xml:space="preserve">of the Parties </w:t>
      </w:r>
      <w:r w:rsidRPr="00DD4116">
        <w:t xml:space="preserve">may wish to task the small group of technical experts with </w:t>
      </w:r>
      <w:r w:rsidR="00056D50" w:rsidRPr="00DD4116">
        <w:t>the identification of</w:t>
      </w:r>
      <w:r w:rsidRPr="00DD4116">
        <w:t>:</w:t>
      </w:r>
    </w:p>
    <w:p w14:paraId="11715BD3" w14:textId="7A0A787A" w:rsidR="00945EA0" w:rsidRPr="00DD4116" w:rsidRDefault="00945EA0" w:rsidP="007B2907">
      <w:pPr>
        <w:pStyle w:val="Normalnumber"/>
        <w:numPr>
          <w:ilvl w:val="1"/>
          <w:numId w:val="39"/>
        </w:numPr>
      </w:pPr>
      <w:r w:rsidRPr="00DD4116">
        <w:t xml:space="preserve">Relevant existing data, </w:t>
      </w:r>
      <w:r w:rsidR="00056D50" w:rsidRPr="00DD4116">
        <w:t>as well as</w:t>
      </w:r>
      <w:r w:rsidRPr="00DD4116">
        <w:t xml:space="preserve"> methodologies to achieve data comparability, standardization and regional networking</w:t>
      </w:r>
      <w:r w:rsidR="00056D50" w:rsidRPr="00DD4116">
        <w:t>,</w:t>
      </w:r>
      <w:r w:rsidRPr="00DD4116">
        <w:t xml:space="preserve"> that would support the use of monitoring data within the Convention</w:t>
      </w:r>
      <w:r w:rsidR="00056D50" w:rsidRPr="00DD4116">
        <w:t>;</w:t>
      </w:r>
    </w:p>
    <w:p w14:paraId="592D36A1" w14:textId="2F46231F" w:rsidR="00945EA0" w:rsidRPr="00DD4116" w:rsidRDefault="00945EA0" w:rsidP="004B28A8">
      <w:pPr>
        <w:pStyle w:val="Normalnumber"/>
        <w:keepNext/>
        <w:keepLines/>
        <w:numPr>
          <w:ilvl w:val="1"/>
          <w:numId w:val="39"/>
        </w:numPr>
        <w:tabs>
          <w:tab w:val="clear" w:pos="624"/>
          <w:tab w:val="left" w:pos="1247"/>
          <w:tab w:val="left" w:pos="1814"/>
          <w:tab w:val="left" w:pos="2381"/>
          <w:tab w:val="left" w:pos="2948"/>
          <w:tab w:val="left" w:pos="3515"/>
          <w:tab w:val="left" w:pos="4082"/>
        </w:tabs>
      </w:pPr>
      <w:r w:rsidRPr="00DD4116">
        <w:t>Modelling methodologies that can be used in conjunction with country</w:t>
      </w:r>
      <w:r w:rsidR="00056D50" w:rsidRPr="00DD4116">
        <w:t>-</w:t>
      </w:r>
      <w:r w:rsidRPr="00DD4116">
        <w:t>specific data to estimate changes in human exposure by linking mercury emissions with concentrations in other media (e.g., deposition, water, fish in various ocean sectors), thereby providing estimates of changes in those media as a result of changes in emissions</w:t>
      </w:r>
      <w:r w:rsidR="008E1FBB" w:rsidRPr="00DD4116">
        <w:t>;</w:t>
      </w:r>
    </w:p>
    <w:p w14:paraId="2471BB25" w14:textId="1CFBDDA3" w:rsidR="00945EA0" w:rsidRPr="00DD4116" w:rsidRDefault="008E1FBB" w:rsidP="002D4013">
      <w:pPr>
        <w:pStyle w:val="Normalnumber"/>
        <w:numPr>
          <w:ilvl w:val="1"/>
          <w:numId w:val="39"/>
        </w:numPr>
      </w:pPr>
      <w:r w:rsidRPr="00DD4116">
        <w:t>Q</w:t>
      </w:r>
      <w:r w:rsidR="00945EA0" w:rsidRPr="00DD4116">
        <w:t xml:space="preserve">uestions </w:t>
      </w:r>
      <w:r w:rsidRPr="00DD4116">
        <w:t xml:space="preserve">related to policy </w:t>
      </w:r>
      <w:r w:rsidR="00945EA0" w:rsidRPr="00DD4116">
        <w:t>that are answered by the existing data</w:t>
      </w:r>
      <w:r w:rsidR="00C14FF7" w:rsidRPr="00DD4116">
        <w:t xml:space="preserve">. </w:t>
      </w:r>
      <w:r w:rsidR="001F1CC3" w:rsidRPr="00DD4116">
        <w:t>The timescales and</w:t>
      </w:r>
      <w:r w:rsidR="00945EA0" w:rsidRPr="00DD4116">
        <w:t xml:space="preserve"> specific monitoring and modelling information currently used </w:t>
      </w:r>
      <w:r w:rsidR="001F1CC3" w:rsidRPr="00DD4116">
        <w:t>should be delineated.</w:t>
      </w:r>
    </w:p>
    <w:p w14:paraId="43F70D26" w14:textId="237095D5" w:rsidR="00945EA0" w:rsidRPr="00DD4116" w:rsidRDefault="00D135F6" w:rsidP="003F4A10">
      <w:pPr>
        <w:pStyle w:val="Normalnumber"/>
        <w:numPr>
          <w:ilvl w:val="0"/>
          <w:numId w:val="39"/>
        </w:numPr>
      </w:pPr>
      <w:r w:rsidRPr="00DD4116">
        <w:t>The Conference</w:t>
      </w:r>
      <w:r w:rsidR="005530F1" w:rsidRPr="00DD4116">
        <w:t xml:space="preserve"> of the Parties</w:t>
      </w:r>
      <w:r w:rsidRPr="00DD4116">
        <w:t xml:space="preserve"> may </w:t>
      </w:r>
      <w:r w:rsidR="00945EA0" w:rsidRPr="00DD4116">
        <w:t>consider</w:t>
      </w:r>
      <w:r w:rsidRPr="00DD4116">
        <w:t xml:space="preserve"> </w:t>
      </w:r>
      <w:r w:rsidR="00945EA0" w:rsidRPr="00DD4116">
        <w:t xml:space="preserve">the data currently available for </w:t>
      </w:r>
      <w:r w:rsidR="001F1CC3" w:rsidRPr="00DD4116">
        <w:t xml:space="preserve">the </w:t>
      </w:r>
      <w:r w:rsidR="00945EA0" w:rsidRPr="00DD4116">
        <w:t>determin</w:t>
      </w:r>
      <w:r w:rsidR="001F1CC3" w:rsidRPr="00DD4116">
        <w:t>ation of</w:t>
      </w:r>
      <w:r w:rsidR="00945EA0" w:rsidRPr="00DD4116">
        <w:t xml:space="preserve"> the levels of mercury present in the environment, including in biota, </w:t>
      </w:r>
      <w:r w:rsidRPr="00DD4116">
        <w:t>to be sufficient.</w:t>
      </w:r>
      <w:r w:rsidR="00945EA0" w:rsidRPr="00FE2419">
        <w:rPr>
          <w:b/>
        </w:rPr>
        <w:t xml:space="preserve"> </w:t>
      </w:r>
      <w:r w:rsidR="00945EA0" w:rsidRPr="00DD4116">
        <w:t>The question of additional information</w:t>
      </w:r>
      <w:r w:rsidRPr="00DD4116">
        <w:t>,</w:t>
      </w:r>
      <w:r w:rsidR="00945EA0" w:rsidRPr="00DD4116">
        <w:t xml:space="preserve"> which may improve future assessment</w:t>
      </w:r>
      <w:r w:rsidRPr="00DD4116">
        <w:t>s</w:t>
      </w:r>
      <w:r w:rsidR="00945EA0" w:rsidRPr="00DD4116">
        <w:t xml:space="preserve">, </w:t>
      </w:r>
      <w:r w:rsidR="003F4A10" w:rsidRPr="00DD4116">
        <w:t>may be referred by the Conference</w:t>
      </w:r>
      <w:r w:rsidR="005530F1" w:rsidRPr="00DD4116">
        <w:t xml:space="preserve"> of the Parties</w:t>
      </w:r>
      <w:r w:rsidR="003F4A10" w:rsidRPr="00DD4116">
        <w:t xml:space="preserve"> </w:t>
      </w:r>
      <w:r w:rsidR="00945EA0" w:rsidRPr="00DD4116">
        <w:t>to the group of technical experts</w:t>
      </w:r>
      <w:r w:rsidR="003F4A10" w:rsidRPr="00DD4116">
        <w:t>, together</w:t>
      </w:r>
      <w:r w:rsidR="00C257CD" w:rsidRPr="00DD4116">
        <w:t xml:space="preserve"> with options for obtaining such information and relative costs for doing so</w:t>
      </w:r>
      <w:r w:rsidR="00AD0986" w:rsidRPr="00DD4116">
        <w:t>.</w:t>
      </w:r>
    </w:p>
    <w:p w14:paraId="77C046AA" w14:textId="149E1C1F" w:rsidR="00945EA0" w:rsidRPr="00DD4116" w:rsidRDefault="00945EA0">
      <w:pPr>
        <w:pStyle w:val="Normalnumber"/>
        <w:numPr>
          <w:ilvl w:val="0"/>
          <w:numId w:val="39"/>
        </w:numPr>
      </w:pPr>
      <w:r w:rsidRPr="00DD4116">
        <w:t>In considering the establishment of a baseline against which progress in implementing the Convention can be assessed, the Conference</w:t>
      </w:r>
      <w:r w:rsidR="005530F1" w:rsidRPr="00DD4116">
        <w:t xml:space="preserve"> of the Parties</w:t>
      </w:r>
      <w:r w:rsidRPr="00DD4116">
        <w:t xml:space="preserve"> may wish to consider using available assessments</w:t>
      </w:r>
      <w:r w:rsidR="00C257CD" w:rsidRPr="00DD4116">
        <w:t>, including</w:t>
      </w:r>
      <w:r w:rsidRPr="00DD4116">
        <w:t xml:space="preserve"> the Global Mercury Assessment and the </w:t>
      </w:r>
      <w:r w:rsidR="00C257CD" w:rsidRPr="00DF3637">
        <w:t>Global Environment Monitoring System – Food Contamination Monitoring and Assessment Programme</w:t>
      </w:r>
      <w:r w:rsidR="00147DA1" w:rsidRPr="00DD4116">
        <w:t>.</w:t>
      </w:r>
      <w:r w:rsidR="002F25AD" w:rsidRPr="00DD4116">
        <w:t xml:space="preserve"> </w:t>
      </w:r>
      <w:r w:rsidR="00C257CD" w:rsidRPr="00DD4116">
        <w:t>The Conference may also wish to use i</w:t>
      </w:r>
      <w:r w:rsidRPr="00DD4116">
        <w:t>nformation available from countries at a national or regional level</w:t>
      </w:r>
      <w:r w:rsidR="00C257CD" w:rsidRPr="00DD4116">
        <w:t xml:space="preserve"> </w:t>
      </w:r>
      <w:r w:rsidRPr="00DD4116">
        <w:t>as the basis for future 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40D2B" w14:paraId="0A4360A6" w14:textId="77777777" w:rsidTr="00040D2B">
        <w:tc>
          <w:tcPr>
            <w:tcW w:w="1942" w:type="dxa"/>
          </w:tcPr>
          <w:p w14:paraId="2F375282" w14:textId="77777777" w:rsidR="00040D2B" w:rsidRDefault="00040D2B" w:rsidP="00040D2B">
            <w:pPr>
              <w:pStyle w:val="Normal-pool"/>
              <w:spacing w:before="520"/>
            </w:pPr>
          </w:p>
        </w:tc>
        <w:tc>
          <w:tcPr>
            <w:tcW w:w="1942" w:type="dxa"/>
          </w:tcPr>
          <w:p w14:paraId="7864FF38" w14:textId="77777777" w:rsidR="00040D2B" w:rsidRDefault="00040D2B" w:rsidP="00040D2B">
            <w:pPr>
              <w:pStyle w:val="Normal-pool"/>
              <w:spacing w:before="520"/>
            </w:pPr>
          </w:p>
        </w:tc>
        <w:tc>
          <w:tcPr>
            <w:tcW w:w="1942" w:type="dxa"/>
            <w:tcBorders>
              <w:bottom w:val="single" w:sz="4" w:space="0" w:color="auto"/>
            </w:tcBorders>
          </w:tcPr>
          <w:p w14:paraId="559FF7CF" w14:textId="77777777" w:rsidR="00040D2B" w:rsidRDefault="00040D2B" w:rsidP="00040D2B">
            <w:pPr>
              <w:pStyle w:val="Normal-pool"/>
              <w:spacing w:before="520"/>
            </w:pPr>
          </w:p>
        </w:tc>
        <w:tc>
          <w:tcPr>
            <w:tcW w:w="1943" w:type="dxa"/>
          </w:tcPr>
          <w:p w14:paraId="74F2B2C3" w14:textId="77777777" w:rsidR="00040D2B" w:rsidRDefault="00040D2B" w:rsidP="00040D2B">
            <w:pPr>
              <w:pStyle w:val="Normal-pool"/>
              <w:spacing w:before="520"/>
            </w:pPr>
          </w:p>
        </w:tc>
        <w:tc>
          <w:tcPr>
            <w:tcW w:w="1943" w:type="dxa"/>
          </w:tcPr>
          <w:p w14:paraId="1DC0D8A1" w14:textId="77777777" w:rsidR="00040D2B" w:rsidRDefault="00040D2B" w:rsidP="00040D2B">
            <w:pPr>
              <w:pStyle w:val="Normal-pool"/>
              <w:spacing w:before="520"/>
            </w:pPr>
          </w:p>
        </w:tc>
      </w:tr>
    </w:tbl>
    <w:p w14:paraId="2663DC20" w14:textId="77777777" w:rsidR="00D7265E" w:rsidRPr="00D7265E" w:rsidRDefault="00D7265E" w:rsidP="00040D2B">
      <w:pPr>
        <w:pStyle w:val="Normal-pool"/>
      </w:pPr>
    </w:p>
    <w:sectPr w:rsidR="00D7265E" w:rsidRPr="00D7265E" w:rsidSect="008908B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91E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F82A" w14:textId="77777777" w:rsidR="00B33818" w:rsidRDefault="00B33818">
      <w:r>
        <w:separator/>
      </w:r>
    </w:p>
  </w:endnote>
  <w:endnote w:type="continuationSeparator" w:id="0">
    <w:p w14:paraId="71771B4E" w14:textId="77777777" w:rsidR="00B33818" w:rsidRDefault="00B33818">
      <w:r>
        <w:continuationSeparator/>
      </w:r>
    </w:p>
  </w:endnote>
  <w:endnote w:type="continuationNotice" w:id="1">
    <w:p w14:paraId="5778AD54" w14:textId="77777777" w:rsidR="00B33818" w:rsidRDefault="00B33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0C11" w14:textId="77777777" w:rsidR="00B33818" w:rsidRDefault="00B33818">
    <w:pPr>
      <w:pStyle w:val="Footer"/>
    </w:pPr>
    <w:r>
      <w:rPr>
        <w:rStyle w:val="PageNumber"/>
      </w:rPr>
      <w:fldChar w:fldCharType="begin"/>
    </w:r>
    <w:r>
      <w:rPr>
        <w:rStyle w:val="PageNumber"/>
      </w:rPr>
      <w:instrText xml:space="preserve"> PAGE </w:instrText>
    </w:r>
    <w:r>
      <w:rPr>
        <w:rStyle w:val="PageNumber"/>
      </w:rPr>
      <w:fldChar w:fldCharType="separate"/>
    </w:r>
    <w:r w:rsidR="004B28A8">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625E" w14:textId="77777777" w:rsidR="00B33818" w:rsidRDefault="00B3381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B28A8">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964C" w14:textId="681AF236" w:rsidR="00B33818" w:rsidRPr="001D7B83" w:rsidRDefault="00B33818" w:rsidP="008908B6">
    <w:pPr>
      <w:pStyle w:val="Footer"/>
      <w:tabs>
        <w:tab w:val="clear" w:pos="1247"/>
        <w:tab w:val="clear" w:pos="1814"/>
        <w:tab w:val="clear" w:pos="2381"/>
        <w:tab w:val="clear" w:pos="2948"/>
        <w:tab w:val="clear" w:pos="3515"/>
        <w:tab w:val="clear" w:pos="4320"/>
        <w:tab w:val="clear" w:pos="8640"/>
        <w:tab w:val="left" w:pos="624"/>
      </w:tabs>
      <w:rPr>
        <w:sz w:val="20"/>
      </w:rPr>
    </w:pPr>
    <w:r w:rsidRPr="001D7B83">
      <w:rPr>
        <w:sz w:val="20"/>
      </w:rPr>
      <w:t>K1706004</w:t>
    </w:r>
    <w:r w:rsidRPr="001D7B83">
      <w:rPr>
        <w:sz w:val="20"/>
      </w:rPr>
      <w:tab/>
    </w:r>
    <w:r w:rsidR="004B28A8">
      <w:rPr>
        <w:sz w:val="20"/>
      </w:rPr>
      <w:t>19</w:t>
    </w:r>
    <w:r w:rsidRPr="001D7B83">
      <w:rPr>
        <w:sz w:val="20"/>
      </w:rPr>
      <w:t>0</w:t>
    </w:r>
    <w:r>
      <w:rPr>
        <w:sz w:val="20"/>
      </w:rPr>
      <w:t>6</w:t>
    </w:r>
    <w:r w:rsidRPr="001D7B83">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510A" w14:textId="77777777" w:rsidR="00B33818" w:rsidRDefault="00B33818" w:rsidP="00DF3637">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0C7AFD91" w14:textId="77777777" w:rsidR="00B33818" w:rsidRDefault="00B33818">
      <w:r>
        <w:continuationSeparator/>
      </w:r>
    </w:p>
  </w:footnote>
  <w:footnote w:type="continuationNotice" w:id="1">
    <w:p w14:paraId="16F1B2CF" w14:textId="77777777" w:rsidR="00B33818" w:rsidRDefault="00B33818"/>
  </w:footnote>
  <w:footnote w:id="2">
    <w:p w14:paraId="6FB40B45" w14:textId="10A981BE" w:rsidR="00B33818" w:rsidRPr="00067B00" w:rsidRDefault="00B33818" w:rsidP="002013B3">
      <w:pPr>
        <w:tabs>
          <w:tab w:val="clear" w:pos="1247"/>
          <w:tab w:val="clear" w:pos="1814"/>
          <w:tab w:val="clear" w:pos="2381"/>
          <w:tab w:val="clear" w:pos="2948"/>
          <w:tab w:val="clear" w:pos="3515"/>
          <w:tab w:val="left" w:pos="624"/>
        </w:tabs>
        <w:spacing w:before="20" w:after="40"/>
        <w:ind w:left="1247"/>
        <w:rPr>
          <w:sz w:val="18"/>
          <w:szCs w:val="18"/>
        </w:rPr>
      </w:pPr>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8B6A" w14:textId="75D66A0A" w:rsidR="00B33818" w:rsidRPr="00CA5CA9" w:rsidRDefault="00B33818"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C8B9" w14:textId="3DAEF15A" w:rsidR="00B33818" w:rsidRPr="00CA5CA9" w:rsidRDefault="00B33818" w:rsidP="00312543">
    <w:pPr>
      <w:pStyle w:val="Header"/>
      <w:jc w:val="right"/>
      <w:rPr>
        <w:szCs w:val="18"/>
      </w:rPr>
    </w:pPr>
    <w:r>
      <w:rPr>
        <w:bCs/>
        <w:szCs w:val="18"/>
      </w:rPr>
      <w:t>UNEP/MC/COP.1/12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437D" w14:textId="78948C47" w:rsidR="00B33818" w:rsidRDefault="00B33818"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72F25E5"/>
    <w:multiLevelType w:val="hybridMultilevel"/>
    <w:tmpl w:val="12F23D9E"/>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013BD"/>
    <w:multiLevelType w:val="hybridMultilevel"/>
    <w:tmpl w:val="9382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D8176E"/>
    <w:multiLevelType w:val="hybridMultilevel"/>
    <w:tmpl w:val="346A5424"/>
    <w:lvl w:ilvl="0" w:tplc="E3F023A8">
      <w:start w:val="1"/>
      <w:numFmt w:val="decimal"/>
      <w:lvlText w:val="%1."/>
      <w:lvlJc w:val="left"/>
      <w:pPr>
        <w:ind w:left="720" w:hanging="360"/>
      </w:pPr>
    </w:lvl>
    <w:lvl w:ilvl="1" w:tplc="08090019">
      <w:start w:val="1"/>
      <w:numFmt w:val="lowerLetter"/>
      <w:lvlText w:val="%2."/>
      <w:lvlJc w:val="left"/>
      <w:pPr>
        <w:ind w:left="1440" w:hanging="360"/>
      </w:pPr>
    </w:lvl>
    <w:lvl w:ilvl="2" w:tplc="EAFE9C00">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D73585"/>
    <w:multiLevelType w:val="hybridMultilevel"/>
    <w:tmpl w:val="EB8C1B50"/>
    <w:lvl w:ilvl="0" w:tplc="E3F023A8">
      <w:start w:val="1"/>
      <w:numFmt w:val="decimal"/>
      <w:pStyle w:val="Normal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s="Times New Roman"/>
        <w:caps w:val="0"/>
        <w:smallCaps w:val="0"/>
        <w:strike w:val="0"/>
        <w:dstrike w:val="0"/>
        <w:color w:val="000000"/>
        <w:spacing w:val="0"/>
        <w:w w:val="100"/>
        <w:kern w:val="0"/>
        <w:position w:val="0"/>
        <w:vertAlign w:val="baseline"/>
      </w:rPr>
    </w:lvl>
    <w:lvl w:ilvl="1" w:tplc="C6B23022">
      <w:start w:val="1"/>
      <w:numFmt w:val="lowerLetter"/>
      <w:lvlText w:val="%2)"/>
      <w:lvlJc w:val="left"/>
      <w:pPr>
        <w:tabs>
          <w:tab w:val="left" w:pos="624"/>
          <w:tab w:val="num" w:pos="2644"/>
        </w:tabs>
        <w:ind w:left="1395" w:firstLine="1024"/>
      </w:pPr>
      <w:rPr>
        <w:rFonts w:hAnsi="Arial Unicode MS" w:cs="Times New Roman"/>
        <w:caps w:val="0"/>
        <w:smallCaps w:val="0"/>
        <w:strike w:val="0"/>
        <w:dstrike w:val="0"/>
        <w:color w:val="000000"/>
        <w:spacing w:val="0"/>
        <w:w w:val="100"/>
        <w:kern w:val="0"/>
        <w:position w:val="0"/>
        <w:vertAlign w:val="baseline"/>
      </w:rPr>
    </w:lvl>
    <w:lvl w:ilvl="2" w:tplc="D904FDF4">
      <w:start w:val="1"/>
      <w:numFmt w:val="lowerLetter"/>
      <w:lvlText w:val="(%3)"/>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3" w:tplc="33849518">
      <w:start w:val="1"/>
      <w:numFmt w:val="decimal"/>
      <w:lvlText w:val="%4."/>
      <w:lvlJc w:val="left"/>
      <w:pPr>
        <w:tabs>
          <w:tab w:val="left" w:pos="624"/>
          <w:tab w:val="num" w:pos="3216"/>
        </w:tabs>
        <w:ind w:left="1967" w:firstLine="540"/>
      </w:pPr>
      <w:rPr>
        <w:rFonts w:hAnsi="Arial Unicode MS" w:cs="Times New Roman"/>
        <w:caps w:val="0"/>
        <w:smallCaps w:val="0"/>
        <w:strike w:val="0"/>
        <w:dstrike w:val="0"/>
        <w:color w:val="000000"/>
        <w:spacing w:val="0"/>
        <w:w w:val="100"/>
        <w:kern w:val="0"/>
        <w:position w:val="0"/>
        <w:vertAlign w:val="baseline"/>
      </w:rPr>
    </w:lvl>
    <w:lvl w:ilvl="4" w:tplc="4738ACAA">
      <w:start w:val="1"/>
      <w:numFmt w:val="lowerLetter"/>
      <w:lvlText w:val="%5."/>
      <w:lvlJc w:val="left"/>
      <w:pPr>
        <w:tabs>
          <w:tab w:val="left" w:pos="624"/>
          <w:tab w:val="num" w:pos="3936"/>
        </w:tabs>
        <w:ind w:left="2687" w:firstLine="636"/>
      </w:pPr>
      <w:rPr>
        <w:rFonts w:hAnsi="Arial Unicode MS" w:cs="Times New Roman"/>
        <w:caps w:val="0"/>
        <w:smallCaps w:val="0"/>
        <w:strike w:val="0"/>
        <w:dstrike w:val="0"/>
        <w:color w:val="000000"/>
        <w:spacing w:val="0"/>
        <w:w w:val="100"/>
        <w:kern w:val="0"/>
        <w:position w:val="0"/>
        <w:vertAlign w:val="baseline"/>
      </w:rPr>
    </w:lvl>
    <w:lvl w:ilvl="5" w:tplc="5FBAD3F2">
      <w:start w:val="1"/>
      <w:numFmt w:val="lowerRoman"/>
      <w:lvlText w:val="%6."/>
      <w:lvlJc w:val="left"/>
      <w:pPr>
        <w:tabs>
          <w:tab w:val="left" w:pos="624"/>
          <w:tab w:val="num" w:pos="4656"/>
        </w:tabs>
        <w:ind w:left="3407" w:firstLine="825"/>
      </w:pPr>
      <w:rPr>
        <w:rFonts w:hAnsi="Arial Unicode MS" w:cs="Times New Roman"/>
        <w:caps w:val="0"/>
        <w:smallCaps w:val="0"/>
        <w:strike w:val="0"/>
        <w:dstrike w:val="0"/>
        <w:color w:val="000000"/>
        <w:spacing w:val="0"/>
        <w:w w:val="100"/>
        <w:kern w:val="0"/>
        <w:position w:val="0"/>
        <w:vertAlign w:val="baseline"/>
      </w:rPr>
    </w:lvl>
    <w:lvl w:ilvl="6" w:tplc="95BCD89A">
      <w:start w:val="1"/>
      <w:numFmt w:val="decimal"/>
      <w:lvlText w:val="%7."/>
      <w:lvlJc w:val="left"/>
      <w:pPr>
        <w:tabs>
          <w:tab w:val="left" w:pos="624"/>
          <w:tab w:val="num" w:pos="5376"/>
        </w:tabs>
        <w:ind w:left="4127" w:firstLine="828"/>
      </w:pPr>
      <w:rPr>
        <w:rFonts w:hAnsi="Arial Unicode MS" w:cs="Times New Roman"/>
        <w:caps w:val="0"/>
        <w:smallCaps w:val="0"/>
        <w:strike w:val="0"/>
        <w:dstrike w:val="0"/>
        <w:color w:val="000000"/>
        <w:spacing w:val="0"/>
        <w:w w:val="100"/>
        <w:kern w:val="0"/>
        <w:position w:val="0"/>
        <w:vertAlign w:val="baseline"/>
      </w:rPr>
    </w:lvl>
    <w:lvl w:ilvl="7" w:tplc="1E308D9A">
      <w:start w:val="1"/>
      <w:numFmt w:val="lowerLetter"/>
      <w:lvlText w:val="%8."/>
      <w:lvlJc w:val="left"/>
      <w:pPr>
        <w:tabs>
          <w:tab w:val="left" w:pos="624"/>
          <w:tab w:val="num" w:pos="6096"/>
        </w:tabs>
        <w:ind w:left="4847" w:firstLine="924"/>
      </w:pPr>
      <w:rPr>
        <w:rFonts w:hAnsi="Arial Unicode MS" w:cs="Times New Roman"/>
        <w:caps w:val="0"/>
        <w:smallCaps w:val="0"/>
        <w:strike w:val="0"/>
        <w:dstrike w:val="0"/>
        <w:color w:val="000000"/>
        <w:spacing w:val="0"/>
        <w:w w:val="100"/>
        <w:kern w:val="0"/>
        <w:position w:val="0"/>
        <w:vertAlign w:val="baseline"/>
      </w:rPr>
    </w:lvl>
    <w:lvl w:ilvl="8" w:tplc="EF0C5D60">
      <w:start w:val="1"/>
      <w:numFmt w:val="lowerRoman"/>
      <w:lvlText w:val="%9."/>
      <w:lvlJc w:val="left"/>
      <w:pPr>
        <w:tabs>
          <w:tab w:val="left" w:pos="624"/>
          <w:tab w:val="num" w:pos="6816"/>
        </w:tabs>
        <w:ind w:left="5567" w:firstLine="1113"/>
      </w:pPr>
      <w:rPr>
        <w:rFonts w:hAnsi="Arial Unicode MS" w:cs="Times New Roman"/>
        <w:caps w:val="0"/>
        <w:smallCaps w:val="0"/>
        <w:strike w:val="0"/>
        <w:dstrike w:val="0"/>
        <w:color w:val="000000"/>
        <w:spacing w:val="0"/>
        <w:w w:val="100"/>
        <w:kern w:val="0"/>
        <w:position w:val="0"/>
        <w:vertAlign w:val="baseline"/>
      </w:rPr>
    </w:lvl>
  </w:abstractNum>
  <w:abstractNum w:abstractNumId="9">
    <w:nsid w:val="481B0640"/>
    <w:multiLevelType w:val="hybridMultilevel"/>
    <w:tmpl w:val="89EEF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914458"/>
    <w:multiLevelType w:val="hybridMultilevel"/>
    <w:tmpl w:val="8F12154E"/>
    <w:numStyleLink w:val="Importeradestilen17"/>
  </w:abstractNum>
  <w:abstractNum w:abstractNumId="11">
    <w:nsid w:val="4F1A58D9"/>
    <w:multiLevelType w:val="hybridMultilevel"/>
    <w:tmpl w:val="8F12154E"/>
    <w:styleLink w:val="Importeradestilen17"/>
    <w:lvl w:ilvl="0" w:tplc="C2CA7860">
      <w:start w:val="1"/>
      <w:numFmt w:val="lowerLetter"/>
      <w:lvlText w:val="%1)"/>
      <w:lvlJc w:val="left"/>
      <w:pPr>
        <w:ind w:left="660" w:hanging="300"/>
      </w:pPr>
      <w:rPr>
        <w:rFonts w:hAnsi="Arial Unicode MS" w:cs="Times New Roman"/>
        <w:caps w:val="0"/>
        <w:smallCaps w:val="0"/>
        <w:strike w:val="0"/>
        <w:dstrike w:val="0"/>
        <w:color w:val="000000"/>
        <w:spacing w:val="0"/>
        <w:w w:val="100"/>
        <w:kern w:val="0"/>
        <w:position w:val="0"/>
        <w:vertAlign w:val="baseline"/>
      </w:rPr>
    </w:lvl>
    <w:lvl w:ilvl="1" w:tplc="768E7FE6">
      <w:start w:val="1"/>
      <w:numFmt w:val="lowerLetter"/>
      <w:lvlText w:val="%2)"/>
      <w:lvlJc w:val="left"/>
      <w:pPr>
        <w:tabs>
          <w:tab w:val="left" w:pos="624"/>
        </w:tabs>
        <w:ind w:left="1386" w:hanging="269"/>
      </w:pPr>
      <w:rPr>
        <w:rFonts w:hAnsi="Arial Unicode MS" w:cs="Times New Roman"/>
        <w:caps w:val="0"/>
        <w:smallCaps w:val="0"/>
        <w:strike w:val="0"/>
        <w:dstrike w:val="0"/>
        <w:color w:val="000000"/>
        <w:spacing w:val="0"/>
        <w:w w:val="100"/>
        <w:kern w:val="0"/>
        <w:position w:val="0"/>
        <w:vertAlign w:val="baseline"/>
      </w:rPr>
    </w:lvl>
    <w:lvl w:ilvl="2" w:tplc="4094D26A">
      <w:start w:val="1"/>
      <w:numFmt w:val="lowerRoman"/>
      <w:lvlText w:val="%3."/>
      <w:lvlJc w:val="left"/>
      <w:pPr>
        <w:tabs>
          <w:tab w:val="left" w:pos="624"/>
        </w:tabs>
        <w:ind w:left="2113" w:hanging="237"/>
      </w:pPr>
      <w:rPr>
        <w:rFonts w:hAnsi="Arial Unicode MS" w:cs="Times New Roman"/>
        <w:caps w:val="0"/>
        <w:smallCaps w:val="0"/>
        <w:strike w:val="0"/>
        <w:dstrike w:val="0"/>
        <w:color w:val="000000"/>
        <w:spacing w:val="0"/>
        <w:w w:val="100"/>
        <w:kern w:val="0"/>
        <w:position w:val="0"/>
        <w:vertAlign w:val="baseline"/>
      </w:rPr>
    </w:lvl>
    <w:lvl w:ilvl="3" w:tplc="B598329E">
      <w:start w:val="1"/>
      <w:numFmt w:val="lowerRoman"/>
      <w:lvlText w:val="(%4)"/>
      <w:lvlJc w:val="left"/>
      <w:pPr>
        <w:tabs>
          <w:tab w:val="left" w:pos="624"/>
        </w:tabs>
        <w:ind w:left="3090" w:hanging="512"/>
      </w:pPr>
      <w:rPr>
        <w:rFonts w:hAnsi="Arial Unicode MS" w:cs="Times New Roman"/>
        <w:caps w:val="0"/>
        <w:smallCaps w:val="0"/>
        <w:strike w:val="0"/>
        <w:dstrike w:val="0"/>
        <w:color w:val="000000"/>
        <w:spacing w:val="0"/>
        <w:w w:val="100"/>
        <w:kern w:val="0"/>
        <w:position w:val="0"/>
        <w:vertAlign w:val="baseline"/>
      </w:rPr>
    </w:lvl>
    <w:lvl w:ilvl="4" w:tplc="284EAF26">
      <w:start w:val="1"/>
      <w:numFmt w:val="lowerLetter"/>
      <w:lvlText w:val="%5."/>
      <w:lvlJc w:val="left"/>
      <w:pPr>
        <w:tabs>
          <w:tab w:val="left" w:pos="624"/>
        </w:tabs>
        <w:ind w:left="3810" w:hanging="425"/>
      </w:pPr>
      <w:rPr>
        <w:rFonts w:hAnsi="Arial Unicode MS" w:cs="Times New Roman"/>
        <w:caps w:val="0"/>
        <w:smallCaps w:val="0"/>
        <w:strike w:val="0"/>
        <w:dstrike w:val="0"/>
        <w:color w:val="000000"/>
        <w:spacing w:val="0"/>
        <w:w w:val="100"/>
        <w:kern w:val="0"/>
        <w:position w:val="0"/>
        <w:vertAlign w:val="baseline"/>
      </w:rPr>
    </w:lvl>
    <w:lvl w:ilvl="5" w:tplc="BF5834C8">
      <w:start w:val="1"/>
      <w:numFmt w:val="lowerRoman"/>
      <w:lvlText w:val="%6."/>
      <w:lvlJc w:val="left"/>
      <w:pPr>
        <w:tabs>
          <w:tab w:val="left" w:pos="624"/>
        </w:tabs>
        <w:ind w:left="4530" w:hanging="332"/>
      </w:pPr>
      <w:rPr>
        <w:rFonts w:hAnsi="Arial Unicode MS" w:cs="Times New Roman"/>
        <w:caps w:val="0"/>
        <w:smallCaps w:val="0"/>
        <w:strike w:val="0"/>
        <w:dstrike w:val="0"/>
        <w:color w:val="000000"/>
        <w:spacing w:val="0"/>
        <w:w w:val="100"/>
        <w:kern w:val="0"/>
        <w:position w:val="0"/>
        <w:vertAlign w:val="baseline"/>
      </w:rPr>
    </w:lvl>
    <w:lvl w:ilvl="6" w:tplc="53A658B0">
      <w:start w:val="1"/>
      <w:numFmt w:val="decimal"/>
      <w:lvlText w:val="%7."/>
      <w:lvlJc w:val="left"/>
      <w:pPr>
        <w:tabs>
          <w:tab w:val="left" w:pos="624"/>
        </w:tabs>
        <w:ind w:left="5250" w:hanging="425"/>
      </w:pPr>
      <w:rPr>
        <w:rFonts w:hAnsi="Arial Unicode MS" w:cs="Times New Roman"/>
        <w:caps w:val="0"/>
        <w:smallCaps w:val="0"/>
        <w:strike w:val="0"/>
        <w:dstrike w:val="0"/>
        <w:color w:val="000000"/>
        <w:spacing w:val="0"/>
        <w:w w:val="100"/>
        <w:kern w:val="0"/>
        <w:position w:val="0"/>
        <w:vertAlign w:val="baseline"/>
      </w:rPr>
    </w:lvl>
    <w:lvl w:ilvl="7" w:tplc="DB4A24D2">
      <w:start w:val="1"/>
      <w:numFmt w:val="lowerLetter"/>
      <w:lvlText w:val="%8."/>
      <w:lvlJc w:val="left"/>
      <w:pPr>
        <w:tabs>
          <w:tab w:val="left" w:pos="624"/>
        </w:tabs>
        <w:ind w:left="5970" w:hanging="425"/>
      </w:pPr>
      <w:rPr>
        <w:rFonts w:hAnsi="Arial Unicode MS" w:cs="Times New Roman"/>
        <w:caps w:val="0"/>
        <w:smallCaps w:val="0"/>
        <w:strike w:val="0"/>
        <w:dstrike w:val="0"/>
        <w:color w:val="000000"/>
        <w:spacing w:val="0"/>
        <w:w w:val="100"/>
        <w:kern w:val="0"/>
        <w:position w:val="0"/>
        <w:vertAlign w:val="baseline"/>
      </w:rPr>
    </w:lvl>
    <w:lvl w:ilvl="8" w:tplc="D250074C">
      <w:start w:val="1"/>
      <w:numFmt w:val="lowerRoman"/>
      <w:lvlText w:val="%9."/>
      <w:lvlJc w:val="left"/>
      <w:pPr>
        <w:tabs>
          <w:tab w:val="left" w:pos="624"/>
        </w:tabs>
        <w:ind w:left="6690" w:hanging="332"/>
      </w:pPr>
      <w:rPr>
        <w:rFonts w:hAnsi="Arial Unicode MS" w:cs="Times New Roman"/>
        <w:caps w:val="0"/>
        <w:smallCaps w:val="0"/>
        <w:strike w:val="0"/>
        <w:dstrike w:val="0"/>
        <w:color w:val="000000"/>
        <w:spacing w:val="0"/>
        <w:w w:val="100"/>
        <w:kern w:val="0"/>
        <w:position w:val="0"/>
        <w:vertAlign w:val="baseline"/>
      </w:rPr>
    </w:lvl>
  </w:abstractNum>
  <w:abstractNum w:abstractNumId="12">
    <w:nsid w:val="52A66A9D"/>
    <w:multiLevelType w:val="multilevel"/>
    <w:tmpl w:val="151644CE"/>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3C87079"/>
    <w:multiLevelType w:val="hybridMultilevel"/>
    <w:tmpl w:val="F89C2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D2D62F3"/>
    <w:multiLevelType w:val="hybridMultilevel"/>
    <w:tmpl w:val="B3DC907C"/>
    <w:lvl w:ilvl="0" w:tplc="D15AFE5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E066267"/>
    <w:multiLevelType w:val="hybridMultilevel"/>
    <w:tmpl w:val="9E9E911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69A64C39"/>
    <w:multiLevelType w:val="multilevel"/>
    <w:tmpl w:val="DFD8F630"/>
    <w:lvl w:ilvl="0">
      <w:start w:val="1"/>
      <w:numFmt w:val="bullet"/>
      <w:lvlText w:val=""/>
      <w:lvlJc w:val="left"/>
      <w:pPr>
        <w:tabs>
          <w:tab w:val="num" w:pos="1134"/>
        </w:tabs>
        <w:ind w:left="1247" w:firstLine="0"/>
      </w:pPr>
      <w:rPr>
        <w:rFonts w:ascii="Symbol" w:hAnsi="Symbol"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69DA1D60"/>
    <w:multiLevelType w:val="multilevel"/>
    <w:tmpl w:val="2C20493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72FF7563"/>
    <w:multiLevelType w:val="hybridMultilevel"/>
    <w:tmpl w:val="7A02146E"/>
    <w:numStyleLink w:val="Importeradestilen16"/>
  </w:abstractNum>
  <w:num w:numId="1">
    <w:abstractNumId w:val="12"/>
  </w:num>
  <w:num w:numId="2">
    <w:abstractNumId w:val="4"/>
  </w:num>
  <w:num w:numId="3">
    <w:abstractNumId w:val="7"/>
  </w:num>
  <w:num w:numId="4">
    <w:abstractNumId w:val="12"/>
  </w:num>
  <w:num w:numId="5">
    <w:abstractNumId w:val="12"/>
    <w:lvlOverride w:ilvl="0">
      <w:lvl w:ilvl="0">
        <w:start w:val="1"/>
        <w:numFmt w:val="lowerLetter"/>
        <w:lvlText w:val="(%1)"/>
        <w:lvlJc w:val="left"/>
        <w:pPr>
          <w:ind w:left="2174" w:hanging="360"/>
        </w:pPr>
        <w:rPr>
          <w:rFonts w:hint="default"/>
        </w:rPr>
      </w:lvl>
    </w:lvlOverride>
    <w:lvlOverride w:ilvl="1">
      <w:lvl w:ilvl="1">
        <w:start w:val="1"/>
        <w:numFmt w:val="lowerLetter"/>
        <w:lvlText w:val="%2."/>
        <w:lvlJc w:val="left"/>
        <w:pPr>
          <w:ind w:left="2894" w:hanging="360"/>
        </w:pPr>
      </w:lvl>
    </w:lvlOverride>
    <w:lvlOverride w:ilvl="2">
      <w:lvl w:ilvl="2">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6">
    <w:abstractNumId w:val="5"/>
  </w:num>
  <w:num w:numId="7">
    <w:abstractNumId w:val="0"/>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1"/>
  </w:num>
  <w:num w:numId="14">
    <w:abstractNumId w:val="10"/>
  </w:num>
  <w:num w:numId="15">
    <w:abstractNumId w:val="15"/>
  </w:num>
  <w:num w:numId="16">
    <w:abstractNumId w:val="1"/>
  </w:num>
  <w:num w:numId="17">
    <w:abstractNumId w:val="9"/>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lvlOverride w:ilvl="1">
      <w:lvl w:ilvl="1">
        <w:start w:val="1"/>
        <w:numFmt w:val="lowerLetter"/>
        <w:lvlText w:val="(%2)"/>
        <w:lvlJc w:val="left"/>
        <w:pPr>
          <w:tabs>
            <w:tab w:val="num" w:pos="1134"/>
          </w:tabs>
          <w:ind w:left="1247" w:firstLine="567"/>
        </w:pPr>
        <w:rPr>
          <w:rFonts w:hint="default"/>
        </w:rPr>
      </w:lvl>
    </w:lvlOverride>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1">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2">
    <w:abstractNumId w:val="18"/>
  </w:num>
  <w:num w:numId="113">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4">
    <w:abstractNumId w:val="17"/>
  </w:num>
  <w:num w:numId="115">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6">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7">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8">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9">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0">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1">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2">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3">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4">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5">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6">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7">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8">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9">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0">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1">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2">
    <w:abstractNumId w:val="6"/>
  </w:num>
  <w:num w:numId="133">
    <w:abstractNumId w:val="3"/>
  </w:num>
  <w:num w:numId="134">
    <w:abstractNumId w:val="6"/>
  </w:num>
  <w:num w:numId="135">
    <w:abstractNumId w:val="6"/>
  </w:num>
  <w:num w:numId="136">
    <w:abstractNumId w:val="6"/>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434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15071"/>
    <w:rsid w:val="00023DA9"/>
    <w:rsid w:val="000247B0"/>
    <w:rsid w:val="00025365"/>
    <w:rsid w:val="00025D3F"/>
    <w:rsid w:val="00026997"/>
    <w:rsid w:val="00026A08"/>
    <w:rsid w:val="00032E4E"/>
    <w:rsid w:val="00033E0B"/>
    <w:rsid w:val="00035EDE"/>
    <w:rsid w:val="00040D2B"/>
    <w:rsid w:val="0004600E"/>
    <w:rsid w:val="00046EE7"/>
    <w:rsid w:val="000509B4"/>
    <w:rsid w:val="00055895"/>
    <w:rsid w:val="00056D50"/>
    <w:rsid w:val="0006035B"/>
    <w:rsid w:val="00060651"/>
    <w:rsid w:val="0006096F"/>
    <w:rsid w:val="00061BD9"/>
    <w:rsid w:val="000649C5"/>
    <w:rsid w:val="00071886"/>
    <w:rsid w:val="000742BC"/>
    <w:rsid w:val="00076CC6"/>
    <w:rsid w:val="00082A0C"/>
    <w:rsid w:val="00083504"/>
    <w:rsid w:val="000835E1"/>
    <w:rsid w:val="00091496"/>
    <w:rsid w:val="00094C60"/>
    <w:rsid w:val="0009640C"/>
    <w:rsid w:val="000970CD"/>
    <w:rsid w:val="000A6643"/>
    <w:rsid w:val="000B22A2"/>
    <w:rsid w:val="000B41CB"/>
    <w:rsid w:val="000B73F9"/>
    <w:rsid w:val="000C2A52"/>
    <w:rsid w:val="000C2DB9"/>
    <w:rsid w:val="000C3408"/>
    <w:rsid w:val="000C7E57"/>
    <w:rsid w:val="000D33C0"/>
    <w:rsid w:val="000D4CF6"/>
    <w:rsid w:val="000D64DB"/>
    <w:rsid w:val="000D6941"/>
    <w:rsid w:val="000E7C2B"/>
    <w:rsid w:val="000F4829"/>
    <w:rsid w:val="000F51FF"/>
    <w:rsid w:val="00101096"/>
    <w:rsid w:val="001202E3"/>
    <w:rsid w:val="00123699"/>
    <w:rsid w:val="001241FB"/>
    <w:rsid w:val="0013059D"/>
    <w:rsid w:val="00132739"/>
    <w:rsid w:val="00136187"/>
    <w:rsid w:val="00141A55"/>
    <w:rsid w:val="0014293F"/>
    <w:rsid w:val="0014397D"/>
    <w:rsid w:val="001446A3"/>
    <w:rsid w:val="0014559D"/>
    <w:rsid w:val="00147DA1"/>
    <w:rsid w:val="00152B6B"/>
    <w:rsid w:val="001530F2"/>
    <w:rsid w:val="0015462D"/>
    <w:rsid w:val="00155395"/>
    <w:rsid w:val="00156B6B"/>
    <w:rsid w:val="00160D74"/>
    <w:rsid w:val="001646EA"/>
    <w:rsid w:val="00167D02"/>
    <w:rsid w:val="001759D8"/>
    <w:rsid w:val="00177D7F"/>
    <w:rsid w:val="00180C3F"/>
    <w:rsid w:val="00181EC8"/>
    <w:rsid w:val="00184349"/>
    <w:rsid w:val="00186148"/>
    <w:rsid w:val="001931FD"/>
    <w:rsid w:val="00195F33"/>
    <w:rsid w:val="001A26AD"/>
    <w:rsid w:val="001A3629"/>
    <w:rsid w:val="001B0205"/>
    <w:rsid w:val="001B1617"/>
    <w:rsid w:val="001B504B"/>
    <w:rsid w:val="001B6F98"/>
    <w:rsid w:val="001C191A"/>
    <w:rsid w:val="001C5F3B"/>
    <w:rsid w:val="001D3874"/>
    <w:rsid w:val="001D7B83"/>
    <w:rsid w:val="001D7E75"/>
    <w:rsid w:val="001E0D73"/>
    <w:rsid w:val="001E45BD"/>
    <w:rsid w:val="001E53BD"/>
    <w:rsid w:val="001E56D2"/>
    <w:rsid w:val="001E7D56"/>
    <w:rsid w:val="001F03FA"/>
    <w:rsid w:val="001F09EB"/>
    <w:rsid w:val="001F1CC3"/>
    <w:rsid w:val="001F75DE"/>
    <w:rsid w:val="00200D58"/>
    <w:rsid w:val="002011C1"/>
    <w:rsid w:val="002013B3"/>
    <w:rsid w:val="002013BE"/>
    <w:rsid w:val="00201EDC"/>
    <w:rsid w:val="002063A4"/>
    <w:rsid w:val="0021145B"/>
    <w:rsid w:val="00220C23"/>
    <w:rsid w:val="002238C7"/>
    <w:rsid w:val="002247F6"/>
    <w:rsid w:val="00225E21"/>
    <w:rsid w:val="002304B6"/>
    <w:rsid w:val="00234E78"/>
    <w:rsid w:val="00236C0F"/>
    <w:rsid w:val="00243D36"/>
    <w:rsid w:val="00246151"/>
    <w:rsid w:val="00246698"/>
    <w:rsid w:val="00247707"/>
    <w:rsid w:val="0026018E"/>
    <w:rsid w:val="00283572"/>
    <w:rsid w:val="00286740"/>
    <w:rsid w:val="00287B80"/>
    <w:rsid w:val="00287CFA"/>
    <w:rsid w:val="00291EAE"/>
    <w:rsid w:val="002929D8"/>
    <w:rsid w:val="0029570E"/>
    <w:rsid w:val="00296289"/>
    <w:rsid w:val="002A00A2"/>
    <w:rsid w:val="002A237D"/>
    <w:rsid w:val="002A4C53"/>
    <w:rsid w:val="002A5830"/>
    <w:rsid w:val="002B0672"/>
    <w:rsid w:val="002B247F"/>
    <w:rsid w:val="002B50D4"/>
    <w:rsid w:val="002C145D"/>
    <w:rsid w:val="002C2C3E"/>
    <w:rsid w:val="002C533E"/>
    <w:rsid w:val="002D027F"/>
    <w:rsid w:val="002D3012"/>
    <w:rsid w:val="002D3E15"/>
    <w:rsid w:val="002D4013"/>
    <w:rsid w:val="002D7A85"/>
    <w:rsid w:val="002D7B60"/>
    <w:rsid w:val="002F25AD"/>
    <w:rsid w:val="002F4761"/>
    <w:rsid w:val="002F5C79"/>
    <w:rsid w:val="002F68EE"/>
    <w:rsid w:val="003019E2"/>
    <w:rsid w:val="003024A9"/>
    <w:rsid w:val="00310BEB"/>
    <w:rsid w:val="00312543"/>
    <w:rsid w:val="0031280A"/>
    <w:rsid w:val="00313AE4"/>
    <w:rsid w:val="0031413F"/>
    <w:rsid w:val="00314854"/>
    <w:rsid w:val="003148BB"/>
    <w:rsid w:val="00317976"/>
    <w:rsid w:val="003200B4"/>
    <w:rsid w:val="0032017D"/>
    <w:rsid w:val="00320F2F"/>
    <w:rsid w:val="00321838"/>
    <w:rsid w:val="00321FB0"/>
    <w:rsid w:val="00324D7B"/>
    <w:rsid w:val="003265CD"/>
    <w:rsid w:val="003366A8"/>
    <w:rsid w:val="00345900"/>
    <w:rsid w:val="00352DF4"/>
    <w:rsid w:val="00355EA9"/>
    <w:rsid w:val="00356E0F"/>
    <w:rsid w:val="003578DE"/>
    <w:rsid w:val="00361688"/>
    <w:rsid w:val="003656C1"/>
    <w:rsid w:val="003745A4"/>
    <w:rsid w:val="00386A3E"/>
    <w:rsid w:val="003877D5"/>
    <w:rsid w:val="003929B8"/>
    <w:rsid w:val="00392A9F"/>
    <w:rsid w:val="00392DED"/>
    <w:rsid w:val="00396257"/>
    <w:rsid w:val="00397EB8"/>
    <w:rsid w:val="003A4FD0"/>
    <w:rsid w:val="003A69D1"/>
    <w:rsid w:val="003A7705"/>
    <w:rsid w:val="003A77F1"/>
    <w:rsid w:val="003B11D2"/>
    <w:rsid w:val="003B1545"/>
    <w:rsid w:val="003B1B05"/>
    <w:rsid w:val="003B1B29"/>
    <w:rsid w:val="003B2CA0"/>
    <w:rsid w:val="003C212B"/>
    <w:rsid w:val="003C3219"/>
    <w:rsid w:val="003C409D"/>
    <w:rsid w:val="003C505D"/>
    <w:rsid w:val="003C5583"/>
    <w:rsid w:val="003C5BA6"/>
    <w:rsid w:val="003C74CF"/>
    <w:rsid w:val="003D3752"/>
    <w:rsid w:val="003D76A0"/>
    <w:rsid w:val="003E35DA"/>
    <w:rsid w:val="003E455D"/>
    <w:rsid w:val="003F0E85"/>
    <w:rsid w:val="003F4A10"/>
    <w:rsid w:val="00410C55"/>
    <w:rsid w:val="00416854"/>
    <w:rsid w:val="00417725"/>
    <w:rsid w:val="00420202"/>
    <w:rsid w:val="00437165"/>
    <w:rsid w:val="00437F26"/>
    <w:rsid w:val="00441922"/>
    <w:rsid w:val="00444097"/>
    <w:rsid w:val="00445487"/>
    <w:rsid w:val="00445DAD"/>
    <w:rsid w:val="00447E0D"/>
    <w:rsid w:val="00451E47"/>
    <w:rsid w:val="00454769"/>
    <w:rsid w:val="0046081B"/>
    <w:rsid w:val="00465D27"/>
    <w:rsid w:val="00466991"/>
    <w:rsid w:val="0047064C"/>
    <w:rsid w:val="00470B41"/>
    <w:rsid w:val="004822B7"/>
    <w:rsid w:val="00493F8E"/>
    <w:rsid w:val="0049469E"/>
    <w:rsid w:val="004A2217"/>
    <w:rsid w:val="004A24F9"/>
    <w:rsid w:val="004A2CDD"/>
    <w:rsid w:val="004A42E1"/>
    <w:rsid w:val="004B162C"/>
    <w:rsid w:val="004B28A8"/>
    <w:rsid w:val="004B2ABE"/>
    <w:rsid w:val="004B4E35"/>
    <w:rsid w:val="004C2BE5"/>
    <w:rsid w:val="004C3DBE"/>
    <w:rsid w:val="004C55D9"/>
    <w:rsid w:val="004C5C96"/>
    <w:rsid w:val="004C7DC1"/>
    <w:rsid w:val="004D06A4"/>
    <w:rsid w:val="004D5D0B"/>
    <w:rsid w:val="004F1A81"/>
    <w:rsid w:val="005012EA"/>
    <w:rsid w:val="005050D2"/>
    <w:rsid w:val="00516F04"/>
    <w:rsid w:val="005218D9"/>
    <w:rsid w:val="0053007B"/>
    <w:rsid w:val="00536186"/>
    <w:rsid w:val="00540EBC"/>
    <w:rsid w:val="00544CBB"/>
    <w:rsid w:val="005530F1"/>
    <w:rsid w:val="0055381B"/>
    <w:rsid w:val="005572B8"/>
    <w:rsid w:val="005656D7"/>
    <w:rsid w:val="00567B42"/>
    <w:rsid w:val="0057315F"/>
    <w:rsid w:val="00576104"/>
    <w:rsid w:val="005820A7"/>
    <w:rsid w:val="00592B21"/>
    <w:rsid w:val="005B44BF"/>
    <w:rsid w:val="005B6A73"/>
    <w:rsid w:val="005C5AC8"/>
    <w:rsid w:val="005C67C8"/>
    <w:rsid w:val="005D0249"/>
    <w:rsid w:val="005D18FA"/>
    <w:rsid w:val="005D4FD4"/>
    <w:rsid w:val="005D57CC"/>
    <w:rsid w:val="005D6E8C"/>
    <w:rsid w:val="005E3004"/>
    <w:rsid w:val="005F100C"/>
    <w:rsid w:val="005F68DA"/>
    <w:rsid w:val="00601BC9"/>
    <w:rsid w:val="0060773B"/>
    <w:rsid w:val="00613FD6"/>
    <w:rsid w:val="006157B5"/>
    <w:rsid w:val="00615C2C"/>
    <w:rsid w:val="00615F43"/>
    <w:rsid w:val="00617224"/>
    <w:rsid w:val="00626FC6"/>
    <w:rsid w:val="00627DC9"/>
    <w:rsid w:val="006303B4"/>
    <w:rsid w:val="00630ADC"/>
    <w:rsid w:val="00633D3D"/>
    <w:rsid w:val="00641703"/>
    <w:rsid w:val="006431A6"/>
    <w:rsid w:val="00643B83"/>
    <w:rsid w:val="00643E3A"/>
    <w:rsid w:val="00645834"/>
    <w:rsid w:val="006459F6"/>
    <w:rsid w:val="006501AD"/>
    <w:rsid w:val="00651BFA"/>
    <w:rsid w:val="00654475"/>
    <w:rsid w:val="006548C4"/>
    <w:rsid w:val="00655EED"/>
    <w:rsid w:val="00656DF0"/>
    <w:rsid w:val="00663F93"/>
    <w:rsid w:val="00665A4B"/>
    <w:rsid w:val="006744EA"/>
    <w:rsid w:val="00690931"/>
    <w:rsid w:val="00692E2A"/>
    <w:rsid w:val="006A76F2"/>
    <w:rsid w:val="006D19D4"/>
    <w:rsid w:val="006D7EFB"/>
    <w:rsid w:val="006E51EA"/>
    <w:rsid w:val="006E6672"/>
    <w:rsid w:val="006E6722"/>
    <w:rsid w:val="006F16F3"/>
    <w:rsid w:val="006F51BB"/>
    <w:rsid w:val="006F7AFF"/>
    <w:rsid w:val="007027B9"/>
    <w:rsid w:val="007066B5"/>
    <w:rsid w:val="00712D27"/>
    <w:rsid w:val="007145DA"/>
    <w:rsid w:val="0071470C"/>
    <w:rsid w:val="00715E88"/>
    <w:rsid w:val="007260E6"/>
    <w:rsid w:val="00734CAA"/>
    <w:rsid w:val="007366A6"/>
    <w:rsid w:val="00741552"/>
    <w:rsid w:val="00742680"/>
    <w:rsid w:val="0075533C"/>
    <w:rsid w:val="00757581"/>
    <w:rsid w:val="007602F5"/>
    <w:rsid w:val="00760A19"/>
    <w:rsid w:val="00760D36"/>
    <w:rsid w:val="007611A0"/>
    <w:rsid w:val="007667C2"/>
    <w:rsid w:val="00767155"/>
    <w:rsid w:val="00773E54"/>
    <w:rsid w:val="00774AD1"/>
    <w:rsid w:val="00787688"/>
    <w:rsid w:val="00790977"/>
    <w:rsid w:val="0079178D"/>
    <w:rsid w:val="00791B78"/>
    <w:rsid w:val="007935E6"/>
    <w:rsid w:val="00796D3F"/>
    <w:rsid w:val="007A1683"/>
    <w:rsid w:val="007A3A88"/>
    <w:rsid w:val="007A5C12"/>
    <w:rsid w:val="007A7CB0"/>
    <w:rsid w:val="007B2907"/>
    <w:rsid w:val="007B68A3"/>
    <w:rsid w:val="007C0998"/>
    <w:rsid w:val="007C2541"/>
    <w:rsid w:val="007C45B2"/>
    <w:rsid w:val="007D66A8"/>
    <w:rsid w:val="007E003F"/>
    <w:rsid w:val="007E12E8"/>
    <w:rsid w:val="007E35C2"/>
    <w:rsid w:val="007E3877"/>
    <w:rsid w:val="007F0CF8"/>
    <w:rsid w:val="007F62CB"/>
    <w:rsid w:val="008142EC"/>
    <w:rsid w:val="008164F2"/>
    <w:rsid w:val="00820EBF"/>
    <w:rsid w:val="00821395"/>
    <w:rsid w:val="00830E26"/>
    <w:rsid w:val="00831836"/>
    <w:rsid w:val="00835309"/>
    <w:rsid w:val="00843576"/>
    <w:rsid w:val="00843B64"/>
    <w:rsid w:val="008455B8"/>
    <w:rsid w:val="00845A15"/>
    <w:rsid w:val="008478FC"/>
    <w:rsid w:val="00851C51"/>
    <w:rsid w:val="00856CDB"/>
    <w:rsid w:val="00867BFF"/>
    <w:rsid w:val="00871542"/>
    <w:rsid w:val="008725CB"/>
    <w:rsid w:val="008727D8"/>
    <w:rsid w:val="00872BF6"/>
    <w:rsid w:val="0088480A"/>
    <w:rsid w:val="0088757A"/>
    <w:rsid w:val="008908B6"/>
    <w:rsid w:val="008915BC"/>
    <w:rsid w:val="00893A7C"/>
    <w:rsid w:val="0089431B"/>
    <w:rsid w:val="00894479"/>
    <w:rsid w:val="00895668"/>
    <w:rsid w:val="008957DD"/>
    <w:rsid w:val="00897D98"/>
    <w:rsid w:val="008A35AB"/>
    <w:rsid w:val="008A6DF2"/>
    <w:rsid w:val="008A7807"/>
    <w:rsid w:val="008B4CC9"/>
    <w:rsid w:val="008C33EE"/>
    <w:rsid w:val="008C4C3C"/>
    <w:rsid w:val="008C615B"/>
    <w:rsid w:val="008C7AC7"/>
    <w:rsid w:val="008D75E4"/>
    <w:rsid w:val="008D7C99"/>
    <w:rsid w:val="008D7F93"/>
    <w:rsid w:val="008E0FCB"/>
    <w:rsid w:val="008E1454"/>
    <w:rsid w:val="008E1FBB"/>
    <w:rsid w:val="008E2357"/>
    <w:rsid w:val="008E55C2"/>
    <w:rsid w:val="008F6DFE"/>
    <w:rsid w:val="0090529F"/>
    <w:rsid w:val="0092178C"/>
    <w:rsid w:val="00926A52"/>
    <w:rsid w:val="00930B88"/>
    <w:rsid w:val="00933D3E"/>
    <w:rsid w:val="00936DD7"/>
    <w:rsid w:val="00940DCC"/>
    <w:rsid w:val="0094179A"/>
    <w:rsid w:val="00943DCD"/>
    <w:rsid w:val="0094459E"/>
    <w:rsid w:val="00944DBC"/>
    <w:rsid w:val="00945EA0"/>
    <w:rsid w:val="00946A46"/>
    <w:rsid w:val="00950977"/>
    <w:rsid w:val="00951A7B"/>
    <w:rsid w:val="00954733"/>
    <w:rsid w:val="009564A6"/>
    <w:rsid w:val="0095710E"/>
    <w:rsid w:val="0096165D"/>
    <w:rsid w:val="009627CF"/>
    <w:rsid w:val="009666B3"/>
    <w:rsid w:val="00966A53"/>
    <w:rsid w:val="00967621"/>
    <w:rsid w:val="00967E6A"/>
    <w:rsid w:val="00982FA4"/>
    <w:rsid w:val="0098494C"/>
    <w:rsid w:val="0098576B"/>
    <w:rsid w:val="009907B9"/>
    <w:rsid w:val="00990918"/>
    <w:rsid w:val="0099193B"/>
    <w:rsid w:val="00996C07"/>
    <w:rsid w:val="009A3A83"/>
    <w:rsid w:val="009A4FC4"/>
    <w:rsid w:val="009A7C30"/>
    <w:rsid w:val="009B4A0F"/>
    <w:rsid w:val="009B56A1"/>
    <w:rsid w:val="009B71C0"/>
    <w:rsid w:val="009C11D2"/>
    <w:rsid w:val="009C6C70"/>
    <w:rsid w:val="009C7B0A"/>
    <w:rsid w:val="009D0B63"/>
    <w:rsid w:val="009D5CB8"/>
    <w:rsid w:val="009E307E"/>
    <w:rsid w:val="009E591D"/>
    <w:rsid w:val="009F6577"/>
    <w:rsid w:val="00A00C78"/>
    <w:rsid w:val="00A02414"/>
    <w:rsid w:val="00A06D51"/>
    <w:rsid w:val="00A07870"/>
    <w:rsid w:val="00A07C54"/>
    <w:rsid w:val="00A07F19"/>
    <w:rsid w:val="00A13378"/>
    <w:rsid w:val="00A1348D"/>
    <w:rsid w:val="00A13C99"/>
    <w:rsid w:val="00A14C63"/>
    <w:rsid w:val="00A210E9"/>
    <w:rsid w:val="00A232EE"/>
    <w:rsid w:val="00A245F5"/>
    <w:rsid w:val="00A27419"/>
    <w:rsid w:val="00A308F6"/>
    <w:rsid w:val="00A414F6"/>
    <w:rsid w:val="00A4175F"/>
    <w:rsid w:val="00A44411"/>
    <w:rsid w:val="00A469FA"/>
    <w:rsid w:val="00A53662"/>
    <w:rsid w:val="00A55B01"/>
    <w:rsid w:val="00A56B5B"/>
    <w:rsid w:val="00A603FF"/>
    <w:rsid w:val="00A619B6"/>
    <w:rsid w:val="00A648CA"/>
    <w:rsid w:val="00A657DD"/>
    <w:rsid w:val="00A666A6"/>
    <w:rsid w:val="00A675FD"/>
    <w:rsid w:val="00A72437"/>
    <w:rsid w:val="00A72CAA"/>
    <w:rsid w:val="00A77963"/>
    <w:rsid w:val="00A8048B"/>
    <w:rsid w:val="00A80611"/>
    <w:rsid w:val="00A96AC4"/>
    <w:rsid w:val="00AA3441"/>
    <w:rsid w:val="00AA5BF4"/>
    <w:rsid w:val="00AA6DB2"/>
    <w:rsid w:val="00AB5340"/>
    <w:rsid w:val="00AB6BEE"/>
    <w:rsid w:val="00AC0A89"/>
    <w:rsid w:val="00AC4820"/>
    <w:rsid w:val="00AC7C96"/>
    <w:rsid w:val="00AD0986"/>
    <w:rsid w:val="00AD1932"/>
    <w:rsid w:val="00AD4F02"/>
    <w:rsid w:val="00AE237D"/>
    <w:rsid w:val="00AE502A"/>
    <w:rsid w:val="00AE6AEA"/>
    <w:rsid w:val="00AF0010"/>
    <w:rsid w:val="00AF2C1F"/>
    <w:rsid w:val="00AF2C38"/>
    <w:rsid w:val="00AF2DF2"/>
    <w:rsid w:val="00AF7C07"/>
    <w:rsid w:val="00B03133"/>
    <w:rsid w:val="00B05052"/>
    <w:rsid w:val="00B06C64"/>
    <w:rsid w:val="00B11CAC"/>
    <w:rsid w:val="00B15A29"/>
    <w:rsid w:val="00B21E75"/>
    <w:rsid w:val="00B21ED0"/>
    <w:rsid w:val="00B21F67"/>
    <w:rsid w:val="00B22C93"/>
    <w:rsid w:val="00B27589"/>
    <w:rsid w:val="00B33818"/>
    <w:rsid w:val="00B405B7"/>
    <w:rsid w:val="00B453EF"/>
    <w:rsid w:val="00B47BFC"/>
    <w:rsid w:val="00B52222"/>
    <w:rsid w:val="00B52E6A"/>
    <w:rsid w:val="00B531DA"/>
    <w:rsid w:val="00B54895"/>
    <w:rsid w:val="00B54FE7"/>
    <w:rsid w:val="00B647C6"/>
    <w:rsid w:val="00B655F9"/>
    <w:rsid w:val="00B66901"/>
    <w:rsid w:val="00B71E6D"/>
    <w:rsid w:val="00B72070"/>
    <w:rsid w:val="00B721D6"/>
    <w:rsid w:val="00B75392"/>
    <w:rsid w:val="00B779E1"/>
    <w:rsid w:val="00B77B3C"/>
    <w:rsid w:val="00B81E3A"/>
    <w:rsid w:val="00B85CFB"/>
    <w:rsid w:val="00B91EE1"/>
    <w:rsid w:val="00B94602"/>
    <w:rsid w:val="00BA0090"/>
    <w:rsid w:val="00BA1A67"/>
    <w:rsid w:val="00BA6A80"/>
    <w:rsid w:val="00BB2C67"/>
    <w:rsid w:val="00BB4ABB"/>
    <w:rsid w:val="00BD280C"/>
    <w:rsid w:val="00BD3A6A"/>
    <w:rsid w:val="00BD7A45"/>
    <w:rsid w:val="00BE5B5F"/>
    <w:rsid w:val="00BE6466"/>
    <w:rsid w:val="00BE7993"/>
    <w:rsid w:val="00BF360D"/>
    <w:rsid w:val="00BF4703"/>
    <w:rsid w:val="00BF50C7"/>
    <w:rsid w:val="00C14FF7"/>
    <w:rsid w:val="00C257CD"/>
    <w:rsid w:val="00C26F55"/>
    <w:rsid w:val="00C30C63"/>
    <w:rsid w:val="00C30FF3"/>
    <w:rsid w:val="00C36B8B"/>
    <w:rsid w:val="00C415C1"/>
    <w:rsid w:val="00C47DBF"/>
    <w:rsid w:val="00C552FF"/>
    <w:rsid w:val="00C558DA"/>
    <w:rsid w:val="00C55AF3"/>
    <w:rsid w:val="00C73709"/>
    <w:rsid w:val="00C7642A"/>
    <w:rsid w:val="00C771A9"/>
    <w:rsid w:val="00C84759"/>
    <w:rsid w:val="00C84D00"/>
    <w:rsid w:val="00C959E8"/>
    <w:rsid w:val="00CA5CA9"/>
    <w:rsid w:val="00CA6C7F"/>
    <w:rsid w:val="00CB6B35"/>
    <w:rsid w:val="00CC0303"/>
    <w:rsid w:val="00CC0FC7"/>
    <w:rsid w:val="00CC10A6"/>
    <w:rsid w:val="00CC551D"/>
    <w:rsid w:val="00CC6A69"/>
    <w:rsid w:val="00CD5EB8"/>
    <w:rsid w:val="00CD7044"/>
    <w:rsid w:val="00CE0733"/>
    <w:rsid w:val="00CE08B9"/>
    <w:rsid w:val="00CE49F6"/>
    <w:rsid w:val="00CE524C"/>
    <w:rsid w:val="00CF074A"/>
    <w:rsid w:val="00CF141F"/>
    <w:rsid w:val="00CF4777"/>
    <w:rsid w:val="00CF55A6"/>
    <w:rsid w:val="00CF65C8"/>
    <w:rsid w:val="00D001CD"/>
    <w:rsid w:val="00D013F5"/>
    <w:rsid w:val="00D05E3F"/>
    <w:rsid w:val="00D067BB"/>
    <w:rsid w:val="00D10973"/>
    <w:rsid w:val="00D13433"/>
    <w:rsid w:val="00D1352A"/>
    <w:rsid w:val="00D135F6"/>
    <w:rsid w:val="00D169AF"/>
    <w:rsid w:val="00D25249"/>
    <w:rsid w:val="00D27BD7"/>
    <w:rsid w:val="00D35346"/>
    <w:rsid w:val="00D41249"/>
    <w:rsid w:val="00D41721"/>
    <w:rsid w:val="00D41CD4"/>
    <w:rsid w:val="00D44172"/>
    <w:rsid w:val="00D47BE3"/>
    <w:rsid w:val="00D502EC"/>
    <w:rsid w:val="00D60601"/>
    <w:rsid w:val="00D63B8C"/>
    <w:rsid w:val="00D64004"/>
    <w:rsid w:val="00D642A0"/>
    <w:rsid w:val="00D65C7E"/>
    <w:rsid w:val="00D6778D"/>
    <w:rsid w:val="00D70AB5"/>
    <w:rsid w:val="00D7265E"/>
    <w:rsid w:val="00D739CC"/>
    <w:rsid w:val="00D8093D"/>
    <w:rsid w:val="00D8108C"/>
    <w:rsid w:val="00D83D2C"/>
    <w:rsid w:val="00D842AE"/>
    <w:rsid w:val="00D90A62"/>
    <w:rsid w:val="00D9211C"/>
    <w:rsid w:val="00D92B05"/>
    <w:rsid w:val="00D92DE0"/>
    <w:rsid w:val="00D92FEF"/>
    <w:rsid w:val="00D93A0F"/>
    <w:rsid w:val="00DA1BCA"/>
    <w:rsid w:val="00DA4A4D"/>
    <w:rsid w:val="00DA724A"/>
    <w:rsid w:val="00DB3CDA"/>
    <w:rsid w:val="00DC0FBB"/>
    <w:rsid w:val="00DC41EB"/>
    <w:rsid w:val="00DC46FF"/>
    <w:rsid w:val="00DC5254"/>
    <w:rsid w:val="00DC569D"/>
    <w:rsid w:val="00DC620E"/>
    <w:rsid w:val="00DD1A4F"/>
    <w:rsid w:val="00DD3107"/>
    <w:rsid w:val="00DD4116"/>
    <w:rsid w:val="00DD46E5"/>
    <w:rsid w:val="00DD7C2C"/>
    <w:rsid w:val="00DE399E"/>
    <w:rsid w:val="00DE5BDA"/>
    <w:rsid w:val="00DF3460"/>
    <w:rsid w:val="00DF3637"/>
    <w:rsid w:val="00DF433C"/>
    <w:rsid w:val="00E0035A"/>
    <w:rsid w:val="00E06797"/>
    <w:rsid w:val="00E1265B"/>
    <w:rsid w:val="00E13B48"/>
    <w:rsid w:val="00E13D24"/>
    <w:rsid w:val="00E1404F"/>
    <w:rsid w:val="00E141F1"/>
    <w:rsid w:val="00E14853"/>
    <w:rsid w:val="00E21C83"/>
    <w:rsid w:val="00E23510"/>
    <w:rsid w:val="00E24ADA"/>
    <w:rsid w:val="00E32F59"/>
    <w:rsid w:val="00E41908"/>
    <w:rsid w:val="00E46D9A"/>
    <w:rsid w:val="00E47152"/>
    <w:rsid w:val="00E47BAC"/>
    <w:rsid w:val="00E565FF"/>
    <w:rsid w:val="00E573D5"/>
    <w:rsid w:val="00E64159"/>
    <w:rsid w:val="00E65388"/>
    <w:rsid w:val="00E76977"/>
    <w:rsid w:val="00E7741D"/>
    <w:rsid w:val="00E808CD"/>
    <w:rsid w:val="00E80AD2"/>
    <w:rsid w:val="00E8348F"/>
    <w:rsid w:val="00E85B7D"/>
    <w:rsid w:val="00E9121B"/>
    <w:rsid w:val="00E9302E"/>
    <w:rsid w:val="00E96FEE"/>
    <w:rsid w:val="00E976AB"/>
    <w:rsid w:val="00EA0AE2"/>
    <w:rsid w:val="00EA39E5"/>
    <w:rsid w:val="00EA57A3"/>
    <w:rsid w:val="00EC2813"/>
    <w:rsid w:val="00EC3F36"/>
    <w:rsid w:val="00EC5A46"/>
    <w:rsid w:val="00EC63E2"/>
    <w:rsid w:val="00ED366A"/>
    <w:rsid w:val="00ED4F25"/>
    <w:rsid w:val="00ED6BB7"/>
    <w:rsid w:val="00EE1723"/>
    <w:rsid w:val="00EF22B3"/>
    <w:rsid w:val="00EF7EA1"/>
    <w:rsid w:val="00F03B69"/>
    <w:rsid w:val="00F043DA"/>
    <w:rsid w:val="00F07A50"/>
    <w:rsid w:val="00F113DA"/>
    <w:rsid w:val="00F134E0"/>
    <w:rsid w:val="00F1627C"/>
    <w:rsid w:val="00F266FC"/>
    <w:rsid w:val="00F3037A"/>
    <w:rsid w:val="00F3465A"/>
    <w:rsid w:val="00F37DC8"/>
    <w:rsid w:val="00F439B3"/>
    <w:rsid w:val="00F43ED5"/>
    <w:rsid w:val="00F650C3"/>
    <w:rsid w:val="00F65D85"/>
    <w:rsid w:val="00F6700B"/>
    <w:rsid w:val="00F70E4F"/>
    <w:rsid w:val="00F8091E"/>
    <w:rsid w:val="00F8615C"/>
    <w:rsid w:val="00F879AB"/>
    <w:rsid w:val="00F969E5"/>
    <w:rsid w:val="00FA4972"/>
    <w:rsid w:val="00FA6BB0"/>
    <w:rsid w:val="00FB2DBD"/>
    <w:rsid w:val="00FB53D9"/>
    <w:rsid w:val="00FC3631"/>
    <w:rsid w:val="00FC4B57"/>
    <w:rsid w:val="00FD48DF"/>
    <w:rsid w:val="00FD5860"/>
    <w:rsid w:val="00FD5C01"/>
    <w:rsid w:val="00FE2419"/>
    <w:rsid w:val="00FE352D"/>
    <w:rsid w:val="00FE3730"/>
    <w:rsid w:val="00FE40EB"/>
    <w:rsid w:val="00FE457E"/>
    <w:rsid w:val="00FE4D02"/>
    <w:rsid w:val="00FE5B66"/>
    <w:rsid w:val="00FE67C6"/>
    <w:rsid w:val="00FE7D62"/>
    <w:rsid w:val="00FF1B47"/>
    <w:rsid w:val="00FF381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2E7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8AE0-BDB5-41EF-8F20-13B14E31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C4F5D9C9.dotm</Template>
  <TotalTime>2</TotalTime>
  <Pages>9</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3</cp:revision>
  <cp:lastPrinted>2017-06-02T08:28:00Z</cp:lastPrinted>
  <dcterms:created xsi:type="dcterms:W3CDTF">2017-06-19T12:18:00Z</dcterms:created>
  <dcterms:modified xsi:type="dcterms:W3CDTF">2017-06-19T12:20:00Z</dcterms:modified>
</cp:coreProperties>
</file>