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892D98">
              <w:rPr>
                <w:rFonts w:cs="Times New Roman"/>
                <w:szCs w:val="20"/>
              </w:rPr>
              <w:t>26/Add.1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BC391F" w:rsidRDefault="00934FB6" w:rsidP="00B42C89">
            <w:pPr>
              <w:spacing w:before="120"/>
              <w:jc w:val="both"/>
              <w:rPr>
                <w:rFonts w:cs="Times New Roman"/>
                <w:szCs w:val="20"/>
              </w:rPr>
            </w:pPr>
            <w:r w:rsidRPr="00A969A0">
              <w:rPr>
                <w:rFonts w:cs="Times New Roman"/>
                <w:szCs w:val="20"/>
              </w:rPr>
              <w:t>Distr.</w:t>
            </w:r>
            <w:r w:rsidRPr="00A969A0">
              <w:rPr>
                <w:rFonts w:cs="Times New Roman"/>
                <w:szCs w:val="20"/>
                <w:lang w:val="en-GB"/>
              </w:rPr>
              <w:t>: General</w:t>
            </w:r>
          </w:p>
          <w:p w:rsidR="00934FB6" w:rsidRPr="00A969A0" w:rsidRDefault="00892D98" w:rsidP="00934FB6">
            <w:pPr>
              <w:jc w:val="both"/>
              <w:rPr>
                <w:rFonts w:cs="Times New Roman"/>
                <w:szCs w:val="20"/>
              </w:rPr>
            </w:pPr>
            <w:r>
              <w:rPr>
                <w:rFonts w:cs="Times New Roman"/>
                <w:szCs w:val="20"/>
              </w:rPr>
              <w:t xml:space="preserve">27 April </w:t>
            </w:r>
            <w:r w:rsidR="00934FB6" w:rsidRPr="00A969A0">
              <w:rPr>
                <w:rFonts w:cs="Times New Roman"/>
                <w:szCs w:val="20"/>
              </w:rPr>
              <w:t>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2E146EBE" wp14:editId="60E92D5D">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6A854403" wp14:editId="158F1B3B">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rFonts w:hint="cs"/>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r>
              <w:rPr>
                <w:rFonts w:hint="cs"/>
                <w:b/>
                <w:bCs/>
                <w:sz w:val="30"/>
                <w:rtl/>
              </w:rPr>
              <w:t>الاجتماع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6B05FA">
            <w:pPr>
              <w:bidi/>
              <w:spacing w:after="40" w:line="360" w:lineRule="exact"/>
              <w:ind w:left="142"/>
              <w:jc w:val="both"/>
              <w:rPr>
                <w:b/>
                <w:bCs/>
                <w:sz w:val="28"/>
                <w:szCs w:val="28"/>
                <w:rtl/>
              </w:rPr>
            </w:pPr>
            <w:r>
              <w:rPr>
                <w:rFonts w:ascii="Traditional Arabic" w:hAnsi="Traditional Arabic" w:hint="cs"/>
                <w:sz w:val="30"/>
                <w:rtl/>
              </w:rPr>
              <w:t xml:space="preserve">البند </w:t>
            </w:r>
            <w:r w:rsidR="00DB0824">
              <w:rPr>
                <w:rFonts w:ascii="Traditional Arabic" w:hAnsi="Traditional Arabic" w:hint="cs"/>
                <w:sz w:val="30"/>
                <w:rtl/>
              </w:rPr>
              <w:t>6</w:t>
            </w:r>
            <w:r>
              <w:rPr>
                <w:rFonts w:ascii="Traditional Arabic" w:hAnsi="Traditional Arabic" w:hint="cs"/>
                <w:sz w:val="30"/>
                <w:rtl/>
              </w:rPr>
              <w:t xml:space="preserve"> (</w:t>
            </w:r>
            <w:r w:rsidR="00DB0824">
              <w:rPr>
                <w:rFonts w:ascii="Traditional Arabic" w:hAnsi="Traditional Arabic" w:hint="cs"/>
                <w:sz w:val="30"/>
                <w:rtl/>
              </w:rPr>
              <w:t>ح</w:t>
            </w:r>
            <w:r>
              <w:rPr>
                <w:rFonts w:ascii="Traditional Arabic" w:hAnsi="Traditional Arabic" w:hint="cs"/>
                <w:sz w:val="30"/>
                <w:rtl/>
              </w:rPr>
              <w:t>) من جدول الأعمال المؤقت</w:t>
            </w:r>
            <w:r w:rsidRPr="00C5704B">
              <w:rPr>
                <w:rStyle w:val="FootnoteReference"/>
                <w:rFonts w:cs="Times New Roman"/>
                <w:sz w:val="32"/>
                <w:szCs w:val="32"/>
                <w:rtl/>
              </w:rPr>
              <w:footnoteReference w:customMarkFollows="1" w:id="1"/>
              <w:t>*</w:t>
            </w:r>
          </w:p>
        </w:tc>
      </w:tr>
    </w:tbl>
    <w:p w:rsidR="00705DFA" w:rsidRPr="00DB0824" w:rsidRDefault="00705DFA" w:rsidP="00FC3F44">
      <w:pPr>
        <w:pStyle w:val="AATitle2"/>
        <w:bidi/>
        <w:spacing w:before="0" w:after="360" w:line="340" w:lineRule="exact"/>
        <w:ind w:right="6095"/>
        <w:jc w:val="both"/>
        <w:textDirection w:val="tbRlV"/>
        <w:rPr>
          <w:rFonts w:cs="Traditional Arabic" w:hint="cs"/>
          <w:bCs/>
          <w:sz w:val="28"/>
          <w:szCs w:val="28"/>
          <w:rtl/>
          <w:lang w:eastAsia="zh-TW"/>
        </w:rPr>
      </w:pPr>
      <w:r w:rsidRPr="00DB0824">
        <w:rPr>
          <w:rFonts w:cs="Traditional Arabic"/>
          <w:bCs/>
          <w:sz w:val="28"/>
          <w:szCs w:val="28"/>
          <w:rtl/>
          <w:lang w:eastAsia="zh-TW"/>
        </w:rPr>
        <w:t>مسائل تنص عليها الاتفاقية ويتعين أن يتخذ مؤتمر الأطراف إجراءات بشأنها: تعريف المستويات الحدية لنفايات الزئبق المشار إليه في الفقرة ٢ من المادة ١١</w:t>
      </w:r>
    </w:p>
    <w:p w:rsidR="00705DFA" w:rsidRPr="00DB0824" w:rsidRDefault="00705DFA" w:rsidP="00DB0824">
      <w:pPr>
        <w:pStyle w:val="BBTitle"/>
        <w:tabs>
          <w:tab w:val="clear" w:pos="1247"/>
          <w:tab w:val="clear" w:pos="1814"/>
          <w:tab w:val="clear" w:pos="2381"/>
          <w:tab w:val="clear" w:pos="2948"/>
          <w:tab w:val="clear" w:pos="3515"/>
          <w:tab w:val="clear" w:pos="4082"/>
        </w:tabs>
        <w:bidi/>
        <w:spacing w:before="120" w:line="400" w:lineRule="exact"/>
        <w:ind w:left="1134" w:right="0"/>
        <w:jc w:val="both"/>
        <w:textDirection w:val="tbRlV"/>
        <w:rPr>
          <w:rFonts w:cs="Traditional Arabic"/>
          <w:bCs/>
          <w:sz w:val="34"/>
          <w:szCs w:val="34"/>
          <w:rtl/>
          <w:lang w:eastAsia="zh-TW"/>
        </w:rPr>
      </w:pPr>
      <w:r w:rsidRPr="00DB0824">
        <w:rPr>
          <w:rFonts w:cs="Traditional Arabic"/>
          <w:bCs/>
          <w:sz w:val="34"/>
          <w:szCs w:val="34"/>
          <w:rtl/>
          <w:lang w:eastAsia="zh-TW"/>
        </w:rPr>
        <w:t>تجميع معلومات إضافية عن استخدام العتب</w:t>
      </w:r>
      <w:r w:rsidR="00DB0824">
        <w:rPr>
          <w:rFonts w:cs="Traditional Arabic"/>
          <w:bCs/>
          <w:sz w:val="34"/>
          <w:szCs w:val="34"/>
          <w:rtl/>
          <w:lang w:eastAsia="zh-TW"/>
        </w:rPr>
        <w:t>ات التي تنطبق على نفايات الزئبق</w:t>
      </w:r>
    </w:p>
    <w:p w:rsidR="007351C7" w:rsidRDefault="00705DFA" w:rsidP="00D74C11">
      <w:pPr>
        <w:pStyle w:val="BBTitle"/>
        <w:tabs>
          <w:tab w:val="clear" w:pos="1247"/>
          <w:tab w:val="clear" w:pos="1814"/>
          <w:tab w:val="clear" w:pos="2381"/>
          <w:tab w:val="clear" w:pos="2948"/>
          <w:tab w:val="clear" w:pos="3515"/>
          <w:tab w:val="clear" w:pos="4082"/>
        </w:tabs>
        <w:bidi/>
        <w:spacing w:before="0" w:line="400" w:lineRule="exact"/>
        <w:ind w:left="1134" w:right="0"/>
        <w:jc w:val="both"/>
        <w:textDirection w:val="tbRlV"/>
        <w:rPr>
          <w:rFonts w:cs="Traditional Arabic"/>
          <w:bCs/>
          <w:sz w:val="32"/>
          <w:szCs w:val="32"/>
          <w:rtl/>
          <w:lang w:eastAsia="zh-TW"/>
        </w:rPr>
      </w:pPr>
      <w:r w:rsidRPr="00DB0824">
        <w:rPr>
          <w:rFonts w:cs="Traditional Arabic"/>
          <w:bCs/>
          <w:sz w:val="32"/>
          <w:szCs w:val="32"/>
          <w:rtl/>
          <w:lang w:eastAsia="zh-TW"/>
        </w:rPr>
        <w:t>إضافة</w:t>
      </w:r>
    </w:p>
    <w:p w:rsidR="00705DFA" w:rsidRPr="00DB0824" w:rsidRDefault="00705DFA" w:rsidP="007351C7">
      <w:pPr>
        <w:pStyle w:val="BBTitle"/>
        <w:tabs>
          <w:tab w:val="clear" w:pos="1247"/>
          <w:tab w:val="clear" w:pos="1814"/>
          <w:tab w:val="clear" w:pos="2381"/>
          <w:tab w:val="clear" w:pos="2948"/>
          <w:tab w:val="clear" w:pos="3515"/>
          <w:tab w:val="clear" w:pos="4082"/>
        </w:tabs>
        <w:bidi/>
        <w:spacing w:before="0" w:line="400" w:lineRule="exact"/>
        <w:ind w:left="1134" w:right="0"/>
        <w:jc w:val="both"/>
        <w:textDirection w:val="tbRlV"/>
        <w:rPr>
          <w:rFonts w:cs="Traditional Arabic"/>
          <w:bCs/>
          <w:sz w:val="32"/>
          <w:szCs w:val="32"/>
          <w:rtl/>
          <w:lang w:eastAsia="zh-TW"/>
        </w:rPr>
      </w:pPr>
      <w:r w:rsidRPr="00DB0824">
        <w:rPr>
          <w:rFonts w:cs="Traditional Arabic"/>
          <w:bCs/>
          <w:sz w:val="32"/>
          <w:szCs w:val="32"/>
          <w:rtl/>
          <w:lang w:eastAsia="zh-TW"/>
        </w:rPr>
        <w:t>مقرر يتعلق بالمادة ١١، أُحيل من الدورة السابعة للجنة التفاوض الحكومية الدولية</w:t>
      </w:r>
    </w:p>
    <w:p w:rsidR="00705DFA" w:rsidRPr="00DB0824" w:rsidRDefault="00705DFA" w:rsidP="00DB0824">
      <w:pPr>
        <w:pStyle w:val="CH2"/>
        <w:tabs>
          <w:tab w:val="clear" w:pos="851"/>
          <w:tab w:val="clear" w:pos="1247"/>
          <w:tab w:val="clear" w:pos="1814"/>
          <w:tab w:val="clear" w:pos="2381"/>
          <w:tab w:val="clear" w:pos="2948"/>
          <w:tab w:val="clear" w:pos="3515"/>
          <w:tab w:val="clear" w:pos="4082"/>
        </w:tabs>
        <w:bidi/>
        <w:spacing w:before="0" w:line="400" w:lineRule="exact"/>
        <w:ind w:left="1132" w:right="0" w:firstLine="0"/>
        <w:jc w:val="both"/>
        <w:textDirection w:val="tbRlV"/>
        <w:rPr>
          <w:rFonts w:cs="Traditional Arabic"/>
          <w:bCs/>
          <w:sz w:val="32"/>
          <w:szCs w:val="32"/>
          <w:rtl/>
          <w:lang w:eastAsia="zh-TW"/>
        </w:rPr>
      </w:pPr>
      <w:r w:rsidRPr="00DB0824">
        <w:rPr>
          <w:rFonts w:cs="Traditional Arabic"/>
          <w:bCs/>
          <w:sz w:val="32"/>
          <w:szCs w:val="32"/>
          <w:rtl/>
          <w:lang w:eastAsia="zh-TW"/>
        </w:rPr>
        <w:t>مذكرة من الأمانة</w:t>
      </w:r>
    </w:p>
    <w:p w:rsidR="00705DFA" w:rsidRPr="00DB0824" w:rsidRDefault="00705DFA" w:rsidP="006A09DC">
      <w:pPr>
        <w:pStyle w:val="Normalnumber"/>
        <w:numPr>
          <w:ilvl w:val="0"/>
          <w:numId w:val="18"/>
        </w:numPr>
        <w:tabs>
          <w:tab w:val="left" w:pos="1841"/>
        </w:tabs>
        <w:autoSpaceDE/>
        <w:autoSpaceDN/>
        <w:bidi/>
        <w:adjustRightInd/>
        <w:spacing w:line="400" w:lineRule="exact"/>
        <w:ind w:left="1132"/>
        <w:jc w:val="both"/>
        <w:textDirection w:val="tbRlV"/>
        <w:rPr>
          <w:rFonts w:cs="Traditional Arabic"/>
          <w:szCs w:val="30"/>
          <w:rtl/>
          <w:lang w:eastAsia="zh-TW"/>
        </w:rPr>
      </w:pPr>
      <w:r w:rsidRPr="00DB0824">
        <w:rPr>
          <w:rFonts w:cs="Traditional Arabic"/>
          <w:szCs w:val="30"/>
          <w:rtl/>
          <w:lang w:eastAsia="zh-TW"/>
        </w:rPr>
        <w:t>في الدورة السابعة للجنة التفاوض الحكومية الدولية لإعداد صك عالمي ملزم قانونا</w:t>
      </w:r>
      <w:r w:rsidR="00FC3F44">
        <w:rPr>
          <w:rFonts w:cs="Traditional Arabic" w:hint="cs"/>
          <w:szCs w:val="30"/>
          <w:rtl/>
          <w:lang w:eastAsia="zh-TW"/>
        </w:rPr>
        <w:t>ً</w:t>
      </w:r>
      <w:r w:rsidRPr="00DB0824">
        <w:rPr>
          <w:rFonts w:cs="Traditional Arabic"/>
          <w:szCs w:val="30"/>
          <w:rtl/>
          <w:lang w:eastAsia="zh-TW"/>
        </w:rPr>
        <w:t xml:space="preserve"> بشأن الزئبق، ق</w:t>
      </w:r>
      <w:r w:rsidR="00B75C62">
        <w:rPr>
          <w:rFonts w:cs="Traditional Arabic" w:hint="cs"/>
          <w:szCs w:val="30"/>
          <w:rtl/>
          <w:lang w:eastAsia="zh-TW"/>
        </w:rPr>
        <w:t>ُ</w:t>
      </w:r>
      <w:r w:rsidRPr="00DB0824">
        <w:rPr>
          <w:rFonts w:cs="Traditional Arabic"/>
          <w:szCs w:val="30"/>
          <w:rtl/>
          <w:lang w:eastAsia="zh-TW"/>
        </w:rPr>
        <w:t xml:space="preserve">دم مشروع مقرر يتعلق </w:t>
      </w:r>
      <w:r w:rsidR="00FC3F44">
        <w:rPr>
          <w:rFonts w:cs="Traditional Arabic" w:hint="cs"/>
          <w:szCs w:val="30"/>
          <w:rtl/>
          <w:lang w:eastAsia="zh-TW"/>
        </w:rPr>
        <w:t>ب</w:t>
      </w:r>
      <w:r w:rsidRPr="00DB0824">
        <w:rPr>
          <w:rFonts w:cs="Traditional Arabic"/>
          <w:szCs w:val="30"/>
          <w:rtl/>
          <w:lang w:eastAsia="zh-TW"/>
        </w:rPr>
        <w:t xml:space="preserve">المسائل المتصلة بالمادة ١١ من الاتفاقية بشأن نفايات الزئبق، لكي تنظر فيه الدورة. وعقب المناقشة لم يتم التوصل إلى أي استنتاج نهائي بشأن النص. ولذلك قررت اللجنة أن </w:t>
      </w:r>
      <w:r w:rsidRPr="00DB0824">
        <w:rPr>
          <w:rFonts w:cs="Traditional Arabic" w:hint="cs"/>
          <w:szCs w:val="30"/>
          <w:rtl/>
          <w:lang w:eastAsia="zh-TW"/>
        </w:rPr>
        <w:t>يُقدم</w:t>
      </w:r>
      <w:r w:rsidRPr="00DB0824">
        <w:rPr>
          <w:rFonts w:cs="Traditional Arabic"/>
          <w:szCs w:val="30"/>
          <w:rtl/>
          <w:lang w:eastAsia="zh-TW"/>
        </w:rPr>
        <w:t xml:space="preserve"> النص الحالي والنص المقترح، الوارد في المرفق التاسع للوثيقة </w:t>
      </w:r>
      <w:r w:rsidRPr="00DB0824">
        <w:rPr>
          <w:rFonts w:asciiTheme="majorBidi" w:hAnsiTheme="majorBidi" w:cstheme="majorBidi"/>
          <w:szCs w:val="20"/>
          <w:rtl/>
          <w:lang w:eastAsia="zh-TW"/>
        </w:rPr>
        <w:t>UNEP(DTIE)/</w:t>
      </w:r>
      <w:proofErr w:type="spellStart"/>
      <w:r w:rsidRPr="00DB0824">
        <w:rPr>
          <w:rFonts w:asciiTheme="majorBidi" w:hAnsiTheme="majorBidi" w:cstheme="majorBidi"/>
          <w:szCs w:val="20"/>
          <w:rtl/>
          <w:lang w:eastAsia="zh-TW"/>
        </w:rPr>
        <w:t>Hg</w:t>
      </w:r>
      <w:proofErr w:type="spellEnd"/>
      <w:r w:rsidRPr="00DB0824">
        <w:rPr>
          <w:rFonts w:asciiTheme="majorBidi" w:hAnsiTheme="majorBidi" w:cstheme="majorBidi"/>
          <w:szCs w:val="20"/>
          <w:rtl/>
          <w:lang w:eastAsia="zh-TW"/>
        </w:rPr>
        <w:t>/INC.7/22/Rev.1</w:t>
      </w:r>
      <w:r w:rsidRPr="00DB0824">
        <w:rPr>
          <w:rFonts w:cs="Traditional Arabic"/>
          <w:szCs w:val="30"/>
          <w:rtl/>
          <w:lang w:eastAsia="zh-TW"/>
        </w:rPr>
        <w:t xml:space="preserve">، بوصفهما بديلين لكي ينظر فيهما مؤتمر الأطراف في اتفاقية ميناماتا بشأن الزئبق في اجتماعه الأول. ويرد </w:t>
      </w:r>
      <w:r w:rsidRPr="00DB0824">
        <w:rPr>
          <w:rFonts w:cs="Traditional Arabic" w:hint="cs"/>
          <w:szCs w:val="30"/>
          <w:rtl/>
          <w:lang w:eastAsia="zh-TW"/>
        </w:rPr>
        <w:t>مشروع المقرر</w:t>
      </w:r>
      <w:r w:rsidRPr="00DB0824">
        <w:rPr>
          <w:rFonts w:cs="Traditional Arabic"/>
          <w:szCs w:val="30"/>
          <w:rtl/>
          <w:lang w:eastAsia="zh-TW"/>
        </w:rPr>
        <w:t xml:space="preserve"> في مرفق هذه المذكرة. </w:t>
      </w:r>
    </w:p>
    <w:p w:rsidR="00705DFA" w:rsidRPr="006A09DC" w:rsidRDefault="00705DFA" w:rsidP="006A09DC">
      <w:pPr>
        <w:pStyle w:val="CH3"/>
        <w:tabs>
          <w:tab w:val="clear" w:pos="1247"/>
          <w:tab w:val="clear" w:pos="1814"/>
          <w:tab w:val="clear" w:pos="2381"/>
          <w:tab w:val="clear" w:pos="2948"/>
          <w:tab w:val="clear" w:pos="3515"/>
          <w:tab w:val="clear" w:pos="4082"/>
          <w:tab w:val="left" w:pos="1841"/>
        </w:tabs>
        <w:bidi/>
        <w:spacing w:line="400" w:lineRule="exact"/>
        <w:ind w:left="1132" w:right="0" w:firstLine="0"/>
        <w:jc w:val="both"/>
        <w:textDirection w:val="tbRlV"/>
        <w:rPr>
          <w:rFonts w:cs="Traditional Arabic"/>
          <w:bCs/>
          <w:sz w:val="30"/>
          <w:szCs w:val="30"/>
          <w:rtl/>
          <w:lang w:eastAsia="zh-TW"/>
        </w:rPr>
      </w:pPr>
      <w:r w:rsidRPr="006A09DC">
        <w:rPr>
          <w:rFonts w:cs="Traditional Arabic"/>
          <w:bCs/>
          <w:sz w:val="30"/>
          <w:szCs w:val="30"/>
          <w:rtl/>
          <w:lang w:eastAsia="zh-TW"/>
        </w:rPr>
        <w:t>الإجراء المقترح أن يتخذه مؤتمر الأطراف</w:t>
      </w:r>
    </w:p>
    <w:p w:rsidR="00D113A9" w:rsidRPr="00DB0824" w:rsidRDefault="00705DFA" w:rsidP="006A09DC">
      <w:pPr>
        <w:pStyle w:val="Normalnumber"/>
        <w:numPr>
          <w:ilvl w:val="0"/>
          <w:numId w:val="18"/>
        </w:numPr>
        <w:tabs>
          <w:tab w:val="left" w:pos="1841"/>
        </w:tabs>
        <w:autoSpaceDE/>
        <w:autoSpaceDN/>
        <w:bidi/>
        <w:adjustRightInd/>
        <w:spacing w:line="400" w:lineRule="exact"/>
        <w:ind w:left="1132"/>
        <w:jc w:val="both"/>
        <w:rPr>
          <w:rFonts w:cs="Traditional Arabic"/>
          <w:szCs w:val="30"/>
          <w:rtl/>
        </w:rPr>
      </w:pPr>
      <w:r w:rsidRPr="00DB0824">
        <w:rPr>
          <w:rFonts w:cs="Traditional Arabic"/>
          <w:szCs w:val="30"/>
          <w:rtl/>
          <w:lang w:eastAsia="zh-TW"/>
        </w:rPr>
        <w:t xml:space="preserve">قد يود المؤتمر أن ينظر في مشروع المقرر الذي أحالته إليه لجنة التفاوض الحكومية الدولية </w:t>
      </w:r>
      <w:r w:rsidR="00081D44">
        <w:rPr>
          <w:rFonts w:cs="Traditional Arabic" w:hint="cs"/>
          <w:szCs w:val="30"/>
          <w:rtl/>
          <w:lang w:eastAsia="zh-TW"/>
        </w:rPr>
        <w:t>في دورتها ا</w:t>
      </w:r>
      <w:r w:rsidR="00081D44" w:rsidRPr="00DB0824">
        <w:rPr>
          <w:rFonts w:cs="Traditional Arabic"/>
          <w:szCs w:val="30"/>
          <w:rtl/>
          <w:lang w:eastAsia="zh-TW"/>
        </w:rPr>
        <w:t xml:space="preserve">لسابعة </w:t>
      </w:r>
      <w:r w:rsidRPr="00DB0824">
        <w:rPr>
          <w:rFonts w:cs="Traditional Arabic"/>
          <w:szCs w:val="30"/>
          <w:rtl/>
          <w:lang w:eastAsia="zh-TW"/>
        </w:rPr>
        <w:t>كجزء من مداولاتها بشأن المادة ١١ من الاتفاقية</w:t>
      </w:r>
      <w:r w:rsidR="00FC3F44">
        <w:rPr>
          <w:rFonts w:cs="Traditional Arabic" w:hint="cs"/>
          <w:szCs w:val="30"/>
          <w:rtl/>
        </w:rPr>
        <w:t>.</w:t>
      </w:r>
    </w:p>
    <w:p w:rsidR="00705DFA" w:rsidRPr="006A09DC" w:rsidRDefault="00705DFA" w:rsidP="006A09DC">
      <w:pPr>
        <w:bidi/>
        <w:spacing w:after="120" w:line="400" w:lineRule="exact"/>
        <w:ind w:left="-2"/>
        <w:jc w:val="both"/>
        <w:rPr>
          <w:b/>
          <w:bCs/>
          <w:sz w:val="34"/>
          <w:szCs w:val="34"/>
          <w:rtl/>
          <w:lang w:eastAsia="zh-TW"/>
        </w:rPr>
      </w:pPr>
      <w:r w:rsidRPr="00DB0824">
        <w:rPr>
          <w:rtl/>
        </w:rPr>
        <w:br w:type="page"/>
      </w:r>
      <w:r w:rsidRPr="006A09DC">
        <w:rPr>
          <w:b/>
          <w:bCs/>
          <w:sz w:val="34"/>
          <w:szCs w:val="34"/>
          <w:rtl/>
          <w:lang w:eastAsia="zh-TW"/>
        </w:rPr>
        <w:lastRenderedPageBreak/>
        <w:t>المرفق</w:t>
      </w:r>
    </w:p>
    <w:p w:rsidR="00705DFA" w:rsidRPr="006A09DC" w:rsidRDefault="00705DFA" w:rsidP="006A09DC">
      <w:pPr>
        <w:pStyle w:val="ZZAnxtitle"/>
        <w:tabs>
          <w:tab w:val="clear" w:pos="1247"/>
          <w:tab w:val="clear" w:pos="1814"/>
          <w:tab w:val="clear" w:pos="2381"/>
          <w:tab w:val="clear" w:pos="2948"/>
        </w:tabs>
        <w:bidi/>
        <w:spacing w:before="0" w:line="400" w:lineRule="exact"/>
        <w:ind w:left="1132"/>
        <w:jc w:val="both"/>
        <w:textDirection w:val="tbRlV"/>
        <w:rPr>
          <w:rFonts w:cs="Traditional Arabic"/>
          <w:sz w:val="32"/>
          <w:szCs w:val="32"/>
          <w:rtl/>
          <w:lang w:eastAsia="zh-TW"/>
        </w:rPr>
      </w:pPr>
      <w:r w:rsidRPr="006A09DC">
        <w:rPr>
          <w:rFonts w:cs="Traditional Arabic"/>
          <w:sz w:val="32"/>
          <w:szCs w:val="32"/>
          <w:rtl/>
          <w:lang w:eastAsia="zh-TW"/>
        </w:rPr>
        <w:t>النص المقترح أن يعتمده مؤتمر الأطراف في اجتماعه الأول بشأن المادة ١١، المعنونة ’’نفايات الزئبق‘‘</w:t>
      </w:r>
    </w:p>
    <w:p w:rsidR="00705DFA" w:rsidRPr="00DB0824" w:rsidRDefault="00705DFA" w:rsidP="006A09DC">
      <w:pPr>
        <w:pStyle w:val="NormalNonumber"/>
        <w:tabs>
          <w:tab w:val="clear" w:pos="1247"/>
          <w:tab w:val="clear" w:pos="1814"/>
          <w:tab w:val="clear" w:pos="2381"/>
          <w:tab w:val="clear" w:pos="2948"/>
        </w:tabs>
        <w:bidi/>
        <w:spacing w:line="400" w:lineRule="exact"/>
        <w:ind w:left="1132"/>
        <w:jc w:val="both"/>
        <w:textDirection w:val="tbRlV"/>
        <w:rPr>
          <w:rStyle w:val="Inget"/>
          <w:rFonts w:cs="Traditional Arabic"/>
          <w:szCs w:val="30"/>
          <w:rtl/>
          <w:lang w:eastAsia="zh-TW"/>
        </w:rPr>
      </w:pPr>
      <w:r w:rsidRPr="00DB0824">
        <w:rPr>
          <w:rFonts w:cs="Traditional Arabic"/>
          <w:szCs w:val="30"/>
          <w:rtl/>
          <w:lang w:eastAsia="zh-TW"/>
        </w:rPr>
        <w:t>أعد مؤتمر الأطراف في اتفاقية بازل بشأن التحكم في نقل النفايات الخطرة والتخلص منها عبر الحدود، تحت قيادة حكومة اليابان، مبادئ توجيهية تقنية بشأن الإدارة السليمة بيئيا</w:t>
      </w:r>
      <w:r w:rsidR="00FC3F44">
        <w:rPr>
          <w:rFonts w:cs="Traditional Arabic" w:hint="cs"/>
          <w:szCs w:val="30"/>
          <w:rtl/>
          <w:lang w:eastAsia="zh-TW"/>
        </w:rPr>
        <w:t>ً</w:t>
      </w:r>
      <w:r w:rsidRPr="00DB0824">
        <w:rPr>
          <w:rFonts w:cs="Traditional Arabic"/>
          <w:szCs w:val="30"/>
          <w:rtl/>
          <w:lang w:eastAsia="zh-TW"/>
        </w:rPr>
        <w:t xml:space="preserve"> لنفايات الزئبق. وقد اعتُمدت المبادئ التوجيهية خلال الاجتماع الثاني عشر لمؤتمر الأطراف في اتفاقية بازل المعقود في العام الماضي. وهي جاهزة للتطبيق. ومن المهم أن تُستخدم المبادئ التوجيهية بطريقة متسقة لكفالة الإدارة السليمة لهذه النفايات الخطرة. وينبغي أن تستخدمها الأطراف في اتفاقية ميناماتا </w:t>
      </w:r>
      <w:r w:rsidRPr="00DB0824">
        <w:rPr>
          <w:rFonts w:cs="Traditional Arabic" w:hint="cs"/>
          <w:szCs w:val="30"/>
          <w:rtl/>
          <w:lang w:eastAsia="zh-TW"/>
        </w:rPr>
        <w:t xml:space="preserve">على هذا النحو </w:t>
      </w:r>
      <w:r w:rsidRPr="00DB0824">
        <w:rPr>
          <w:rFonts w:cs="Traditional Arabic"/>
          <w:szCs w:val="30"/>
          <w:rtl/>
          <w:lang w:eastAsia="zh-TW"/>
        </w:rPr>
        <w:t>ووفقا</w:t>
      </w:r>
      <w:r w:rsidR="00FC3F44">
        <w:rPr>
          <w:rFonts w:cs="Traditional Arabic" w:hint="cs"/>
          <w:szCs w:val="30"/>
          <w:rtl/>
          <w:lang w:eastAsia="zh-TW"/>
        </w:rPr>
        <w:t>ً</w:t>
      </w:r>
      <w:r w:rsidRPr="00DB0824">
        <w:rPr>
          <w:rFonts w:cs="Traditional Arabic"/>
          <w:szCs w:val="30"/>
          <w:rtl/>
          <w:lang w:eastAsia="zh-TW"/>
        </w:rPr>
        <w:t xml:space="preserve"> لاتفاقية ميناماتا. ولذلك يُقترح النص التالي لاعتماد قرار بشأن هذه المسألة خلال الاجتماع الأول لمؤتمر الأطراف في اتفاقية ميناماتا.</w:t>
      </w:r>
    </w:p>
    <w:p w:rsidR="00705DFA" w:rsidRPr="007351C7" w:rsidRDefault="007351C7" w:rsidP="007351C7">
      <w:pPr>
        <w:pStyle w:val="CH1"/>
        <w:tabs>
          <w:tab w:val="clear" w:pos="851"/>
          <w:tab w:val="clear" w:pos="1247"/>
          <w:tab w:val="clear" w:pos="1814"/>
          <w:tab w:val="clear" w:pos="2381"/>
          <w:tab w:val="clear" w:pos="2948"/>
        </w:tabs>
        <w:bidi/>
        <w:spacing w:before="0" w:line="400" w:lineRule="exact"/>
        <w:ind w:left="1132" w:right="0" w:firstLine="0"/>
        <w:jc w:val="both"/>
        <w:textDirection w:val="tbRlV"/>
        <w:rPr>
          <w:rFonts w:cs="Traditional Arabic"/>
          <w:bCs/>
          <w:sz w:val="32"/>
          <w:szCs w:val="32"/>
          <w:rtl/>
          <w:lang w:eastAsia="zh-TW"/>
        </w:rPr>
      </w:pPr>
      <w:r>
        <w:rPr>
          <w:rFonts w:cs="Traditional Arabic"/>
          <w:bCs/>
          <w:sz w:val="32"/>
          <w:szCs w:val="32"/>
          <w:rtl/>
          <w:lang w:eastAsia="zh-TW"/>
        </w:rPr>
        <w:t>إن مؤتمر الأطراف</w:t>
      </w:r>
    </w:p>
    <w:p w:rsidR="00705DFA" w:rsidRPr="00DB0824" w:rsidRDefault="00705DFA" w:rsidP="006A09DC">
      <w:pPr>
        <w:pStyle w:val="Normalnumber"/>
        <w:numPr>
          <w:ilvl w:val="0"/>
          <w:numId w:val="20"/>
        </w:numPr>
        <w:tabs>
          <w:tab w:val="left" w:pos="2408"/>
        </w:tabs>
        <w:autoSpaceDE/>
        <w:autoSpaceDN/>
        <w:bidi/>
        <w:adjustRightInd/>
        <w:spacing w:line="400" w:lineRule="exact"/>
        <w:ind w:left="1132" w:firstLine="709"/>
        <w:jc w:val="both"/>
        <w:textDirection w:val="tbRlV"/>
        <w:rPr>
          <w:rStyle w:val="Inget"/>
          <w:rFonts w:cs="Traditional Arabic"/>
          <w:szCs w:val="30"/>
          <w:rtl/>
          <w:lang w:eastAsia="zh-TW"/>
        </w:rPr>
      </w:pPr>
      <w:r w:rsidRPr="006A09DC">
        <w:rPr>
          <w:rFonts w:cs="Traditional Arabic"/>
          <w:i/>
          <w:iCs/>
          <w:szCs w:val="30"/>
          <w:rtl/>
          <w:lang w:eastAsia="zh-TW"/>
        </w:rPr>
        <w:t>يرحب مع التقدير</w:t>
      </w:r>
      <w:r w:rsidRPr="00DB0824">
        <w:rPr>
          <w:rFonts w:cs="Traditional Arabic"/>
          <w:szCs w:val="30"/>
          <w:rtl/>
          <w:lang w:eastAsia="zh-TW"/>
        </w:rPr>
        <w:t xml:space="preserve"> بالمقرر ا ب-12/4 لمؤتمر الأطراف في اتفاقية بازل بشأن التحكم في نقل النفايات الخطرة والتخلص منها عبر الحدود، المتعلق بالمبادئ التوجيهية التقنية للإدارة السليمة بيئيا</w:t>
      </w:r>
      <w:r w:rsidR="00FC3F44">
        <w:rPr>
          <w:rFonts w:cs="Traditional Arabic" w:hint="cs"/>
          <w:szCs w:val="30"/>
          <w:rtl/>
          <w:lang w:eastAsia="zh-TW"/>
        </w:rPr>
        <w:t>ً</w:t>
      </w:r>
      <w:r w:rsidRPr="00DB0824">
        <w:rPr>
          <w:rFonts w:cs="Traditional Arabic"/>
          <w:szCs w:val="30"/>
          <w:rtl/>
          <w:lang w:eastAsia="zh-TW"/>
        </w:rPr>
        <w:t xml:space="preserve"> للنفايات المكونة من الزئبق أو المشتملة عليه أو الملوثة به؛</w:t>
      </w:r>
    </w:p>
    <w:p w:rsidR="00705DFA" w:rsidRPr="00DB0824" w:rsidRDefault="00705DFA" w:rsidP="006A09DC">
      <w:pPr>
        <w:pStyle w:val="Normalnumber"/>
        <w:numPr>
          <w:ilvl w:val="0"/>
          <w:numId w:val="20"/>
        </w:numPr>
        <w:tabs>
          <w:tab w:val="left" w:pos="2408"/>
        </w:tabs>
        <w:autoSpaceDE/>
        <w:autoSpaceDN/>
        <w:bidi/>
        <w:adjustRightInd/>
        <w:spacing w:line="400" w:lineRule="exact"/>
        <w:ind w:left="1132" w:firstLine="709"/>
        <w:jc w:val="both"/>
        <w:textDirection w:val="tbRlV"/>
        <w:rPr>
          <w:rStyle w:val="Inget"/>
          <w:rFonts w:cs="Traditional Arabic"/>
          <w:szCs w:val="30"/>
          <w:rtl/>
          <w:lang w:eastAsia="zh-TW"/>
        </w:rPr>
      </w:pPr>
      <w:r w:rsidRPr="00DB0824">
        <w:rPr>
          <w:rFonts w:cs="Traditional Arabic" w:hint="cs"/>
          <w:szCs w:val="30"/>
          <w:rtl/>
          <w:lang w:eastAsia="zh-TW"/>
        </w:rPr>
        <w:t>[</w:t>
      </w:r>
      <w:r w:rsidRPr="006A09DC">
        <w:rPr>
          <w:rFonts w:cs="Traditional Arabic"/>
          <w:i/>
          <w:iCs/>
          <w:szCs w:val="30"/>
          <w:rtl/>
          <w:lang w:eastAsia="zh-TW"/>
        </w:rPr>
        <w:t>يطلب</w:t>
      </w:r>
      <w:r w:rsidRPr="00DB0824">
        <w:rPr>
          <w:rFonts w:cs="Traditional Arabic"/>
          <w:szCs w:val="30"/>
          <w:rtl/>
          <w:lang w:eastAsia="zh-TW"/>
        </w:rPr>
        <w:t xml:space="preserve"> إلى الأطراف في هذه الاتفاقية التي هي أطراف في اتفاقية بازل تطبيق هذه المبادئ التوجيهية</w:t>
      </w:r>
      <w:r w:rsidR="00B75C62">
        <w:rPr>
          <w:rFonts w:cs="Traditional Arabic" w:hint="cs"/>
          <w:szCs w:val="30"/>
          <w:rtl/>
          <w:lang w:eastAsia="zh-TW"/>
        </w:rPr>
        <w:t>.</w:t>
      </w:r>
    </w:p>
    <w:p w:rsidR="00705DFA" w:rsidRPr="00DB0824" w:rsidRDefault="00705DFA" w:rsidP="006A09DC">
      <w:pPr>
        <w:pStyle w:val="Normalnumber"/>
        <w:numPr>
          <w:ilvl w:val="0"/>
          <w:numId w:val="20"/>
        </w:numPr>
        <w:tabs>
          <w:tab w:val="left" w:pos="2408"/>
        </w:tabs>
        <w:autoSpaceDE/>
        <w:autoSpaceDN/>
        <w:bidi/>
        <w:adjustRightInd/>
        <w:spacing w:line="400" w:lineRule="exact"/>
        <w:ind w:left="1132" w:firstLine="709"/>
        <w:jc w:val="both"/>
        <w:textDirection w:val="tbRlV"/>
        <w:rPr>
          <w:rStyle w:val="Inget"/>
          <w:rFonts w:cs="Traditional Arabic"/>
          <w:szCs w:val="30"/>
          <w:rtl/>
          <w:lang w:eastAsia="zh-TW"/>
        </w:rPr>
      </w:pPr>
      <w:r w:rsidRPr="006A09DC">
        <w:rPr>
          <w:rFonts w:cs="Traditional Arabic"/>
          <w:i/>
          <w:iCs/>
          <w:szCs w:val="30"/>
          <w:rtl/>
          <w:lang w:eastAsia="zh-TW"/>
        </w:rPr>
        <w:t>يدعو</w:t>
      </w:r>
      <w:r w:rsidRPr="00DB0824">
        <w:rPr>
          <w:rFonts w:cs="Traditional Arabic"/>
          <w:szCs w:val="30"/>
          <w:rtl/>
          <w:lang w:eastAsia="zh-TW"/>
        </w:rPr>
        <w:t xml:space="preserve"> الأطراف في هذه الاتفاقية التي ليست أطرافا</w:t>
      </w:r>
      <w:r w:rsidR="00FC3F44">
        <w:rPr>
          <w:rFonts w:cs="Traditional Arabic" w:hint="cs"/>
          <w:szCs w:val="30"/>
          <w:rtl/>
          <w:lang w:eastAsia="zh-TW"/>
        </w:rPr>
        <w:t>ً</w:t>
      </w:r>
      <w:r w:rsidRPr="00DB0824">
        <w:rPr>
          <w:rFonts w:cs="Traditional Arabic"/>
          <w:szCs w:val="30"/>
          <w:rtl/>
          <w:lang w:eastAsia="zh-TW"/>
        </w:rPr>
        <w:t xml:space="preserve"> في اتفاقية بازل إلى استخدام هذه المبادئ التوجيهية للاسترشاد بها.]</w:t>
      </w:r>
    </w:p>
    <w:p w:rsidR="00D113A9" w:rsidRPr="00DB0824" w:rsidRDefault="006A09DC" w:rsidP="00FC3F44">
      <w:pPr>
        <w:pStyle w:val="Title"/>
        <w:tabs>
          <w:tab w:val="left" w:pos="1841"/>
          <w:tab w:val="left" w:pos="2408"/>
        </w:tabs>
        <w:spacing w:after="120" w:line="400" w:lineRule="exact"/>
        <w:ind w:left="1132"/>
        <w:jc w:val="both"/>
        <w:rPr>
          <w:rFonts w:cs="Traditional Arabic"/>
          <w:sz w:val="20"/>
          <w:szCs w:val="30"/>
          <w:u w:val="none"/>
          <w:rtl/>
        </w:rPr>
      </w:pPr>
      <w:r>
        <w:rPr>
          <w:rFonts w:cs="Traditional Arabic" w:hint="cs"/>
          <w:sz w:val="20"/>
          <w:szCs w:val="30"/>
          <w:u w:val="none"/>
          <w:rtl/>
          <w:lang w:eastAsia="zh-TW"/>
        </w:rPr>
        <w:t>3-</w:t>
      </w:r>
      <w:r>
        <w:rPr>
          <w:rFonts w:cs="Traditional Arabic" w:hint="cs"/>
          <w:sz w:val="20"/>
          <w:szCs w:val="30"/>
          <w:u w:val="none"/>
          <w:rtl/>
          <w:lang w:eastAsia="zh-TW"/>
        </w:rPr>
        <w:tab/>
      </w:r>
      <w:r w:rsidR="00705DFA" w:rsidRPr="00DB0824">
        <w:rPr>
          <w:rFonts w:cs="Traditional Arabic" w:hint="cs"/>
          <w:sz w:val="20"/>
          <w:szCs w:val="30"/>
          <w:u w:val="none"/>
          <w:rtl/>
          <w:lang w:eastAsia="zh-TW"/>
        </w:rPr>
        <w:t>[</w:t>
      </w:r>
      <w:r w:rsidR="00705DFA" w:rsidRPr="00DB0824">
        <w:rPr>
          <w:rFonts w:cs="Traditional Arabic"/>
          <w:sz w:val="20"/>
          <w:szCs w:val="30"/>
          <w:u w:val="none"/>
          <w:rtl/>
          <w:lang w:eastAsia="zh-TW"/>
        </w:rPr>
        <w:t>٢-</w:t>
      </w:r>
      <w:r>
        <w:rPr>
          <w:rFonts w:cs="Traditional Arabic"/>
          <w:sz w:val="20"/>
          <w:szCs w:val="30"/>
          <w:u w:val="none"/>
          <w:rtl/>
          <w:lang w:eastAsia="zh-TW"/>
        </w:rPr>
        <w:tab/>
      </w:r>
      <w:r w:rsidR="00705DFA" w:rsidRPr="006A09DC">
        <w:rPr>
          <w:rFonts w:cs="Traditional Arabic"/>
          <w:i/>
          <w:iCs/>
          <w:sz w:val="20"/>
          <w:szCs w:val="30"/>
          <w:u w:val="none"/>
          <w:rtl/>
          <w:lang w:eastAsia="zh-TW"/>
        </w:rPr>
        <w:t>يشير</w:t>
      </w:r>
      <w:r w:rsidR="00705DFA" w:rsidRPr="00DB0824">
        <w:rPr>
          <w:rFonts w:cs="Traditional Arabic"/>
          <w:sz w:val="20"/>
          <w:szCs w:val="30"/>
          <w:u w:val="none"/>
          <w:rtl/>
          <w:lang w:eastAsia="zh-TW"/>
        </w:rPr>
        <w:t xml:space="preserve"> إلى المادة ١١ من اتفاقية ميناماتا، التي يُطلب فيها إلى الأطراف في اتفاقية ميناماتا التي هي أطراف في اتفاقية بازل تطبيق المبادئ التوجيهية المشار إليها في الفقرة السابقة، كما تُدعى</w:t>
      </w:r>
      <w:bookmarkStart w:id="0" w:name="_GoBack"/>
      <w:bookmarkEnd w:id="0"/>
      <w:r w:rsidR="00705DFA" w:rsidRPr="00DB0824">
        <w:rPr>
          <w:rFonts w:cs="Traditional Arabic"/>
          <w:sz w:val="20"/>
          <w:szCs w:val="30"/>
          <w:u w:val="none"/>
          <w:rtl/>
          <w:lang w:eastAsia="zh-TW"/>
        </w:rPr>
        <w:t xml:space="preserve"> الأطراف في اتفاقية ميناماتا التي ليست أطرافا</w:t>
      </w:r>
      <w:r w:rsidR="00FC3F44">
        <w:rPr>
          <w:rFonts w:cs="Traditional Arabic" w:hint="cs"/>
          <w:sz w:val="20"/>
          <w:szCs w:val="30"/>
          <w:u w:val="none"/>
          <w:rtl/>
          <w:lang w:eastAsia="zh-TW"/>
        </w:rPr>
        <w:t>ً</w:t>
      </w:r>
      <w:r w:rsidR="00705DFA" w:rsidRPr="00DB0824">
        <w:rPr>
          <w:rFonts w:cs="Traditional Arabic"/>
          <w:sz w:val="20"/>
          <w:szCs w:val="30"/>
          <w:u w:val="none"/>
          <w:rtl/>
          <w:lang w:eastAsia="zh-TW"/>
        </w:rPr>
        <w:t xml:space="preserve"> في اتفاقية بازل إلى استخدام المبادئ التوجيهية للاسترشاد بها.]</w:t>
      </w:r>
    </w:p>
    <w:p w:rsidR="00451ABD" w:rsidRDefault="0038322E" w:rsidP="00B66D5F">
      <w:pPr>
        <w:bidi/>
        <w:spacing w:after="120" w:line="400" w:lineRule="exact"/>
        <w:ind w:left="1134"/>
        <w:jc w:val="center"/>
        <w:rPr>
          <w:sz w:val="30"/>
          <w:rtl/>
        </w:rPr>
      </w:pPr>
      <w:r>
        <w:rPr>
          <w:sz w:val="30"/>
        </w:rPr>
        <w:t>____</w:t>
      </w:r>
      <w:r w:rsidR="00EC3A5F">
        <w:rPr>
          <w:sz w:val="30"/>
        </w:rPr>
        <w:t>________</w:t>
      </w:r>
    </w:p>
    <w:sectPr w:rsidR="00451ABD" w:rsidSect="002361BF">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2E" w:rsidRDefault="0042042E">
      <w:r>
        <w:separator/>
      </w:r>
    </w:p>
  </w:endnote>
  <w:endnote w:type="continuationSeparator" w:id="0">
    <w:p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C7B07">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A09DC">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705DFA">
      <w:rPr>
        <w:rStyle w:val="PageNumber"/>
        <w:rFonts w:asciiTheme="majorBidi" w:hAnsiTheme="majorBidi" w:cstheme="majorBidi"/>
        <w:szCs w:val="20"/>
      </w:rPr>
      <w:t>7176</w:t>
    </w:r>
    <w:r w:rsidR="006E1D97">
      <w:rPr>
        <w:rStyle w:val="PageNumber"/>
        <w:rFonts w:asciiTheme="majorBidi" w:hAnsiTheme="majorBidi" w:cstheme="majorBidi" w:hint="cs"/>
        <w:szCs w:val="20"/>
        <w:rtl/>
      </w:rPr>
      <w:tab/>
    </w:r>
    <w:r w:rsidR="00C5704B">
      <w:rPr>
        <w:rStyle w:val="PageNumber"/>
        <w:rFonts w:asciiTheme="majorBidi" w:hAnsiTheme="majorBidi" w:cstheme="majorBidi"/>
        <w:szCs w:val="20"/>
      </w:rPr>
      <w:t>1508</w:t>
    </w:r>
    <w:r w:rsidR="006E1D97"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2E" w:rsidRDefault="0042042E" w:rsidP="008A79DC">
      <w:pPr>
        <w:bidi/>
        <w:ind w:left="720"/>
      </w:pPr>
      <w:r>
        <w:separator/>
      </w:r>
    </w:p>
  </w:footnote>
  <w:footnote w:type="continuationSeparator" w:id="0">
    <w:p w:rsidR="0042042E" w:rsidRDefault="0042042E">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705DFA">
      <w:rPr>
        <w:rFonts w:cs="Times New Roman"/>
        <w:b/>
        <w:bCs/>
        <w:sz w:val="17"/>
        <w:szCs w:val="17"/>
      </w:rPr>
      <w:t>26/Add.1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705DFA">
      <w:rPr>
        <w:rFonts w:cs="Times New Roman"/>
        <w:b/>
        <w:bCs/>
        <w:sz w:val="17"/>
        <w:szCs w:val="17"/>
      </w:rPr>
      <w:t>26/Add.1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FE34526"/>
    <w:multiLevelType w:val="hybridMultilevel"/>
    <w:tmpl w:val="48241D10"/>
    <w:numStyleLink w:val="Normallist"/>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6"/>
  </w:num>
  <w:num w:numId="4">
    <w:abstractNumId w:val="15"/>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9">
    <w:abstractNumId w:val="10"/>
  </w:num>
  <w:num w:numId="20">
    <w:abstractNumId w:val="13"/>
    <w:lvlOverride w:ilvl="0">
      <w:lvl w:ilvl="0" w:tplc="CAB05B66">
        <w:start w:val="1"/>
        <w:numFmt w:val="decimal"/>
        <w:lvlText w:val="%1-"/>
        <w:lvlJc w:val="left"/>
        <w:pPr>
          <w:ind w:left="1607" w:hanging="360"/>
        </w:pPr>
        <w:rPr>
          <w:rFonts w:ascii="Traditional Arabic" w:hAnsi="Traditional Arabic" w:cs="Traditional Arabic" w:hint="default"/>
          <w:i w:val="0"/>
          <w:iCs w:val="0"/>
          <w:sz w:val="30"/>
          <w:szCs w:val="30"/>
        </w:rPr>
      </w:lvl>
    </w:lvlOverride>
    <w:lvlOverride w:ilvl="1">
      <w:lvl w:ilvl="1" w:tplc="B7EE9BFA" w:tentative="1">
        <w:start w:val="1"/>
        <w:numFmt w:val="lowerLetter"/>
        <w:lvlText w:val="%2."/>
        <w:lvlJc w:val="left"/>
        <w:pPr>
          <w:ind w:left="2327" w:hanging="360"/>
        </w:pPr>
      </w:lvl>
    </w:lvlOverride>
    <w:lvlOverride w:ilvl="2">
      <w:lvl w:ilvl="2" w:tplc="36C0C694" w:tentative="1">
        <w:start w:val="1"/>
        <w:numFmt w:val="lowerRoman"/>
        <w:lvlText w:val="%3."/>
        <w:lvlJc w:val="right"/>
        <w:pPr>
          <w:ind w:left="3047" w:hanging="180"/>
        </w:pPr>
      </w:lvl>
    </w:lvlOverride>
    <w:lvlOverride w:ilvl="3">
      <w:lvl w:ilvl="3" w:tplc="A72A8BEE" w:tentative="1">
        <w:start w:val="1"/>
        <w:numFmt w:val="decimal"/>
        <w:lvlText w:val="%4."/>
        <w:lvlJc w:val="left"/>
        <w:pPr>
          <w:ind w:left="3767" w:hanging="360"/>
        </w:pPr>
      </w:lvl>
    </w:lvlOverride>
    <w:lvlOverride w:ilvl="4">
      <w:lvl w:ilvl="4" w:tplc="AFCE0E20" w:tentative="1">
        <w:start w:val="1"/>
        <w:numFmt w:val="lowerLetter"/>
        <w:lvlText w:val="%5."/>
        <w:lvlJc w:val="left"/>
        <w:pPr>
          <w:ind w:left="4487" w:hanging="360"/>
        </w:pPr>
      </w:lvl>
    </w:lvlOverride>
    <w:lvlOverride w:ilvl="5">
      <w:lvl w:ilvl="5" w:tplc="33D24F40" w:tentative="1">
        <w:start w:val="1"/>
        <w:numFmt w:val="lowerRoman"/>
        <w:lvlText w:val="%6."/>
        <w:lvlJc w:val="right"/>
        <w:pPr>
          <w:ind w:left="5207" w:hanging="180"/>
        </w:pPr>
      </w:lvl>
    </w:lvlOverride>
    <w:lvlOverride w:ilvl="6">
      <w:lvl w:ilvl="6" w:tplc="C1B4AA54" w:tentative="1">
        <w:start w:val="1"/>
        <w:numFmt w:val="decimal"/>
        <w:lvlText w:val="%7."/>
        <w:lvlJc w:val="left"/>
        <w:pPr>
          <w:ind w:left="5927" w:hanging="360"/>
        </w:pPr>
      </w:lvl>
    </w:lvlOverride>
    <w:lvlOverride w:ilvl="7">
      <w:lvl w:ilvl="7" w:tplc="CC125ED4" w:tentative="1">
        <w:start w:val="1"/>
        <w:numFmt w:val="lowerLetter"/>
        <w:lvlText w:val="%8."/>
        <w:lvlJc w:val="left"/>
        <w:pPr>
          <w:ind w:left="6647" w:hanging="360"/>
        </w:pPr>
      </w:lvl>
    </w:lvlOverride>
    <w:lvlOverride w:ilvl="8">
      <w:lvl w:ilvl="8" w:tplc="6688E1D4" w:tentative="1">
        <w:start w:val="1"/>
        <w:numFmt w:val="lowerRoman"/>
        <w:lvlText w:val="%9."/>
        <w:lvlJc w:val="right"/>
        <w:pPr>
          <w:ind w:left="7367" w:hanging="180"/>
        </w:pPr>
      </w:lvl>
    </w:lvlOverride>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300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5DE1"/>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1D44"/>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569A"/>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09DC"/>
    <w:rsid w:val="006A7E4F"/>
    <w:rsid w:val="006B05FA"/>
    <w:rsid w:val="006B54B1"/>
    <w:rsid w:val="006C028B"/>
    <w:rsid w:val="006C560D"/>
    <w:rsid w:val="006D598B"/>
    <w:rsid w:val="006E1D97"/>
    <w:rsid w:val="006E4BE0"/>
    <w:rsid w:val="006F036C"/>
    <w:rsid w:val="006F7F31"/>
    <w:rsid w:val="00705DFA"/>
    <w:rsid w:val="00706852"/>
    <w:rsid w:val="00712158"/>
    <w:rsid w:val="00720D77"/>
    <w:rsid w:val="00726240"/>
    <w:rsid w:val="007275EE"/>
    <w:rsid w:val="00734EE4"/>
    <w:rsid w:val="007351C7"/>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2D98"/>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110B0"/>
    <w:rsid w:val="00B179A4"/>
    <w:rsid w:val="00B336C3"/>
    <w:rsid w:val="00B42C89"/>
    <w:rsid w:val="00B602AD"/>
    <w:rsid w:val="00B65469"/>
    <w:rsid w:val="00B66D5F"/>
    <w:rsid w:val="00B75C62"/>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C391F"/>
    <w:rsid w:val="00BD1906"/>
    <w:rsid w:val="00BD4A65"/>
    <w:rsid w:val="00BE20CA"/>
    <w:rsid w:val="00BF64C6"/>
    <w:rsid w:val="00BF7F42"/>
    <w:rsid w:val="00C0594F"/>
    <w:rsid w:val="00C1200F"/>
    <w:rsid w:val="00C1297E"/>
    <w:rsid w:val="00C2111C"/>
    <w:rsid w:val="00C33F5C"/>
    <w:rsid w:val="00C34FDE"/>
    <w:rsid w:val="00C36378"/>
    <w:rsid w:val="00C37B3A"/>
    <w:rsid w:val="00C47E78"/>
    <w:rsid w:val="00C56205"/>
    <w:rsid w:val="00C5704B"/>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4C11"/>
    <w:rsid w:val="00D80FA4"/>
    <w:rsid w:val="00D90EDD"/>
    <w:rsid w:val="00D9173E"/>
    <w:rsid w:val="00D91942"/>
    <w:rsid w:val="00D958DE"/>
    <w:rsid w:val="00DA14CC"/>
    <w:rsid w:val="00DA1588"/>
    <w:rsid w:val="00DA494E"/>
    <w:rsid w:val="00DB0824"/>
    <w:rsid w:val="00DB686B"/>
    <w:rsid w:val="00DB6958"/>
    <w:rsid w:val="00DC4E2F"/>
    <w:rsid w:val="00DC590D"/>
    <w:rsid w:val="00DC7B07"/>
    <w:rsid w:val="00DD2F15"/>
    <w:rsid w:val="00DE44A3"/>
    <w:rsid w:val="00DE796A"/>
    <w:rsid w:val="00E015AC"/>
    <w:rsid w:val="00E0494C"/>
    <w:rsid w:val="00E1515A"/>
    <w:rsid w:val="00E176E7"/>
    <w:rsid w:val="00E323C0"/>
    <w:rsid w:val="00E369DB"/>
    <w:rsid w:val="00E36EB2"/>
    <w:rsid w:val="00E51BAF"/>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3F44"/>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E5CE18"/>
  <w15:docId w15:val="{55A3720B-8579-4EC5-9A4F-A1F74673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pool"/>
    <w:next w:val="Normalnumber"/>
    <w:rsid w:val="00705DFA"/>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80" w:after="120"/>
      <w:ind w:left="1247" w:right="284" w:hanging="1247"/>
    </w:pPr>
    <w:rPr>
      <w:rFonts w:eastAsia="Times New Roman"/>
      <w:b/>
      <w:sz w:val="24"/>
      <w:szCs w:val="24"/>
    </w:rPr>
  </w:style>
  <w:style w:type="paragraph" w:customStyle="1" w:styleId="CH3">
    <w:name w:val="CH3"/>
    <w:basedOn w:val="Normalpool"/>
    <w:next w:val="Normalnumber"/>
    <w:rsid w:val="00705DFA"/>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AATitle2">
    <w:name w:val="AA_Title2"/>
    <w:basedOn w:val="Normal"/>
    <w:rsid w:val="00705DFA"/>
    <w:pPr>
      <w:keepNext/>
      <w:keepLines/>
      <w:tabs>
        <w:tab w:val="left" w:pos="1247"/>
        <w:tab w:val="left" w:pos="1814"/>
        <w:tab w:val="left" w:pos="2381"/>
        <w:tab w:val="left" w:pos="2948"/>
        <w:tab w:val="left" w:pos="3515"/>
      </w:tabs>
      <w:suppressAutoHyphens/>
      <w:spacing w:before="60" w:after="60"/>
      <w:ind w:right="4536"/>
    </w:pPr>
    <w:rPr>
      <w:rFonts w:cs="Times New Roman"/>
      <w:b/>
      <w:szCs w:val="20"/>
      <w:lang w:val="en-GB"/>
    </w:rPr>
  </w:style>
  <w:style w:type="paragraph" w:customStyle="1" w:styleId="BBTitle">
    <w:name w:val="BB_Title"/>
    <w:basedOn w:val="Normalpool"/>
    <w:rsid w:val="00705DFA"/>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CH1">
    <w:name w:val="CH1"/>
    <w:basedOn w:val="Normalpool"/>
    <w:next w:val="CH2"/>
    <w:rsid w:val="00705DFA"/>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NormalNonumber">
    <w:name w:val="Normal_No_number"/>
    <w:basedOn w:val="Normalpool"/>
    <w:rsid w:val="00705DFA"/>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ZZAnxtitle">
    <w:name w:val="ZZ_Anx_title"/>
    <w:basedOn w:val="Normalpool"/>
    <w:rsid w:val="00705DFA"/>
    <w:pPr>
      <w:tabs>
        <w:tab w:val="clear" w:pos="1253"/>
        <w:tab w:val="clear" w:pos="2376"/>
        <w:tab w:val="clear" w:pos="2952"/>
        <w:tab w:val="clear" w:pos="3514"/>
        <w:tab w:val="left" w:pos="1247"/>
        <w:tab w:val="left" w:pos="2381"/>
        <w:tab w:val="left" w:pos="2948"/>
        <w:tab w:val="left" w:pos="3515"/>
        <w:tab w:val="left" w:pos="4082"/>
      </w:tabs>
      <w:spacing w:before="360" w:after="120"/>
      <w:ind w:left="1247"/>
    </w:pPr>
    <w:rPr>
      <w:rFonts w:eastAsia="Times New Roman"/>
      <w:b/>
      <w:bCs/>
      <w:sz w:val="28"/>
      <w:szCs w:val="26"/>
    </w:rPr>
  </w:style>
  <w:style w:type="character" w:customStyle="1" w:styleId="Inget">
    <w:name w:val="Inget"/>
    <w:rsid w:val="0070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F247-4391-4E96-B365-AEBBB647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2</cp:revision>
  <cp:lastPrinted>2016-09-05T13:00:00Z</cp:lastPrinted>
  <dcterms:created xsi:type="dcterms:W3CDTF">2017-08-15T07:52:00Z</dcterms:created>
  <dcterms:modified xsi:type="dcterms:W3CDTF">2017-08-15T07:52:00Z</dcterms:modified>
</cp:coreProperties>
</file>